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xu-20230930.htm"/>
      <w:bookmarkStart w:id="1" w:name="kslxu20230930"/>
      <w:bookmarkEnd w:id="0"/>
      <w:bookmarkEnd w:id="1"/>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September 30, 2023</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1-7677</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73-1015226</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6178" w:type="dxa"/>
        <w:jc w:val="left"/>
        <w:tblInd w:w="0" w:type="dxa"/>
        <w:tblLayout w:type="fixed"/>
        <w:tblCellMar>
          <w:top w:w="28" w:type="dxa"/>
          <w:left w:w="28" w:type="dxa"/>
          <w:bottom w:w="28" w:type="dxa"/>
          <w:right w:w="28" w:type="dxa"/>
        </w:tblCellMar>
      </w:tblPr>
      <w:tblGrid>
        <w:gridCol w:w="5101"/>
        <w:gridCol w:w="146"/>
        <w:gridCol w:w="93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3503 NW 63</w:t>
            </w:r>
            <w:r>
              <w:rPr>
                <w:rFonts w:ascii="Times New Roman" w:hAnsi="Times New Roman"/>
                <w:b/>
                <w:color w:val="000000"/>
                <w:sz w:val="13"/>
              </w:rPr>
              <w:t>rd</w:t>
            </w:r>
            <w:r>
              <w:rPr>
                <w:rFonts w:ascii="Times New Roman" w:hAnsi="Times New Roman"/>
                <w:color w:val="000000"/>
                <w:sz w:val="20"/>
              </w:rPr>
              <w:t xml:space="preserve"> </w:t>
            </w:r>
            <w:r>
              <w:rPr>
                <w:rFonts w:ascii="Times New Roman" w:hAnsi="Times New Roman"/>
                <w:b/>
                <w:color w:val="000000"/>
                <w:sz w:val="20"/>
              </w:rPr>
              <w:t>Street, Suite 500, Oklahoma City, Oklahoma</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73116</w:t>
            </w:r>
          </w:p>
        </w:tc>
      </w:tr>
      <w:tr>
        <w:trPr/>
        <w:tc>
          <w:tcPr>
            <w:tcW w:w="510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(405) 235-4546</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spacing w:before="80" w:after="283"/>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30" w:type="dxa"/>
        <w:jc w:val="left"/>
        <w:tblInd w:w="0" w:type="dxa"/>
        <w:tblLayout w:type="fixed"/>
        <w:tblCellMar>
          <w:top w:w="28" w:type="dxa"/>
          <w:left w:w="28" w:type="dxa"/>
          <w:bottom w:w="28" w:type="dxa"/>
          <w:right w:w="28" w:type="dxa"/>
        </w:tblCellMar>
      </w:tblPr>
      <w:tblGrid>
        <w:gridCol w:w="2866"/>
        <w:gridCol w:w="146"/>
        <w:gridCol w:w="1456"/>
        <w:gridCol w:w="146"/>
        <w:gridCol w:w="331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86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Common Stock, Par Value $.10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Purchase Rights</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LXU</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New York Stock Exchange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color w:val="000000"/>
          <w:sz w:val="20"/>
        </w:rPr>
        <w:t xml:space="preserve">☒ </w:t>
      </w:r>
      <w:r>
        <w:rPr>
          <w:rFonts w:ascii="Times New Roman" w:hAnsi="Times New Roman"/>
          <w:b w:val="false"/>
          <w:color w:val="000000"/>
          <w:sz w:val="20"/>
        </w:rPr>
        <w:t>Yes</w:t>
      </w:r>
      <w:r>
        <w:rPr>
          <w:rFonts w:ascii="Times New Roman" w:hAnsi="Times New Roman"/>
          <w:color w:val="000000"/>
          <w:sz w:val="20"/>
        </w:rPr>
        <w:t xml:space="preserve"> ☐ </w:t>
      </w:r>
      <w:r>
        <w:rPr>
          <w:rFonts w:ascii="Times New Roman" w:hAnsi="Times New Roman"/>
          <w:b w:val="false"/>
          <w:color w:val="000000"/>
          <w:sz w:val="20"/>
        </w:rPr>
        <w:t>No</w:t>
      </w:r>
    </w:p>
    <w:p>
      <w:pPr>
        <w:pStyle w:val="TextBody"/>
        <w:bidi w:val="0"/>
        <w:spacing w:before="40" w:after="283"/>
        <w:jc w:val="both"/>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rFonts w:ascii="Times New Roman" w:hAnsi="Times New Roman"/>
          <w:color w:val="000000"/>
          <w:sz w:val="20"/>
        </w:rPr>
        <w:t xml:space="preserve">☒ </w:t>
      </w:r>
      <w:r>
        <w:rPr>
          <w:rFonts w:ascii="Times New Roman" w:hAnsi="Times New Roman"/>
          <w:b w:val="false"/>
          <w:color w:val="000000"/>
          <w:sz w:val="20"/>
        </w:rPr>
        <w:t>Yes</w:t>
      </w:r>
      <w:r>
        <w:rPr>
          <w:rFonts w:ascii="Times New Roman" w:hAnsi="Times New Roman"/>
          <w:color w:val="000000"/>
          <w:sz w:val="20"/>
        </w:rPr>
        <w:t xml:space="preserve"> ☐ </w:t>
      </w:r>
      <w:r>
        <w:rPr>
          <w:rFonts w:ascii="Times New Roman" w:hAnsi="Times New Roman"/>
          <w:b w:val="false"/>
          <w:color w:val="000000"/>
          <w:sz w:val="20"/>
        </w:rPr>
        <w:t>No</w:t>
      </w:r>
    </w:p>
    <w:p>
      <w:pPr>
        <w:pStyle w:val="TextBody"/>
        <w:bidi w:val="0"/>
        <w:spacing w:before="40" w:after="283"/>
        <w:jc w:val="both"/>
        <w:rPr>
          <w:rFonts w:ascii="Times New Roman" w:hAnsi="Times New Roman"/>
          <w:sz w:val="20"/>
        </w:rPr>
      </w:pPr>
      <w:r>
        <w:rPr>
          <w:rFonts w:ascii="Times New Roman" w:hAnsi="Times New Roman"/>
          <w:b w:val="false"/>
          <w:color w:val="000000"/>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both"/>
        <w:rPr/>
      </w:pPr>
      <w:r>
        <w:rPr/>
        <w:t> </w:t>
      </w:r>
    </w:p>
    <w:tbl>
      <w:tblPr>
        <w:tblW w:w="4942" w:type="dxa"/>
        <w:jc w:val="left"/>
        <w:tblInd w:w="0" w:type="dxa"/>
        <w:tblLayout w:type="fixed"/>
        <w:tblCellMar>
          <w:top w:w="28" w:type="dxa"/>
          <w:left w:w="28" w:type="dxa"/>
          <w:bottom w:w="28" w:type="dxa"/>
          <w:right w:w="28" w:type="dxa"/>
        </w:tblCellMar>
      </w:tblPr>
      <w:tblGrid>
        <w:gridCol w:w="1666"/>
        <w:gridCol w:w="146"/>
        <w:gridCol w:w="43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color w:val="000000"/>
              </w:rPr>
            </w:pPr>
            <w:r>
              <w:rPr>
                <w:color w:val="000000"/>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4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61" w:type="dxa"/>
            <w:tcBorders/>
            <w:shd w:fill="FFFFFF" w:val="clear"/>
            <w:vAlign w:val="center"/>
          </w:tcPr>
          <w:p>
            <w:pPr>
              <w:pStyle w:val="TableContents"/>
              <w:bidi w:val="0"/>
              <w:spacing w:before="0" w:after="283"/>
              <w:jc w:val="left"/>
              <w:rPr>
                <w:color w:val="000000"/>
              </w:rPr>
            </w:pPr>
            <w:r>
              <w:rPr>
                <w:color w:val="000000"/>
              </w:rPr>
              <w:t>☒</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color w:val="000000"/>
              </w:rPr>
            </w:pPr>
            <w:r>
              <w:rPr>
                <w:color w:val="000000"/>
              </w:rPr>
              <w:t xml:space="preserve"> ☐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color w:val="000000"/>
              </w:rPr>
            </w:pPr>
            <w:r>
              <w:rPr>
                <w:color w:val="000000"/>
              </w:rPr>
              <w:t>☐</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b w:val="false"/>
          <w:color w:val="000000"/>
          <w:sz w:val="20"/>
        </w:rPr>
        <w:t>Indicate by check mark whether the Registrant is a shell company (as defined in Rule 12b-2 of the Exchange Act).</w:t>
      </w:r>
      <w:r>
        <w:rPr>
          <w:rFonts w:ascii="Times New Roman" w:hAnsi="Times New Roman"/>
          <w:color w:val="000000"/>
          <w:sz w:val="20"/>
        </w:rPr>
        <w:t xml:space="preserve">☐ </w:t>
      </w:r>
      <w:r>
        <w:rPr>
          <w:rFonts w:ascii="Times New Roman" w:hAnsi="Times New Roman"/>
          <w:b w:val="false"/>
          <w:color w:val="000000"/>
          <w:sz w:val="20"/>
        </w:rPr>
        <w:t xml:space="preserve">Yes </w:t>
      </w:r>
      <w:r>
        <w:rPr>
          <w:rFonts w:ascii="Times New Roman" w:hAnsi="Times New Roman"/>
          <w:color w:val="000000"/>
          <w:sz w:val="20"/>
        </w:rPr>
        <w:t xml:space="preserve">☒ </w:t>
      </w:r>
      <w:r>
        <w:rPr>
          <w:rFonts w:ascii="Times New Roman" w:hAnsi="Times New Roman"/>
          <w:b w:val="false"/>
          <w:color w:val="000000"/>
          <w:sz w:val="20"/>
        </w:rPr>
        <w:t>No</w:t>
      </w:r>
    </w:p>
    <w:p>
      <w:pPr>
        <w:pStyle w:val="TextBody"/>
        <w:bidi w:val="0"/>
        <w:spacing w:before="40" w:after="283"/>
        <w:jc w:val="both"/>
        <w:rPr>
          <w:rFonts w:ascii="Times New Roman" w:hAnsi="Times New Roman"/>
          <w:sz w:val="20"/>
        </w:rPr>
      </w:pPr>
      <w:r>
        <w:rPr>
          <w:rFonts w:ascii="Times New Roman" w:hAnsi="Times New Roman"/>
          <w:b w:val="false"/>
          <w:color w:val="000000"/>
          <w:sz w:val="20"/>
        </w:rPr>
        <w:t>The number of shares outstanding of the Registrant's common stock was 74,344,336</w:t>
      </w:r>
      <w:r>
        <w:rPr>
          <w:rFonts w:ascii="Times New Roman" w:hAnsi="Times New Roman"/>
          <w:color w:val="000000"/>
          <w:sz w:val="20"/>
        </w:rPr>
        <w:t xml:space="preserve"> </w:t>
      </w:r>
      <w:r>
        <w:rPr>
          <w:rFonts w:ascii="Times New Roman" w:hAnsi="Times New Roman"/>
          <w:b w:val="false"/>
          <w:color w:val="000000"/>
          <w:sz w:val="20"/>
        </w:rPr>
        <w:t>shares as of October 27, 2023.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FORM 10-Q OF LSB INDUSTRIES, INC.</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TABLE OF CONTENTS</w:t>
      </w:r>
    </w:p>
    <w:tbl>
      <w:tblPr>
        <w:tblW w:w="8920" w:type="dxa"/>
        <w:jc w:val="left"/>
        <w:tblInd w:w="0" w:type="dxa"/>
        <w:tblLayout w:type="fixed"/>
        <w:tblCellMar>
          <w:top w:w="28" w:type="dxa"/>
          <w:left w:w="28" w:type="dxa"/>
          <w:bottom w:w="28" w:type="dxa"/>
          <w:right w:w="28" w:type="dxa"/>
        </w:tblCellMar>
      </w:tblPr>
      <w:tblGrid>
        <w:gridCol w:w="811"/>
        <w:gridCol w:w="146"/>
        <w:gridCol w:w="7336"/>
        <w:gridCol w:w="146"/>
        <w:gridCol w:w="48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3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PART I – Financial Information</w:t>
            </w:r>
          </w:p>
        </w:tc>
        <w:tc>
          <w:tcPr>
            <w:tcW w:w="146" w:type="dxa"/>
            <w:tcBorders/>
            <w:vAlign w:val="center"/>
          </w:tcPr>
          <w:p>
            <w:pPr>
              <w:pStyle w:val="TableContents"/>
              <w:bidi w:val="0"/>
              <w:spacing w:before="0" w:after="283"/>
              <w:jc w:val="center"/>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Page</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Financial Statements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3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PART II – Other Information</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5_orinformation">
              <w:r>
                <w:rPr>
                  <w:rStyle w:val="InternetLink"/>
                  <w:rFonts w:ascii="Times New Roman" w:hAnsi="Times New Roman"/>
                  <w:b w:val="false"/>
                  <w:color w:val="0000FF"/>
                  <w:sz w:val="20"/>
                  <w:u w:val="single"/>
                </w:rPr>
                <w:t>Other Information</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6exhibits">
              <w:r>
                <w:rPr>
                  <w:rStyle w:val="InternetLink"/>
                  <w:rFonts w:ascii="Times New Roman" w:hAnsi="Times New Roman"/>
                  <w:b w:val="false"/>
                  <w:color w:val="0000FF"/>
                  <w:sz w:val="20"/>
                  <w:u w:val="single"/>
                </w:rPr>
                <w:t>Exhibits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bl>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When we refer to "us", "we", "our", "Company" or "LSB" we are describing LSB Industries, Inc. and its subsidiaries.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FINANCIAL INFORMATION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u w:val="single"/>
        </w:rPr>
      </w:pPr>
      <w:bookmarkStart w:id="3" w:name="item_1_financial_statements"/>
      <w:bookmarkEnd w:id="3"/>
      <w:r>
        <w:rPr>
          <w:rFonts w:ascii="Times New Roman" w:hAnsi="Times New Roman"/>
          <w:b/>
          <w:color w:val="000000"/>
          <w:sz w:val="20"/>
          <w:u w:val="single"/>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(Information at September 30, 2023 is unaudited)</w:t>
      </w:r>
    </w:p>
    <w:tbl>
      <w:tblPr>
        <w:tblW w:w="7895" w:type="dxa"/>
        <w:jc w:val="left"/>
        <w:tblInd w:w="0" w:type="dxa"/>
        <w:tblLayout w:type="fixed"/>
        <w:tblCellMar>
          <w:top w:w="28" w:type="dxa"/>
          <w:left w:w="28" w:type="dxa"/>
          <w:bottom w:w="28" w:type="dxa"/>
          <w:right w:w="28" w:type="dxa"/>
        </w:tblCellMar>
      </w:tblPr>
      <w:tblGrid>
        <w:gridCol w:w="3871"/>
        <w:gridCol w:w="746"/>
        <w:gridCol w:w="232"/>
        <w:gridCol w:w="1028"/>
        <w:gridCol w:w="166"/>
        <w:gridCol w:w="146"/>
        <w:gridCol w:w="224"/>
        <w:gridCol w:w="991"/>
        <w:gridCol w:w="491"/>
      </w:tblGrid>
      <w:tr>
        <w:trPr/>
        <w:tc>
          <w:tcPr>
            <w:tcW w:w="387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December 31,</w:t>
            </w:r>
          </w:p>
        </w:tc>
        <w:tc>
          <w:tcPr>
            <w:tcW w:w="491" w:type="dxa"/>
            <w:tcBorders/>
            <w:shd w:fill="FFFFFF" w:val="cle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 </w:t>
            </w:r>
          </w:p>
        </w:tc>
        <w:tc>
          <w:tcPr>
            <w:tcW w:w="2787" w:type="dxa"/>
            <w:gridSpan w:val="6"/>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w:t>
            </w:r>
          </w:p>
        </w:tc>
        <w:tc>
          <w:tcPr>
            <w:tcW w:w="491" w:type="dxa"/>
            <w:tcBorders/>
            <w:shd w:fill="FFFFFF" w:val="cle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746" w:type="dxa"/>
            <w:tcBorders/>
            <w:shd w:fill="CFF0FC" w:val="clear"/>
            <w:vAlign w:val="center"/>
          </w:tcPr>
          <w:p>
            <w:pPr>
              <w:pStyle w:val="TableContents"/>
              <w:bidi w:val="0"/>
              <w:spacing w:before="0" w:after="283"/>
              <w:jc w:val="righ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7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15"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63,769</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270,702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330,553</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75,494</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Allowance for doubtful accounts</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7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Accounts receivable, net</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74,795</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Inventories:</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87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Finished goods</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28,893</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87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Raw materials</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7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 inventories</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30,883</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Supplies, prepaid items and other:</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87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Prepaid insurance</w:t>
            </w:r>
          </w:p>
        </w:tc>
        <w:tc>
          <w:tcPr>
            <w:tcW w:w="746" w:type="dxa"/>
            <w:tcBorders/>
            <w:shd w:fill="CFF0FC" w:val="clear"/>
            <w:vAlign w:val="center"/>
          </w:tcPr>
          <w:p>
            <w:pPr>
              <w:pStyle w:val="TableContents"/>
              <w:bidi w:val="0"/>
              <w:spacing w:before="0" w:after="283"/>
              <w:ind w:left="400" w:right="0" w:firstLine="400"/>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17,429</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87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Precious metals</w:t>
            </w:r>
          </w:p>
        </w:tc>
        <w:tc>
          <w:tcPr>
            <w:tcW w:w="746" w:type="dxa"/>
            <w:tcBorders/>
            <w:shd w:fill="FFFFFF" w:val="clear"/>
            <w:vAlign w:val="center"/>
          </w:tcPr>
          <w:p>
            <w:pPr>
              <w:pStyle w:val="TableContents"/>
              <w:bidi w:val="0"/>
              <w:spacing w:before="0" w:after="283"/>
              <w:ind w:left="400" w:right="0" w:firstLine="400"/>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13,323</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87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Supplies</w:t>
            </w:r>
          </w:p>
        </w:tc>
        <w:tc>
          <w:tcPr>
            <w:tcW w:w="746" w:type="dxa"/>
            <w:tcBorders/>
            <w:shd w:fill="CFF0FC" w:val="clear"/>
            <w:vAlign w:val="center"/>
          </w:tcPr>
          <w:p>
            <w:pPr>
              <w:pStyle w:val="TableContents"/>
              <w:bidi w:val="0"/>
              <w:spacing w:before="0" w:after="283"/>
              <w:ind w:left="400" w:right="0" w:firstLine="400"/>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27,501</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87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Other</w:t>
            </w:r>
          </w:p>
        </w:tc>
        <w:tc>
          <w:tcPr>
            <w:tcW w:w="746" w:type="dxa"/>
            <w:tcBorders/>
            <w:shd w:fill="FFFFFF" w:val="clear"/>
            <w:vAlign w:val="center"/>
          </w:tcPr>
          <w:p>
            <w:pPr>
              <w:pStyle w:val="TableContents"/>
              <w:bidi w:val="0"/>
              <w:spacing w:before="0" w:after="283"/>
              <w:ind w:left="400" w:right="0" w:firstLine="400"/>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71"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Total supplies, prepaid items and other</w:t>
            </w:r>
          </w:p>
        </w:tc>
        <w:tc>
          <w:tcPr>
            <w:tcW w:w="746" w:type="dxa"/>
            <w:tcBorders/>
            <w:shd w:fill="CFF0FC" w:val="clear"/>
            <w:vAlign w:val="center"/>
          </w:tcPr>
          <w:p>
            <w:pPr>
              <w:pStyle w:val="TableContents"/>
              <w:bidi w:val="0"/>
              <w:spacing w:before="0" w:after="283"/>
              <w:ind w:left="600" w:right="0" w:firstLine="600"/>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66,599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746"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566,599</w:t>
            </w:r>
          </w:p>
        </w:tc>
        <w:tc>
          <w:tcPr>
            <w:tcW w:w="4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plant and equipment, net</w:t>
            </w:r>
          </w:p>
        </w:tc>
        <w:tc>
          <w:tcPr>
            <w:tcW w:w="746"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848,661</w:t>
            </w:r>
          </w:p>
        </w:tc>
        <w:tc>
          <w:tcPr>
            <w:tcW w:w="4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7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100"/>
              <w:jc w:val="righ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lease assets</w:t>
            </w:r>
          </w:p>
        </w:tc>
        <w:tc>
          <w:tcPr>
            <w:tcW w:w="746"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22,682</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Intangible and other assets, net</w:t>
            </w:r>
          </w:p>
        </w:tc>
        <w:tc>
          <w:tcPr>
            <w:tcW w:w="746" w:type="dxa"/>
            <w:tcBorders/>
            <w:shd w:fill="FFFFFF" w:val="cle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vAlign w:val="center"/>
          </w:tcPr>
          <w:p>
            <w:pPr>
              <w:pStyle w:val="TableContents"/>
              <w:bidi w:val="0"/>
              <w:spacing w:before="0" w:after="283"/>
              <w:ind w:left="200" w:right="0" w:firstLine="200"/>
              <w:jc w:val="left"/>
              <w:rPr/>
            </w:pPr>
            <w:r>
              <w:rPr/>
              <w:t> </w:t>
            </w:r>
          </w:p>
        </w:tc>
        <w:tc>
          <w:tcPr>
            <w:tcW w:w="746"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24,559</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871"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71"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1,292,206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1,439,819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(Continued on following page)</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 (continued)</w:t>
      </w:r>
    </w:p>
    <w:p>
      <w:pPr>
        <w:pStyle w:val="TextBody"/>
        <w:bidi w:val="0"/>
        <w:jc w:val="center"/>
        <w:rPr>
          <w:rFonts w:ascii="Times New Roman" w:hAnsi="Times New Roman"/>
          <w:b/>
          <w:color w:val="000000"/>
          <w:sz w:val="20"/>
        </w:rPr>
      </w:pPr>
      <w:r>
        <w:rPr>
          <w:rFonts w:ascii="Times New Roman" w:hAnsi="Times New Roman"/>
          <w:b/>
          <w:color w:val="000000"/>
          <w:sz w:val="20"/>
        </w:rPr>
        <w:t>(Information at September 30, 2023 is unaudited)</w:t>
      </w:r>
    </w:p>
    <w:tbl>
      <w:tblPr>
        <w:tblW w:w="10205" w:type="dxa"/>
        <w:jc w:val="left"/>
        <w:tblInd w:w="0" w:type="dxa"/>
        <w:tblLayout w:type="fixed"/>
        <w:tblCellMar>
          <w:top w:w="28" w:type="dxa"/>
          <w:left w:w="28" w:type="dxa"/>
          <w:bottom w:w="28" w:type="dxa"/>
          <w:right w:w="28" w:type="dxa"/>
        </w:tblCellMar>
      </w:tblPr>
      <w:tblGrid>
        <w:gridCol w:w="6801"/>
        <w:gridCol w:w="146"/>
        <w:gridCol w:w="231"/>
        <w:gridCol w:w="1027"/>
        <w:gridCol w:w="146"/>
        <w:gridCol w:w="146"/>
        <w:gridCol w:w="223"/>
        <w:gridCol w:w="990"/>
        <w:gridCol w:w="495"/>
      </w:tblGrid>
      <w:tr>
        <w:trPr/>
        <w:tc>
          <w:tcPr>
            <w:tcW w:w="6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December 31,</w:t>
            </w:r>
          </w:p>
        </w:tc>
        <w:tc>
          <w:tcPr>
            <w:tcW w:w="495" w:type="dxa"/>
            <w:tcBorders/>
            <w:shd w:fill="FFFFFF" w:val="clear"/>
            <w:vAlign w:val="center"/>
          </w:tcPr>
          <w:p>
            <w:pPr>
              <w:pStyle w:val="TableContents"/>
              <w:bidi w:val="0"/>
              <w:spacing w:before="0" w:after="283"/>
              <w:jc w:val="center"/>
              <w:rPr/>
            </w:pPr>
            <w:r>
              <w:rPr/>
              <w:t> </w:t>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3" w:type="dxa"/>
            <w:gridSpan w:val="6"/>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w:t>
            </w:r>
          </w:p>
        </w:tc>
        <w:tc>
          <w:tcPr>
            <w:tcW w:w="495" w:type="dxa"/>
            <w:tcBorders/>
            <w:shd w:fill="FFFFFF" w:val="clear"/>
            <w:vAlign w:val="center"/>
          </w:tcPr>
          <w:p>
            <w:pPr>
              <w:pStyle w:val="TableContents"/>
              <w:bidi w:val="0"/>
              <w:spacing w:before="0" w:after="283"/>
              <w:jc w:val="center"/>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3" w:type="dxa"/>
            <w:gridSpan w:val="2"/>
            <w:tcBorders/>
            <w:shd w:fill="CFF0FC" w:val="clear"/>
            <w:vAlign w:val="center"/>
          </w:tcPr>
          <w:p>
            <w:pPr>
              <w:pStyle w:val="TableContents"/>
              <w:bidi w:val="0"/>
              <w:spacing w:before="0" w:after="283"/>
              <w:jc w:val="right"/>
              <w:rPr/>
            </w:pPr>
            <w:r>
              <w:rPr/>
              <w:t> </w:t>
            </w:r>
          </w:p>
        </w:tc>
        <w:tc>
          <w:tcPr>
            <w:tcW w:w="495" w:type="dxa"/>
            <w:tcBorders/>
            <w:shd w:fill="CFF0FC" w:val="clear"/>
            <w:vAlign w:val="center"/>
          </w:tcPr>
          <w:p>
            <w:pPr>
              <w:pStyle w:val="TableContents"/>
              <w:bidi w:val="0"/>
              <w:spacing w:before="0" w:after="283"/>
              <w:jc w:val="right"/>
              <w:rPr/>
            </w:pPr>
            <w:r>
              <w:rPr/>
              <w:t> </w:t>
            </w:r>
          </w:p>
        </w:tc>
      </w:tr>
      <w:tr>
        <w:trPr/>
        <w:tc>
          <w:tcPr>
            <w:tcW w:w="6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right"/>
              <w:rPr/>
            </w:pPr>
            <w:r>
              <w:rPr/>
              <w:t> </w:t>
            </w:r>
          </w:p>
        </w:tc>
        <w:tc>
          <w:tcPr>
            <w:tcW w:w="495" w:type="dxa"/>
            <w:tcBorders/>
            <w:shd w:fill="FFFFFF" w:val="clear"/>
            <w:vAlign w:val="center"/>
          </w:tcPr>
          <w:p>
            <w:pPr>
              <w:pStyle w:val="TableContents"/>
              <w:bidi w:val="0"/>
              <w:spacing w:before="0" w:after="283"/>
              <w:ind w:left="0" w:right="0" w:firstLine="100"/>
              <w:jc w:val="right"/>
              <w:rPr/>
            </w:pPr>
            <w:r>
              <w:rPr/>
              <w:t> </w:t>
            </w:r>
          </w:p>
        </w:tc>
      </w:tr>
      <w:tr>
        <w:trPr/>
        <w:tc>
          <w:tcPr>
            <w:tcW w:w="680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78,182</w:t>
            </w:r>
          </w:p>
        </w:tc>
        <w:tc>
          <w:tcPr>
            <w:tcW w:w="495" w:type="dxa"/>
            <w:tcBorders/>
            <w:shd w:fill="CFF0FC" w:val="clear"/>
            <w:vAlign w:val="center"/>
          </w:tcPr>
          <w:p>
            <w:pPr>
              <w:pStyle w:val="TableContents"/>
              <w:bidi w:val="0"/>
              <w:spacing w:before="0" w:after="283"/>
              <w:ind w:left="0" w:right="0" w:firstLine="100"/>
              <w:jc w:val="left"/>
              <w:rPr/>
            </w:pPr>
            <w:r>
              <w:rPr/>
              <w:t> </w:t>
            </w:r>
          </w:p>
        </w:tc>
      </w:tr>
      <w:tr>
        <w:trPr/>
        <w:tc>
          <w:tcPr>
            <w:tcW w:w="680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Short-term financing</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16,134</w:t>
            </w:r>
          </w:p>
        </w:tc>
        <w:tc>
          <w:tcPr>
            <w:tcW w:w="495" w:type="dxa"/>
            <w:tcBorders/>
            <w:shd w:fill="FFFFFF" w:val="clear"/>
            <w:vAlign w:val="center"/>
          </w:tcPr>
          <w:p>
            <w:pPr>
              <w:pStyle w:val="TableContents"/>
              <w:bidi w:val="0"/>
              <w:spacing w:before="0" w:after="283"/>
              <w:ind w:left="0" w:right="0" w:firstLine="100"/>
              <w:jc w:val="left"/>
              <w:rPr/>
            </w:pPr>
            <w:r>
              <w:rPr/>
              <w:t> </w:t>
            </w:r>
          </w:p>
        </w:tc>
      </w:tr>
      <w:tr>
        <w:trPr/>
        <w:tc>
          <w:tcPr>
            <w:tcW w:w="680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Accrued and other liabilities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38,470</w:t>
            </w:r>
          </w:p>
        </w:tc>
        <w:tc>
          <w:tcPr>
            <w:tcW w:w="495" w:type="dxa"/>
            <w:tcBorders/>
            <w:shd w:fill="CFF0FC" w:val="clear"/>
            <w:vAlign w:val="center"/>
          </w:tcPr>
          <w:p>
            <w:pPr>
              <w:pStyle w:val="TableContents"/>
              <w:bidi w:val="0"/>
              <w:spacing w:before="0" w:after="283"/>
              <w:ind w:left="0" w:right="0" w:firstLine="100"/>
              <w:jc w:val="left"/>
              <w:rPr/>
            </w:pPr>
            <w:r>
              <w:rPr/>
              <w:t> </w:t>
            </w:r>
          </w:p>
        </w:tc>
      </w:tr>
      <w:tr>
        <w:trPr/>
        <w:tc>
          <w:tcPr>
            <w:tcW w:w="680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9,522</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99,684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142,308</w:t>
            </w:r>
          </w:p>
        </w:tc>
        <w:tc>
          <w:tcPr>
            <w:tcW w:w="495" w:type="dxa"/>
            <w:tcBorders/>
            <w:shd w:fill="CFF0FC" w:val="cle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right"/>
              <w:rPr/>
            </w:pPr>
            <w:r>
              <w:rPr/>
              <w:t> </w:t>
            </w:r>
          </w:p>
        </w:tc>
        <w:tc>
          <w:tcPr>
            <w:tcW w:w="495" w:type="dxa"/>
            <w:tcBorders/>
            <w:shd w:fill="FFFFFF" w:val="clear"/>
            <w:vAlign w:val="center"/>
          </w:tcPr>
          <w:p>
            <w:pPr>
              <w:pStyle w:val="TableContents"/>
              <w:bidi w:val="0"/>
              <w:spacing w:before="0" w:after="283"/>
              <w:jc w:val="righ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 net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702,733</w:t>
            </w:r>
          </w:p>
        </w:tc>
        <w:tc>
          <w:tcPr>
            <w:tcW w:w="495" w:type="dxa"/>
            <w:tcBorders/>
            <w:shd w:fill="CFF0FC" w:val="cle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right"/>
              <w:rPr/>
            </w:pPr>
            <w:r>
              <w:rPr/>
              <w:t> </w:t>
            </w:r>
          </w:p>
        </w:tc>
        <w:tc>
          <w:tcPr>
            <w:tcW w:w="495" w:type="dxa"/>
            <w:tcBorders/>
            <w:shd w:fill="FFFFFF" w:val="clear"/>
            <w:vAlign w:val="center"/>
          </w:tcPr>
          <w:p>
            <w:pPr>
              <w:pStyle w:val="TableContents"/>
              <w:bidi w:val="0"/>
              <w:spacing w:before="0" w:after="283"/>
              <w:jc w:val="righ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14,896</w:t>
            </w:r>
          </w:p>
        </w:tc>
        <w:tc>
          <w:tcPr>
            <w:tcW w:w="495" w:type="dxa"/>
            <w:tcBorders/>
            <w:shd w:fill="CFF0FC" w:val="cle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right"/>
              <w:rPr/>
            </w:pPr>
            <w:r>
              <w:rPr/>
              <w:t> </w:t>
            </w:r>
          </w:p>
        </w:tc>
        <w:tc>
          <w:tcPr>
            <w:tcW w:w="495" w:type="dxa"/>
            <w:tcBorders/>
            <w:shd w:fill="FFFFFF" w:val="clear"/>
            <w:vAlign w:val="center"/>
          </w:tcPr>
          <w:p>
            <w:pPr>
              <w:pStyle w:val="TableContents"/>
              <w:bidi w:val="0"/>
              <w:spacing w:before="0" w:after="283"/>
              <w:jc w:val="righ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accrued and other liabilities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w:t>
            </w:r>
          </w:p>
        </w:tc>
        <w:tc>
          <w:tcPr>
            <w:tcW w:w="495" w:type="dxa"/>
            <w:tcBorders/>
            <w:shd w:fill="CFF0FC" w:val="cle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right"/>
              <w:rPr/>
            </w:pPr>
            <w:r>
              <w:rPr/>
              <w:t> </w:t>
            </w:r>
          </w:p>
        </w:tc>
        <w:tc>
          <w:tcPr>
            <w:tcW w:w="495" w:type="dxa"/>
            <w:tcBorders/>
            <w:shd w:fill="FFFFFF" w:val="clear"/>
            <w:vAlign w:val="center"/>
          </w:tcPr>
          <w:p>
            <w:pPr>
              <w:pStyle w:val="TableContents"/>
              <w:bidi w:val="0"/>
              <w:spacing w:before="0" w:after="283"/>
              <w:jc w:val="righ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income taxes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63,487</w:t>
            </w:r>
          </w:p>
        </w:tc>
        <w:tc>
          <w:tcPr>
            <w:tcW w:w="495" w:type="dxa"/>
            <w:tcBorders/>
            <w:shd w:fill="CFF0FC" w:val="clear"/>
            <w:vAlign w:val="center"/>
          </w:tcPr>
          <w:p>
            <w:pPr>
              <w:pStyle w:val="TableContents"/>
              <w:bidi w:val="0"/>
              <w:spacing w:before="0" w:after="283"/>
              <w:jc w:val="left"/>
              <w:rPr/>
            </w:pPr>
            <w:r>
              <w:rPr/>
              <w:t> </w:t>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right"/>
              <w:rPr/>
            </w:pPr>
            <w:r>
              <w:rPr/>
              <w:t> </w:t>
            </w:r>
          </w:p>
        </w:tc>
        <w:tc>
          <w:tcPr>
            <w:tcW w:w="495" w:type="dxa"/>
            <w:tcBorders/>
            <w:shd w:fill="FFFFFF" w:val="clear"/>
            <w:vAlign w:val="center"/>
          </w:tcPr>
          <w:p>
            <w:pPr>
              <w:pStyle w:val="TableContents"/>
              <w:bidi w:val="0"/>
              <w:spacing w:before="0" w:after="283"/>
              <w:jc w:val="righ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5)</w:t>
            </w:r>
          </w:p>
        </w:tc>
        <w:tc>
          <w:tcPr>
            <w:tcW w:w="146"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3" w:type="dxa"/>
            <w:gridSpan w:val="2"/>
            <w:tcBorders/>
            <w:shd w:fill="CFF0FC" w:val="clear"/>
            <w:vAlign w:val="center"/>
          </w:tcPr>
          <w:p>
            <w:pPr>
              <w:pStyle w:val="TableContents"/>
              <w:bidi w:val="0"/>
              <w:spacing w:before="0" w:after="283"/>
              <w:jc w:val="right"/>
              <w:rPr/>
            </w:pPr>
            <w:r>
              <w:rPr/>
              <w:t> </w:t>
            </w:r>
          </w:p>
        </w:tc>
        <w:tc>
          <w:tcPr>
            <w:tcW w:w="495" w:type="dxa"/>
            <w:tcBorders/>
            <w:shd w:fill="CFF0FC" w:val="clear"/>
            <w:vAlign w:val="center"/>
          </w:tcPr>
          <w:p>
            <w:pPr>
              <w:pStyle w:val="TableContents"/>
              <w:bidi w:val="0"/>
              <w:spacing w:before="0" w:after="283"/>
              <w:jc w:val="right"/>
              <w:rPr/>
            </w:pPr>
            <w:r>
              <w:rPr/>
              <w:t> </w:t>
            </w:r>
          </w:p>
        </w:tc>
      </w:tr>
      <w:tr>
        <w:trPr/>
        <w:tc>
          <w:tcPr>
            <w:tcW w:w="6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right"/>
              <w:rPr/>
            </w:pPr>
            <w:r>
              <w:rPr/>
              <w:t> </w:t>
            </w:r>
          </w:p>
        </w:tc>
        <w:tc>
          <w:tcPr>
            <w:tcW w:w="495" w:type="dxa"/>
            <w:tcBorders/>
            <w:shd w:fill="FFFFFF" w:val="clear"/>
            <w:vAlign w:val="center"/>
          </w:tcPr>
          <w:p>
            <w:pPr>
              <w:pStyle w:val="TableContents"/>
              <w:bidi w:val="0"/>
              <w:spacing w:before="0" w:after="283"/>
              <w:jc w:val="right"/>
              <w:rPr/>
            </w:pPr>
            <w:r>
              <w:rPr/>
              <w:t> </w:t>
            </w:r>
          </w:p>
        </w:tc>
      </w:tr>
      <w:tr>
        <w:trPr/>
        <w:tc>
          <w:tcPr>
            <w:tcW w:w="6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3" w:type="dxa"/>
            <w:gridSpan w:val="2"/>
            <w:tcBorders/>
            <w:shd w:fill="CFF0FC" w:val="clear"/>
            <w:vAlign w:val="center"/>
          </w:tcPr>
          <w:p>
            <w:pPr>
              <w:pStyle w:val="TableContents"/>
              <w:bidi w:val="0"/>
              <w:spacing w:before="0" w:after="283"/>
              <w:jc w:val="right"/>
              <w:rPr/>
            </w:pPr>
            <w:r>
              <w:rPr/>
              <w:t> </w:t>
            </w:r>
          </w:p>
        </w:tc>
        <w:tc>
          <w:tcPr>
            <w:tcW w:w="495" w:type="dxa"/>
            <w:tcBorders/>
            <w:shd w:fill="CFF0FC" w:val="clear"/>
            <w:vAlign w:val="center"/>
          </w:tcPr>
          <w:p>
            <w:pPr>
              <w:pStyle w:val="TableContents"/>
              <w:bidi w:val="0"/>
              <w:spacing w:before="0" w:after="283"/>
              <w:ind w:left="0" w:right="0" w:firstLine="100"/>
              <w:jc w:val="right"/>
              <w:rPr/>
            </w:pPr>
            <w:r>
              <w:rPr/>
              <w:t> </w:t>
            </w:r>
          </w:p>
        </w:tc>
      </w:tr>
      <w:tr>
        <w:trPr/>
        <w:tc>
          <w:tcPr>
            <w:tcW w:w="6801"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Common stock, $.10</w:t>
            </w:r>
            <w:r>
              <w:rPr>
                <w:rFonts w:ascii="Times New Roman" w:hAnsi="Times New Roman"/>
                <w:color w:val="000000"/>
                <w:sz w:val="20"/>
              </w:rPr>
              <w:t> </w:t>
            </w:r>
            <w:r>
              <w:rPr>
                <w:rFonts w:ascii="Times New Roman" w:hAnsi="Times New Roman"/>
                <w:b w:val="false"/>
                <w:color w:val="000000"/>
                <w:sz w:val="20"/>
              </w:rPr>
              <w:t>par value; 150</w:t>
            </w:r>
            <w:r>
              <w:rPr>
                <w:rFonts w:ascii="Times New Roman" w:hAnsi="Times New Roman"/>
                <w:color w:val="000000"/>
                <w:sz w:val="20"/>
              </w:rPr>
              <w:t> </w:t>
            </w:r>
            <w:r>
              <w:rPr>
                <w:rFonts w:ascii="Times New Roman" w:hAnsi="Times New Roman"/>
                <w:b w:val="false"/>
                <w:color w:val="000000"/>
                <w:sz w:val="20"/>
              </w:rPr>
              <w:t>million shares authorized, 91.2</w:t>
            </w:r>
            <w:r>
              <w:rPr>
                <w:rFonts w:ascii="Times New Roman" w:hAnsi="Times New Roman"/>
                <w:color w:val="000000"/>
                <w:sz w:val="20"/>
              </w:rPr>
              <w:t> </w:t>
            </w:r>
            <w:r>
              <w:rPr>
                <w:rFonts w:ascii="Times New Roman" w:hAnsi="Times New Roman"/>
                <w:b w:val="false"/>
                <w:color w:val="000000"/>
                <w:sz w:val="20"/>
              </w:rPr>
              <w:t xml:space="preserve">million </w:t>
              <w:br/>
              <w:t>   shares issued</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9,117</w:t>
            </w:r>
          </w:p>
        </w:tc>
        <w:tc>
          <w:tcPr>
            <w:tcW w:w="495" w:type="dxa"/>
            <w:tcBorders/>
            <w:shd w:fill="FFFFFF" w:val="clear"/>
            <w:vAlign w:val="center"/>
          </w:tcPr>
          <w:p>
            <w:pPr>
              <w:pStyle w:val="TableContents"/>
              <w:bidi w:val="0"/>
              <w:spacing w:before="0" w:after="283"/>
              <w:ind w:left="0" w:right="0" w:firstLine="100"/>
              <w:jc w:val="left"/>
              <w:rPr/>
            </w:pPr>
            <w:r>
              <w:rPr/>
              <w:t> </w:t>
            </w:r>
          </w:p>
        </w:tc>
      </w:tr>
      <w:tr>
        <w:trPr/>
        <w:tc>
          <w:tcPr>
            <w:tcW w:w="680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Capital in excess of par value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499,528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497,179</w:t>
            </w:r>
          </w:p>
        </w:tc>
        <w:tc>
          <w:tcPr>
            <w:tcW w:w="495" w:type="dxa"/>
            <w:tcBorders/>
            <w:shd w:fill="CFF0FC" w:val="clear"/>
            <w:vAlign w:val="center"/>
          </w:tcPr>
          <w:p>
            <w:pPr>
              <w:pStyle w:val="TableContents"/>
              <w:bidi w:val="0"/>
              <w:spacing w:before="0" w:after="283"/>
              <w:ind w:left="0" w:right="0" w:firstLine="100"/>
              <w:jc w:val="left"/>
              <w:rPr/>
            </w:pPr>
            <w:r>
              <w:rPr/>
              <w:t> </w:t>
            </w:r>
          </w:p>
        </w:tc>
      </w:tr>
      <w:tr>
        <w:trPr/>
        <w:tc>
          <w:tcPr>
            <w:tcW w:w="680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199,092</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741,007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705,388</w:t>
            </w:r>
          </w:p>
        </w:tc>
        <w:tc>
          <w:tcPr>
            <w:tcW w:w="495" w:type="dxa"/>
            <w:tcBorders/>
            <w:shd w:fill="CFF0FC" w:val="clear"/>
            <w:vAlign w:val="center"/>
          </w:tcPr>
          <w:p>
            <w:pPr>
              <w:pStyle w:val="TableContents"/>
              <w:bidi w:val="0"/>
              <w:spacing w:before="0" w:after="283"/>
              <w:ind w:left="0" w:right="0" w:firstLine="100"/>
              <w:jc w:val="left"/>
              <w:rPr/>
            </w:pPr>
            <w:r>
              <w:rPr/>
              <w:t> </w:t>
            </w:r>
          </w:p>
        </w:tc>
      </w:tr>
      <w:tr>
        <w:trPr/>
        <w:tc>
          <w:tcPr>
            <w:tcW w:w="680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treasury stock, at cost:</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right"/>
              <w:rPr/>
            </w:pPr>
            <w:r>
              <w:rPr/>
              <w:t> </w:t>
            </w:r>
          </w:p>
        </w:tc>
        <w:tc>
          <w:tcPr>
            <w:tcW w:w="495" w:type="dxa"/>
            <w:tcBorders/>
            <w:shd w:fill="FFFFFF" w:val="clear"/>
            <w:vAlign w:val="center"/>
          </w:tcPr>
          <w:p>
            <w:pPr>
              <w:pStyle w:val="TableContents"/>
              <w:bidi w:val="0"/>
              <w:spacing w:before="0" w:after="283"/>
              <w:ind w:left="0" w:right="0" w:firstLine="300"/>
              <w:jc w:val="right"/>
              <w:rPr/>
            </w:pPr>
            <w:r>
              <w:rPr/>
              <w:t> </w:t>
            </w:r>
          </w:p>
        </w:tc>
      </w:tr>
      <w:tr>
        <w:trPr/>
        <w:tc>
          <w:tcPr>
            <w:tcW w:w="6801" w:type="dxa"/>
            <w:tcBorders/>
            <w:shd w:fill="CFF0FC"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b w:val="false"/>
                <w:color w:val="000000"/>
                <w:sz w:val="20"/>
              </w:rPr>
              <w:t>Common stock, 16.8</w:t>
            </w:r>
            <w:r>
              <w:rPr>
                <w:rFonts w:ascii="Times New Roman" w:hAnsi="Times New Roman"/>
                <w:color w:val="000000"/>
                <w:sz w:val="20"/>
              </w:rPr>
              <w:t> </w:t>
            </w:r>
            <w:r>
              <w:rPr>
                <w:rFonts w:ascii="Times New Roman" w:hAnsi="Times New Roman"/>
                <w:b w:val="false"/>
                <w:color w:val="000000"/>
                <w:sz w:val="20"/>
              </w:rPr>
              <w:t>million shares</w:t>
            </w:r>
            <w:r>
              <w:rPr>
                <w:rFonts w:ascii="Times New Roman" w:hAnsi="Times New Roman"/>
                <w:color w:val="000000"/>
                <w:sz w:val="20"/>
              </w:rPr>
              <w:t xml:space="preserve"> </w:t>
            </w:r>
            <w:r>
              <w:rPr>
                <w:rFonts w:ascii="Times New Roman" w:hAnsi="Times New Roman"/>
                <w:b w:val="false"/>
                <w:color w:val="000000"/>
                <w:sz w:val="20"/>
              </w:rPr>
              <w:t>(14.9</w:t>
            </w:r>
            <w:r>
              <w:rPr>
                <w:rFonts w:ascii="Times New Roman" w:hAnsi="Times New Roman"/>
                <w:color w:val="000000"/>
                <w:sz w:val="20"/>
              </w:rPr>
              <w:t> </w:t>
            </w:r>
            <w:r>
              <w:rPr>
                <w:rFonts w:ascii="Times New Roman" w:hAnsi="Times New Roman"/>
                <w:b w:val="false"/>
                <w:color w:val="000000"/>
                <w:sz w:val="20"/>
              </w:rPr>
              <w:t>million shares at December 31, 2022)</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189,515</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515,873</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1,292,206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1,439,819</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662" w:type="dxa"/>
        <w:jc w:val="left"/>
        <w:tblInd w:w="0" w:type="dxa"/>
        <w:tblLayout w:type="fixed"/>
        <w:tblCellMar>
          <w:top w:w="28" w:type="dxa"/>
          <w:left w:w="28" w:type="dxa"/>
          <w:bottom w:w="28" w:type="dxa"/>
          <w:right w:w="28" w:type="dxa"/>
        </w:tblCellMar>
      </w:tblPr>
      <w:tblGrid>
        <w:gridCol w:w="4021"/>
        <w:gridCol w:w="146"/>
        <w:gridCol w:w="211"/>
        <w:gridCol w:w="781"/>
        <w:gridCol w:w="166"/>
        <w:gridCol w:w="146"/>
        <w:gridCol w:w="211"/>
        <w:gridCol w:w="781"/>
        <w:gridCol w:w="166"/>
        <w:gridCol w:w="146"/>
        <w:gridCol w:w="211"/>
        <w:gridCol w:w="781"/>
        <w:gridCol w:w="166"/>
        <w:gridCol w:w="146"/>
        <w:gridCol w:w="211"/>
        <w:gridCol w:w="781"/>
        <w:gridCol w:w="5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5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04" w:type="dxa"/>
            <w:gridSpan w:val="14"/>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 Except Per Share Amounts)</w:t>
            </w:r>
          </w:p>
        </w:tc>
        <w:tc>
          <w:tcPr>
            <w:tcW w:w="591" w:type="dxa"/>
            <w:tcBorders/>
            <w:shd w:fill="FFFFFF" w:val="cle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114,287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461,096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668,057</w:t>
            </w:r>
          </w:p>
        </w:tc>
        <w:tc>
          <w:tcPr>
            <w:tcW w:w="5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412,274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(loss)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255,783</w:t>
            </w:r>
          </w:p>
        </w:tc>
        <w:tc>
          <w:tcPr>
            <w:tcW w:w="5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29,711</w:t>
            </w:r>
          </w:p>
        </w:tc>
        <w:tc>
          <w:tcPr>
            <w:tcW w:w="5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225,695</w:t>
            </w:r>
          </w:p>
        </w:tc>
        <w:tc>
          <w:tcPr>
            <w:tcW w:w="5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34,455</w:t>
            </w:r>
          </w:p>
        </w:tc>
        <w:tc>
          <w:tcPr>
            <w:tcW w:w="5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loss on extinguishment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5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Non-operating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income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196,754</w:t>
            </w:r>
          </w:p>
        </w:tc>
        <w:tc>
          <w:tcPr>
            <w:tcW w:w="5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(Benefit)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164,477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income per common share: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0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402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0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0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6" w:name="condensed_consolidated_statement_stockho"/>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9"/>
        <w:gridCol w:w="146"/>
        <w:gridCol w:w="146"/>
        <w:gridCol w:w="605"/>
        <w:gridCol w:w="146"/>
        <w:gridCol w:w="146"/>
        <w:gridCol w:w="146"/>
        <w:gridCol w:w="661"/>
        <w:gridCol w:w="166"/>
        <w:gridCol w:w="146"/>
        <w:gridCol w:w="208"/>
        <w:gridCol w:w="543"/>
        <w:gridCol w:w="146"/>
        <w:gridCol w:w="146"/>
        <w:gridCol w:w="196"/>
        <w:gridCol w:w="691"/>
        <w:gridCol w:w="166"/>
        <w:gridCol w:w="146"/>
        <w:gridCol w:w="338"/>
        <w:gridCol w:w="1198"/>
        <w:gridCol w:w="166"/>
        <w:gridCol w:w="146"/>
        <w:gridCol w:w="196"/>
        <w:gridCol w:w="751"/>
        <w:gridCol w:w="166"/>
        <w:gridCol w:w="146"/>
        <w:gridCol w:w="196"/>
        <w:gridCol w:w="691"/>
        <w:gridCol w:w="212"/>
      </w:tblGrid>
      <w:tr>
        <w:trPr/>
        <w:tc>
          <w:tcPr>
            <w:tcW w:w="1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Common</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Treasury</w:t>
              <w:br/>
              <w:t>Stock-</w:t>
              <w:br/>
              <w:t xml:space="preserve">Common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Common</w:t>
              <w:br/>
              <w:t xml:space="preserve">Stock </w:t>
              <w:br/>
              <w:t xml:space="preserve">Par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 xml:space="preserve">Capital in </w:t>
              <w:br/>
              <w:t>Excess of</w:t>
              <w:br/>
              <w:t xml:space="preserve">Par </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Retained Earnings (Accumulated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Treasury</w:t>
              <w:br/>
              <w:t>Stock-</w:t>
              <w:b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8" w:type="dxa"/>
            <w:gridSpan w:val="26"/>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w:t>
            </w:r>
          </w:p>
        </w:tc>
        <w:tc>
          <w:tcPr>
            <w:tcW w:w="212" w:type="dxa"/>
            <w:tcBorders/>
            <w:shd w:fill="FFFFFF" w:val="clear"/>
            <w:vAlign w:val="center"/>
          </w:tcPr>
          <w:p>
            <w:pPr>
              <w:pStyle w:val="TableContents"/>
              <w:bidi w:val="0"/>
              <w:spacing w:before="0" w:after="283"/>
              <w:jc w:val="center"/>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(14,888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4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497,179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(189,515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515,873</w:t>
            </w:r>
          </w:p>
        </w:tc>
        <w:tc>
          <w:tcPr>
            <w:tcW w:w="212" w:type="dxa"/>
            <w:tcBorders/>
            <w:shd w:fill="CFF0FC" w:val="clear"/>
            <w:vAlign w:val="center"/>
          </w:tcPr>
          <w:p>
            <w:pPr>
              <w:pStyle w:val="TableContents"/>
              <w:bidi w:val="0"/>
              <w:spacing w:before="0" w:after="283"/>
              <w:jc w:val="left"/>
              <w:rPr/>
            </w:pPr>
            <w:r>
              <w:rPr/>
              <w:t> </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15,901</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719</w:t>
            </w:r>
          </w:p>
        </w:tc>
        <w:tc>
          <w:tcPr>
            <w:tcW w:w="212" w:type="dxa"/>
            <w:tcBorders/>
            <w:shd w:fill="CFF0FC" w:val="clear"/>
            <w:vAlign w:val="center"/>
          </w:tcPr>
          <w:p>
            <w:pPr>
              <w:pStyle w:val="TableContents"/>
              <w:bidi w:val="0"/>
              <w:spacing w:before="0" w:after="283"/>
              <w:jc w:val="left"/>
              <w:rPr/>
            </w:pPr>
            <w:r>
              <w:rPr/>
              <w:t> </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restricted stock units</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5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withheld restricted stock and</w:t>
              <w:br/>
              <w:t>  restricted stock units vesting</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(2,541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(15,039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497,216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214,993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(191,374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529,952</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25,095</w:t>
            </w:r>
          </w:p>
        </w:tc>
        <w:tc>
          <w:tcPr>
            <w:tcW w:w="212" w:type="dxa"/>
            <w:tcBorders/>
            <w:shd w:fill="CFF0FC" w:val="clear"/>
            <w:vAlign w:val="center"/>
          </w:tcPr>
          <w:p>
            <w:pPr>
              <w:pStyle w:val="TableContents"/>
              <w:bidi w:val="0"/>
              <w:spacing w:before="0" w:after="283"/>
              <w:jc w:val="left"/>
              <w:rPr/>
            </w:pPr>
            <w:r>
              <w:rPr/>
              <w:t> </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1,927</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Purchase of common stock</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(17,218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(17,218</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restricted stock units</w:t>
              <w:br/>
              <w:t>  and ESPP participants</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5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withheld restricted stock</w:t>
              <w:br/>
              <w:t>  units vesting</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498,517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240,088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(207,925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539,797</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(7,726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(7,726</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1,318</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Purchase of common stock</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(586</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restricted stock units</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5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withheld restricted stock</w:t>
              <w:br/>
              <w:t>  units vesting</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499,528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532,744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493,161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(31,255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460,490</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58,766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58,766</w:t>
            </w:r>
          </w:p>
        </w:tc>
        <w:tc>
          <w:tcPr>
            <w:tcW w:w="212" w:type="dxa"/>
            <w:tcBorders/>
            <w:shd w:fill="CFF0FC" w:val="clear"/>
            <w:vAlign w:val="center"/>
          </w:tcPr>
          <w:p>
            <w:pPr>
              <w:pStyle w:val="TableContents"/>
              <w:bidi w:val="0"/>
              <w:spacing w:before="0" w:after="283"/>
              <w:jc w:val="left"/>
              <w:rPr/>
            </w:pPr>
            <w:r>
              <w:rPr/>
              <w:t> </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803</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493,964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27,511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518,188</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103,399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103,399</w:t>
            </w:r>
          </w:p>
        </w:tc>
        <w:tc>
          <w:tcPr>
            <w:tcW w:w="212" w:type="dxa"/>
            <w:tcBorders/>
            <w:shd w:fill="CFF0FC" w:val="clear"/>
            <w:vAlign w:val="center"/>
          </w:tcPr>
          <w:p>
            <w:pPr>
              <w:pStyle w:val="TableContents"/>
              <w:bidi w:val="0"/>
              <w:spacing w:before="0" w:after="283"/>
              <w:jc w:val="left"/>
              <w:rPr/>
            </w:pPr>
            <w:r>
              <w:rPr/>
              <w:t> </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1,366</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Purchase of common stock</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(13,394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495,330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(25,798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609,559</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2,312</w:t>
            </w:r>
          </w:p>
        </w:tc>
        <w:tc>
          <w:tcPr>
            <w:tcW w:w="212" w:type="dxa"/>
            <w:tcBorders/>
            <w:shd w:fill="CFF0FC" w:val="clear"/>
            <w:vAlign w:val="center"/>
          </w:tcPr>
          <w:p>
            <w:pPr>
              <w:pStyle w:val="TableContents"/>
              <w:bidi w:val="0"/>
              <w:spacing w:before="0" w:after="283"/>
              <w:jc w:val="left"/>
              <w:rPr/>
            </w:pPr>
            <w:r>
              <w:rPr/>
              <w:t> </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921</w:t>
            </w:r>
          </w:p>
        </w:tc>
        <w:tc>
          <w:tcPr>
            <w:tcW w:w="212" w:type="dxa"/>
            <w:tcBorders/>
            <w:shd w:fill="FFFFFF" w:val="clear"/>
            <w:vAlign w:val="center"/>
          </w:tcPr>
          <w:p>
            <w:pPr>
              <w:pStyle w:val="TableContents"/>
              <w:bidi w:val="0"/>
              <w:spacing w:before="0" w:after="283"/>
              <w:jc w:val="left"/>
              <w:rPr/>
            </w:pPr>
            <w:r>
              <w:rPr/>
              <w:t> </w:t>
            </w:r>
          </w:p>
        </w:tc>
      </w:tr>
      <w:tr>
        <w:trPr/>
        <w:tc>
          <w:tcPr>
            <w:tcW w:w="14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Purchase of common stock</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(6,854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(86,648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(86,648</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44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91,168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(9,171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496,251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133,222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(112,446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526,144</w:t>
            </w:r>
          </w:p>
        </w:tc>
        <w:tc>
          <w:tcPr>
            <w:tcW w:w="21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894" w:type="dxa"/>
        <w:jc w:val="left"/>
        <w:tblInd w:w="0" w:type="dxa"/>
        <w:tblLayout w:type="fixed"/>
        <w:tblCellMar>
          <w:top w:w="28" w:type="dxa"/>
          <w:left w:w="28" w:type="dxa"/>
          <w:bottom w:w="28" w:type="dxa"/>
          <w:right w:w="28" w:type="dxa"/>
        </w:tblCellMar>
      </w:tblPr>
      <w:tblGrid>
        <w:gridCol w:w="6721"/>
        <w:gridCol w:w="146"/>
        <w:gridCol w:w="211"/>
        <w:gridCol w:w="841"/>
        <w:gridCol w:w="166"/>
        <w:gridCol w:w="146"/>
        <w:gridCol w:w="211"/>
        <w:gridCol w:w="841"/>
        <w:gridCol w:w="6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Nine Months Ended</w:t>
            </w:r>
          </w:p>
        </w:tc>
        <w:tc>
          <w:tcPr>
            <w:tcW w:w="611" w:type="dxa"/>
            <w:tcBorders/>
            <w:shd w:fill="FFFFFF" w:val="cle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611" w:type="dxa"/>
            <w:tcBorders/>
            <w:shd w:fill="FFFFFF" w:val="cle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164,477</w:t>
            </w:r>
          </w:p>
        </w:tc>
        <w:tc>
          <w:tcPr>
            <w:tcW w:w="6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31,210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(Gain) 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 of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50,013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of intangible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provided (used) by changes in assets and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7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(22,105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(13,147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insurance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12,486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Supplies, prepaid items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(3,455</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(12,672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32,004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10,010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7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payroll and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(2,298</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assets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120,522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259,182</w:t>
            </w:r>
          </w:p>
        </w:tc>
        <w:tc>
          <w:tcPr>
            <w:tcW w:w="6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Expenditures for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(32,531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293,347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59,728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(230,690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(423,091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(used)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(392,948</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proceeds from 6.25% senior secured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200,000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Repurchases of 6.25% senior secured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 on other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(10,950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 on short-term financing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(16,134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(11,291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Acquisition of treasury stock,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(20,364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(101,912</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 of debt-related costs, including</w:t>
              <w:br/>
              <w:t>   extinguishment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(158,973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71,257</w:t>
            </w:r>
          </w:p>
        </w:tc>
        <w:tc>
          <w:tcPr>
            <w:tcW w:w="6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(62,509</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19,635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w:t>
      </w:r>
    </w:p>
    <w:p>
      <w:pPr>
        <w:pStyle w:val="TextBody"/>
        <w:bidi w:val="0"/>
        <w:spacing w:before="40" w:after="283"/>
        <w:jc w:val="center"/>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Summary of Significant Accounting Policies</w:t>
      </w:r>
      <w:r>
        <w:rPr>
          <w:rFonts w:ascii="Times New Roman" w:hAnsi="Times New Roman"/>
          <w:color w:val="000000"/>
          <w:sz w:val="20"/>
        </w:rPr>
        <w:t xml:space="preserve"> </w:t>
      </w:r>
    </w:p>
    <w:p>
      <w:pPr>
        <w:pStyle w:val="TextBody"/>
        <w:bidi w:val="0"/>
        <w:spacing w:before="100" w:after="283"/>
        <w:jc w:val="both"/>
        <w:rPr>
          <w:rFonts w:ascii="Times New Roman" w:hAnsi="Times New Roman"/>
          <w:sz w:val="20"/>
        </w:rPr>
      </w:pPr>
      <w:r>
        <w:rPr>
          <w:rFonts w:ascii="Times New Roman" w:hAnsi="Times New Roman"/>
          <w:b w:val="false"/>
          <w:color w:val="000000"/>
          <w:sz w:val="20"/>
        </w:rPr>
        <w:t>The accompanying unaudited interim financial statements and notes of LSB have been prepared pursuant to the rules and regulations of the Securities and Exchange Commission (“SEC”). Pursuant to such rules and regulations, certain disclosures normally included in financial statements prepared in accordance with U.S. GAAP have been omitted. The accompanying unaudited interim financial statements and notes should be read in conjunction with the financial statements and notes included in the Company’s Form 10-K for the year ended December 31, 2022 (our “2022 Form 10-K”), filed with the SEC on February 23, 2023. The accompanying unaudited interim financial statements in this report reflect all adjustments that are, in the opinion of management, necessary for a fair statement of the Company’s results of operations and cash flows for the three-month and nine-month periods ended September 30, 2023 and 2022 and the Company’s financial position as of September 30, 2023.</w:t>
      </w:r>
      <w:r>
        <w:rPr>
          <w:rFonts w:ascii="Times New Roman" w:hAnsi="Times New Roman"/>
          <w:color w:val="000000"/>
          <w:sz w:val="20"/>
        </w:rPr>
        <w:t xml:space="preserve"> </w:t>
      </w:r>
    </w:p>
    <w:p>
      <w:pPr>
        <w:pStyle w:val="TextBody"/>
        <w:bidi w:val="0"/>
        <w:spacing w:before="100" w:after="283"/>
        <w:jc w:val="both"/>
        <w:rPr>
          <w:rFonts w:ascii="Times New Roman" w:hAnsi="Times New Roman"/>
          <w:sz w:val="20"/>
        </w:rPr>
      </w:pPr>
      <w:r>
        <w:rPr>
          <w:rFonts w:ascii="Times New Roman" w:hAnsi="Times New Roman"/>
          <w:b/>
          <w:color w:val="000000"/>
          <w:sz w:val="20"/>
        </w:rPr>
        <w:t>Basis of Consolidation</w:t>
      </w:r>
      <w:r>
        <w:rPr>
          <w:rFonts w:ascii="Times New Roman" w:hAnsi="Times New Roman"/>
          <w:color w:val="000000"/>
          <w:sz w:val="20"/>
        </w:rPr>
        <w:t xml:space="preserve"> – </w:t>
      </w:r>
      <w:r>
        <w:rPr>
          <w:rFonts w:ascii="Times New Roman" w:hAnsi="Times New Roman"/>
          <w:b w:val="false"/>
          <w:color w:val="000000"/>
          <w:sz w:val="20"/>
        </w:rPr>
        <w:t>LSB and its subsidiaries are consolidated in the accompanying condensed consolidated financial statements. LSB is a holding company with no significant operations or assets other than cash, cash equivalents, short-term investments and investments in its subsidiaries. All intercompany accounts and transactions have been eliminated.</w:t>
      </w:r>
      <w:r>
        <w:rPr>
          <w:rFonts w:ascii="Times New Roman" w:hAnsi="Times New Roman"/>
          <w:color w:val="000000"/>
          <w:sz w:val="20"/>
        </w:rPr>
        <w:t xml:space="preserve"> </w:t>
      </w:r>
      <w:r>
        <w:rPr>
          <w:rFonts w:ascii="Times New Roman" w:hAnsi="Times New Roman"/>
          <w:b w:val="false"/>
          <w:color w:val="000000"/>
          <w:sz w:val="20"/>
        </w:rPr>
        <w:t>Certain prior period amounts reported in our condensed consolidated financial statements and notes thereto have been reclassified to conform to current period presentation.</w:t>
      </w:r>
    </w:p>
    <w:p>
      <w:pPr>
        <w:pStyle w:val="TextBody"/>
        <w:bidi w:val="0"/>
        <w:spacing w:before="100" w:after="283"/>
        <w:jc w:val="both"/>
        <w:rPr>
          <w:rFonts w:ascii="Times New Roman" w:hAnsi="Times New Roman"/>
          <w:sz w:val="20"/>
        </w:rPr>
      </w:pPr>
      <w:r>
        <w:rPr>
          <w:rFonts w:ascii="Times New Roman" w:hAnsi="Times New Roman"/>
          <w:b/>
          <w:color w:val="000000"/>
          <w:sz w:val="20"/>
        </w:rPr>
        <w:t>Nature of Business –</w:t>
      </w:r>
      <w:r>
        <w:rPr>
          <w:rFonts w:ascii="Times New Roman" w:hAnsi="Times New Roman"/>
          <w:color w:val="000000"/>
          <w:sz w:val="20"/>
        </w:rPr>
        <w:t xml:space="preserve"> </w:t>
      </w:r>
      <w:r>
        <w:rPr>
          <w:rFonts w:ascii="Times New Roman" w:hAnsi="Times New Roman"/>
          <w:b w:val="false"/>
          <w:color w:val="000000"/>
          <w:sz w:val="20"/>
        </w:rPr>
        <w:t>We are engaged in the manufacture and sale of chemical products. The chemical products we primarily manufacture, market and sell are ammonia, fertilizer grade ammonium nitrate (“AN” and “HDAN”) and urea ammonium nitrate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w:t>
      </w:r>
      <w:r>
        <w:rPr>
          <w:rFonts w:ascii="Times New Roman" w:hAnsi="Times New Roman"/>
          <w:color w:val="000000"/>
          <w:sz w:val="20"/>
        </w:rPr>
        <w:t xml:space="preserve"> </w:t>
      </w:r>
      <w:r>
        <w:rPr>
          <w:rFonts w:ascii="Times New Roman" w:hAnsi="Times New Roman"/>
          <w:b w:val="false"/>
          <w:color w:val="000000"/>
          <w:sz w:val="20"/>
        </w:rPr>
        <w:t>facilities; three of which we own and are located in El Dorado, Arkansas (the “El Dorado Facility”); Cherokee, Alabama (the “Cherokee Facility”); and Pryor, Oklahoma (the “Pryor Facility”); and one of which we operate on behalf of Covestro in Baytown, Texas.</w:t>
      </w:r>
      <w:r>
        <w:rPr>
          <w:rFonts w:ascii="Times New Roman" w:hAnsi="Times New Roman"/>
          <w:color w:val="000000"/>
          <w:sz w:val="20"/>
        </w:rPr>
        <w:t xml:space="preserve"> </w:t>
      </w:r>
    </w:p>
    <w:p>
      <w:pPr>
        <w:pStyle w:val="TextBody"/>
        <w:bidi w:val="0"/>
        <w:spacing w:before="100" w:after="283"/>
        <w:jc w:val="both"/>
        <w:rPr>
          <w:rFonts w:ascii="Times New Roman" w:hAnsi="Times New Roman"/>
          <w:b w:val="false"/>
          <w:color w:val="000000"/>
          <w:sz w:val="20"/>
        </w:rPr>
      </w:pPr>
      <w:r>
        <w:rPr>
          <w:rFonts w:ascii="Times New Roman" w:hAnsi="Times New Roman"/>
          <w:b w:val="false"/>
          <w:color w:val="000000"/>
          <w:sz w:val="20"/>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Canada and the Caribbean.</w:t>
      </w:r>
    </w:p>
    <w:p>
      <w:pPr>
        <w:pStyle w:val="TextBody"/>
        <w:bidi w:val="0"/>
        <w:spacing w:before="100" w:after="283"/>
        <w:jc w:val="both"/>
        <w:rPr>
          <w:rFonts w:ascii="Times New Roman" w:hAnsi="Times New Roman"/>
          <w:b w:val="false"/>
          <w:color w:val="000000"/>
          <w:sz w:val="20"/>
        </w:rPr>
      </w:pPr>
      <w:r>
        <w:rPr>
          <w:rFonts w:ascii="Times New Roman" w:hAnsi="Times New Roman"/>
          <w:b w:val="false"/>
          <w:color w:val="000000"/>
          <w:sz w:val="20"/>
        </w:rPr>
        <w:t>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pStyle w:val="TextBody"/>
        <w:bidi w:val="0"/>
        <w:spacing w:before="100" w:after="283"/>
        <w:jc w:val="both"/>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w:t>
      </w:r>
      <w:r>
        <w:rPr>
          <w:rFonts w:ascii="Times New Roman" w:hAnsi="Times New Roman"/>
          <w:b w:val="false"/>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r>
        <w:rPr>
          <w:rFonts w:ascii="Times New Roman" w:hAnsi="Times New Roman"/>
          <w:color w:val="000000"/>
          <w:sz w:val="20"/>
        </w:rPr>
        <w:t xml:space="preserve"> </w:t>
      </w:r>
    </w:p>
    <w:p>
      <w:pPr>
        <w:pStyle w:val="TextBody"/>
        <w:bidi w:val="0"/>
        <w:spacing w:before="100" w:after="283"/>
        <w:jc w:val="both"/>
        <w:rPr>
          <w:rFonts w:ascii="Times New Roman" w:hAnsi="Times New Roman"/>
          <w:sz w:val="20"/>
        </w:rPr>
      </w:pPr>
      <w:r>
        <w:rPr>
          <w:rFonts w:ascii="Times New Roman" w:hAnsi="Times New Roman"/>
          <w:b/>
          <w:color w:val="000000"/>
          <w:sz w:val="20"/>
        </w:rPr>
        <w:t>Repurchase Program –</w:t>
      </w:r>
      <w:r>
        <w:rPr>
          <w:rFonts w:ascii="Times New Roman" w:hAnsi="Times New Roman"/>
          <w:color w:val="000000"/>
          <w:sz w:val="20"/>
        </w:rPr>
        <w:t xml:space="preserve"> </w:t>
      </w:r>
      <w:r>
        <w:rPr>
          <w:rFonts w:ascii="Times New Roman" w:hAnsi="Times New Roman"/>
          <w:b w:val="false"/>
          <w:color w:val="000000"/>
          <w:sz w:val="20"/>
        </w:rPr>
        <w:t>In May 2023, our Board of Directors (our “Board”) authorized a $150</w:t>
      </w:r>
      <w:r>
        <w:rPr>
          <w:rFonts w:ascii="Times New Roman" w:hAnsi="Times New Roman"/>
          <w:color w:val="000000"/>
          <w:sz w:val="20"/>
        </w:rPr>
        <w:t xml:space="preserve"> </w:t>
      </w:r>
      <w:r>
        <w:rPr>
          <w:rFonts w:ascii="Times New Roman" w:hAnsi="Times New Roman"/>
          <w:b w:val="false"/>
          <w:color w:val="000000"/>
          <w:sz w:val="20"/>
        </w:rPr>
        <w:t>million stock repurchase program. Total repurchase authority remaining under the repurchase program was $132</w:t>
      </w:r>
      <w:r>
        <w:rPr>
          <w:rFonts w:ascii="Times New Roman" w:hAnsi="Times New Roman"/>
          <w:color w:val="000000"/>
          <w:sz w:val="20"/>
        </w:rPr>
        <w:t xml:space="preserve"> </w:t>
      </w:r>
      <w:r>
        <w:rPr>
          <w:rFonts w:ascii="Times New Roman" w:hAnsi="Times New Roman"/>
          <w:b w:val="false"/>
          <w:color w:val="000000"/>
          <w:sz w:val="20"/>
        </w:rPr>
        <w:t>million as of September 30, 2023. The repurchase program may be suspended, terminated or modified at any time for any reason, including market conditions, the cost of repurchasing securities, the availability of alternative investment opportunities, liquidity, and other factors deemed appropriate. The repurchase program does not obligate us to purchase any particular number or type of securities. During the third quarter of 2023, we repurchased approximately 60</w:t>
      </w:r>
      <w:r>
        <w:rPr>
          <w:rFonts w:ascii="Times New Roman" w:hAnsi="Times New Roman"/>
          <w:color w:val="000000"/>
          <w:sz w:val="20"/>
        </w:rPr>
        <w:t xml:space="preserve"> </w:t>
      </w:r>
      <w:r>
        <w:rPr>
          <w:rFonts w:ascii="Times New Roman" w:hAnsi="Times New Roman"/>
          <w:b w:val="false"/>
          <w:color w:val="000000"/>
          <w:sz w:val="20"/>
        </w:rPr>
        <w:t>thousand shares of common stock at an average cost of $9.78</w:t>
      </w:r>
      <w:r>
        <w:rPr>
          <w:rFonts w:ascii="Times New Roman" w:hAnsi="Times New Roman"/>
          <w:color w:val="000000"/>
          <w:sz w:val="20"/>
        </w:rPr>
        <w:t xml:space="preserve"> </w:t>
      </w:r>
      <w:r>
        <w:rPr>
          <w:rFonts w:ascii="Times New Roman" w:hAnsi="Times New Roman"/>
          <w:b w:val="false"/>
          <w:color w:val="000000"/>
          <w:sz w:val="20"/>
        </w:rPr>
        <w:t>per share.</w:t>
      </w:r>
    </w:p>
    <w:p>
      <w:pPr>
        <w:pStyle w:val="TextBody"/>
        <w:bidi w:val="0"/>
        <w:spacing w:before="100" w:after="283"/>
        <w:jc w:val="both"/>
        <w:rPr>
          <w:rFonts w:ascii="Times New Roman" w:hAnsi="Times New Roman"/>
          <w:sz w:val="20"/>
        </w:rPr>
      </w:pPr>
      <w:r>
        <w:rPr>
          <w:rFonts w:ascii="Times New Roman" w:hAnsi="Times New Roman"/>
          <w:b/>
          <w:color w:val="000000"/>
          <w:sz w:val="20"/>
        </w:rPr>
        <w:t>Short-Term Investments -</w:t>
      </w:r>
      <w:r>
        <w:rPr>
          <w:rFonts w:ascii="Times New Roman" w:hAnsi="Times New Roman"/>
          <w:color w:val="000000"/>
          <w:sz w:val="20"/>
        </w:rPr>
        <w:t xml:space="preserve"> </w:t>
      </w:r>
      <w:r>
        <w:rPr>
          <w:rFonts w:ascii="Times New Roman" w:hAnsi="Times New Roman"/>
          <w:b w:val="false"/>
          <w:color w:val="000000"/>
          <w:sz w:val="20"/>
        </w:rPr>
        <w:t>Investments, which consist of U.S. treasury bills with an original maturity up to and less than 52 weeks, are considered short-term investments and are classified as Level 1. We plan to hold these investments to maturity and have a history of holding investments to maturity. Due to the nature of these investments, as U.S. treasury securities, no impairment is anticipated.</w:t>
      </w:r>
      <w:r>
        <w:rPr>
          <w:rFonts w:ascii="Times New Roman" w:hAnsi="Times New Roman"/>
          <w:color w:val="000000"/>
          <w:sz w:val="20"/>
        </w:rPr>
        <w:t xml:space="preserve"> </w:t>
      </w:r>
    </w:p>
    <w:p>
      <w:pPr>
        <w:pStyle w:val="TextBody"/>
        <w:bidi w:val="0"/>
        <w:spacing w:before="100" w:after="283"/>
        <w:jc w:val="both"/>
        <w:rPr>
          <w:rFonts w:ascii="Times New Roman" w:hAnsi="Times New Roman"/>
          <w:sz w:val="20"/>
        </w:rPr>
      </w:pPr>
      <w:r>
        <w:rPr>
          <w:rFonts w:ascii="Times New Roman" w:hAnsi="Times New Roman"/>
          <w:b/>
          <w:color w:val="000000"/>
          <w:sz w:val="20"/>
        </w:rPr>
        <w:t xml:space="preserve">Accounts Receivable </w:t>
      </w:r>
      <w:r>
        <w:rPr>
          <w:rFonts w:ascii="Times New Roman" w:hAnsi="Times New Roman"/>
          <w:color w:val="000000"/>
          <w:sz w:val="20"/>
        </w:rPr>
        <w:t xml:space="preserve">– </w:t>
      </w:r>
      <w:r>
        <w:rPr>
          <w:rFonts w:ascii="Times New Roman" w:hAnsi="Times New Roman"/>
          <w:b w:val="false"/>
          <w:color w:val="000000"/>
          <w:sz w:val="20"/>
        </w:rPr>
        <w:t>Our accounts receivable are presented at net realizable value. This value includes an appropriate 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 looking assessment, where applicable.</w:t>
      </w:r>
      <w:r>
        <w:rPr>
          <w:rFonts w:ascii="Times New Roman" w:hAnsi="Times New Roman"/>
          <w:color w:val="000000"/>
          <w:sz w:val="20"/>
        </w:rPr>
        <w:t xml:space="preserve"> </w:t>
      </w:r>
    </w:p>
    <w:p>
      <w:pPr>
        <w:pStyle w:val="TextBody"/>
        <w:bidi w:val="0"/>
        <w:spacing w:before="100" w:after="283"/>
        <w:jc w:val="both"/>
        <w:rPr>
          <w:rFonts w:ascii="Times New Roman" w:hAnsi="Times New Roman"/>
          <w:sz w:val="20"/>
        </w:rPr>
      </w:pPr>
      <w:r>
        <w:rPr>
          <w:rFonts w:ascii="Times New Roman" w:hAnsi="Times New Roman"/>
          <w:b/>
          <w:color w:val="000000"/>
          <w:sz w:val="20"/>
        </w:rPr>
        <w:t>Impairment of Long-Lived Assets</w:t>
      </w:r>
      <w:r>
        <w:rPr>
          <w:rFonts w:ascii="Times New Roman" w:hAnsi="Times New Roman"/>
          <w:color w:val="000000"/>
          <w:sz w:val="20"/>
        </w:rPr>
        <w:t>–</w:t>
      </w:r>
      <w:r>
        <w:rPr>
          <w:rFonts w:ascii="Times New Roman" w:hAnsi="Times New Roman"/>
          <w:b w:val="false"/>
          <w:color w:val="000000"/>
          <w:sz w:val="20"/>
        </w:rPr>
        <w:t>Long-lived assets are reviewed for impairment whenever events or changes in circumstances indicate that the 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and depending on the event or change in circumstances, our asset groups are reviewed for impairment on a facility-by-facility basis (such as the Cherokee Facility, El Dorado Facility or Pryor Facility).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Short-Term Financing</w:t>
      </w:r>
      <w:r>
        <w:rPr>
          <w:rFonts w:ascii="Times New Roman" w:hAnsi="Times New Roman"/>
          <w:color w:val="000000"/>
          <w:sz w:val="20"/>
        </w:rPr>
        <w:t xml:space="preserve"> – </w:t>
      </w:r>
      <w:r>
        <w:rPr>
          <w:rFonts w:ascii="Times New Roman" w:hAnsi="Times New Roman"/>
          <w:b w:val="false"/>
          <w:color w:val="000000"/>
          <w:sz w:val="20"/>
        </w:rPr>
        <w:t>Our short-term financing represents the short-term note related to financing of our insurance premium, which are renewed annually during November.</w:t>
      </w:r>
    </w:p>
    <w:p>
      <w:pPr>
        <w:pStyle w:val="TextBody"/>
        <w:bidi w:val="0"/>
        <w:spacing w:before="120" w:after="283"/>
        <w:jc w:val="both"/>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 xml:space="preserve"> – </w:t>
      </w:r>
      <w:r>
        <w:rPr>
          <w:rFonts w:ascii="Times New Roman" w:hAnsi="Times New Roman"/>
          <w:b w:val="false"/>
          <w:color w:val="000000"/>
          <w:sz w:val="20"/>
        </w:rPr>
        <w:t>Certain conditions may exist which may result in a loss, but which will only be resolved when future events occur. We and our legal 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Derivatives, Hedges and Financial Instruments </w:t>
      </w:r>
      <w:r>
        <w:rPr>
          <w:rFonts w:ascii="Times New Roman" w:hAnsi="Times New Roman"/>
          <w:color w:val="000000"/>
          <w:sz w:val="20"/>
        </w:rPr>
        <w:t xml:space="preserve">– </w:t>
      </w:r>
      <w:r>
        <w:rPr>
          <w:rFonts w:ascii="Times New Roman" w:hAnsi="Times New Roman"/>
          <w:b w:val="false"/>
          <w:color w:val="000000"/>
          <w:sz w:val="20"/>
        </w:rPr>
        <w:t>Periodically, we entered into certain forward natural gas contracts. Whenever we have such derivative contracts outstanding, they are recognized in the balance sheet and measured at fair value. Changes in fair value of derivatives are recorded in results of operations unless the normal purchase or sale exceptions apply, or hedge accounting is elected.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reported as an asset or a liability in the balance sheet. When applicable, we present the fair values of our derivative contracts under master netting agreements using a gross fair value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Assets and liabilities measured at fair value are classified using the following hierarchy, which is based upon the transparency of inputs to the valuation as of the measurement date: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w:t>
      </w:r>
      <w:r>
        <w:rPr>
          <w:rFonts w:ascii="Times New Roman" w:hAnsi="Times New Roman"/>
          <w:b w:val="false"/>
          <w:color w:val="000000"/>
          <w:sz w:val="20"/>
        </w:rPr>
        <w:t>- Valuations of contracts classified as Level 1 are based on quoted prices in active markets for identical contracts.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w:t>
      </w:r>
      <w:r>
        <w:rPr>
          <w:rFonts w:ascii="Times New Roman" w:hAnsi="Times New Roman"/>
          <w:b w:val="false"/>
          <w:color w:val="000000"/>
          <w:sz w:val="20"/>
        </w:rPr>
        <w:t>- Valuations of contracts classified as Level 2 are based on quoted prices for similar contracts and valuation inputs other than quoted prices that are observable for these contracts.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w:t>
      </w:r>
      <w:r>
        <w:rPr>
          <w:rFonts w:ascii="Times New Roman" w:hAnsi="Times New Roman"/>
          <w:b w:val="false"/>
          <w:color w:val="000000"/>
          <w:sz w:val="20"/>
        </w:rPr>
        <w:t>- Valuations of assets and liabilities classified as Level 3 are based on prices or valuation techniques that require inputs that are both unobservable and significant to the overall fair value measurement.</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Leases </w:t>
      </w:r>
      <w:r>
        <w:rPr>
          <w:rFonts w:ascii="Times New Roman" w:hAnsi="Times New Roman"/>
          <w:color w:val="000000"/>
          <w:sz w:val="20"/>
        </w:rPr>
        <w:t xml:space="preserve">– </w:t>
      </w:r>
      <w:r>
        <w:rPr>
          <w:rFonts w:ascii="Times New Roman" w:hAnsi="Times New Roman"/>
          <w:b w:val="false"/>
          <w:color w:val="000000"/>
          <w:sz w:val="20"/>
        </w:rPr>
        <w:t>We determine if an arrangement is a lease at inception or modification of a 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and other leases under which we are the lessor are not material.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applicable lease term.</w:t>
      </w:r>
    </w:p>
    <w:p>
      <w:pPr>
        <w:pStyle w:val="TextBody"/>
        <w:bidi w:val="0"/>
        <w:jc w:val="both"/>
        <w:rPr>
          <w:rFonts w:ascii="Times New Roman" w:hAnsi="Times New Roman"/>
          <w:sz w:val="20"/>
        </w:rPr>
      </w:pPr>
      <w:r>
        <w:rPr>
          <w:rFonts w:ascii="Times New Roman" w:hAnsi="Times New Roman"/>
          <w:b w:val="false"/>
          <w:color w:val="000000"/>
          <w:sz w:val="20"/>
        </w:rPr>
        <w:t>As of September 30, 2023, we have executed operating leases with lease terms greater than one year, with total payments of approximately $5.8</w:t>
      </w:r>
      <w:r>
        <w:rPr>
          <w:rFonts w:ascii="Times New Roman" w:hAnsi="Times New Roman"/>
          <w:color w:val="000000"/>
          <w:sz w:val="20"/>
        </w:rPr>
        <w:t xml:space="preserve"> </w:t>
      </w:r>
      <w:r>
        <w:rPr>
          <w:rFonts w:ascii="Times New Roman" w:hAnsi="Times New Roman"/>
          <w:b w:val="false"/>
          <w:color w:val="000000"/>
          <w:sz w:val="20"/>
        </w:rPr>
        <w:t>million which have not yet commenced.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to U.S. GAAP are established by the Financial Accounting Standards Board (“FASB") in the form of accounting standards updates (“ASUs”) to the FASB’s Accounting Standards Codification. We consider the applicability and impact of all ASUs. ASUs issued and outstanding or that became effective since January 1, 2023 through the date of these financial statements were assessed and determined not to be applicable or are expected to have minimal impact on our condensed consolidated financial position and results of operations.</w:t>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2. Income Per Common Share</w:t>
      </w:r>
    </w:p>
    <w:tbl>
      <w:tblPr>
        <w:tblW w:w="9742" w:type="dxa"/>
        <w:jc w:val="left"/>
        <w:tblInd w:w="0" w:type="dxa"/>
        <w:tblLayout w:type="fixed"/>
        <w:tblCellMar>
          <w:top w:w="28" w:type="dxa"/>
          <w:left w:w="28" w:type="dxa"/>
          <w:bottom w:w="28" w:type="dxa"/>
          <w:right w:w="28" w:type="dxa"/>
        </w:tblCellMar>
      </w:tblPr>
      <w:tblGrid>
        <w:gridCol w:w="4056"/>
        <w:gridCol w:w="146"/>
        <w:gridCol w:w="211"/>
        <w:gridCol w:w="676"/>
        <w:gridCol w:w="166"/>
        <w:gridCol w:w="146"/>
        <w:gridCol w:w="211"/>
        <w:gridCol w:w="676"/>
        <w:gridCol w:w="146"/>
        <w:gridCol w:w="146"/>
        <w:gridCol w:w="211"/>
        <w:gridCol w:w="676"/>
        <w:gridCol w:w="146"/>
        <w:gridCol w:w="146"/>
        <w:gridCol w:w="211"/>
        <w:gridCol w:w="781"/>
        <w:gridCol w:w="99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Nine Months Ended</w:t>
            </w:r>
          </w:p>
        </w:tc>
        <w:tc>
          <w:tcPr>
            <w:tcW w:w="991" w:type="dxa"/>
            <w:tcBorders/>
            <w:shd w:fill="FFFFFF" w:val="clear"/>
            <w:vAlign w:val="center"/>
          </w:tcPr>
          <w:p>
            <w:pPr>
              <w:pStyle w:val="TableContents"/>
              <w:bidi w:val="0"/>
              <w:spacing w:before="0" w:after="283"/>
              <w:jc w:val="center"/>
              <w:rPr/>
            </w:pPr>
            <w:r>
              <w:rPr/>
              <w:t> </w:t>
            </w:r>
          </w:p>
        </w:tc>
      </w:tr>
      <w:tr>
        <w:trPr/>
        <w:tc>
          <w:tcPr>
            <w:tcW w:w="4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991" w:type="dxa"/>
            <w:tcBorders/>
            <w:shd w:fill="FFFFFF" w:val="clear"/>
            <w:vAlign w:val="center"/>
          </w:tcPr>
          <w:p>
            <w:pPr>
              <w:pStyle w:val="TableContents"/>
              <w:bidi w:val="0"/>
              <w:spacing w:before="0" w:after="283"/>
              <w:jc w:val="center"/>
              <w:rPr/>
            </w:pPr>
            <w:r>
              <w:rPr/>
              <w:t> </w:t>
            </w:r>
          </w:p>
        </w:tc>
      </w:tr>
      <w:tr>
        <w:trPr/>
        <w:tc>
          <w:tcPr>
            <w:tcW w:w="4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9" w:type="dxa"/>
            <w:gridSpan w:val="14"/>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 Except Per Share Amounts)</w:t>
            </w:r>
          </w:p>
        </w:tc>
        <w:tc>
          <w:tcPr>
            <w:tcW w:w="991" w:type="dxa"/>
            <w:tcBorders/>
            <w:shd w:fill="FFFFFF" w:val="clear"/>
            <w:vAlign w:val="center"/>
          </w:tcPr>
          <w:p>
            <w:pPr>
              <w:pStyle w:val="TableContents"/>
              <w:bidi w:val="0"/>
              <w:spacing w:before="0" w:after="283"/>
              <w:jc w:val="center"/>
              <w:rPr/>
            </w:pPr>
            <w:r>
              <w:rPr/>
              <w:t> </w:t>
            </w:r>
          </w:p>
        </w:tc>
      </w:tr>
      <w:tr>
        <w:trPr/>
        <w:tc>
          <w:tcPr>
            <w:tcW w:w="40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left"/>
              <w:rPr/>
            </w:pPr>
            <w:r>
              <w:rPr/>
              <w:t> </w:t>
            </w:r>
          </w:p>
        </w:tc>
      </w:tr>
      <w:tr>
        <w:trPr/>
        <w:tc>
          <w:tcPr>
            <w:tcW w:w="40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164,477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 xml:space="preserve">Numerator for basic and diluted net (loss) </w:t>
              <w:br/>
              <w:t>  income per common share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164,477</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991" w:type="dxa"/>
            <w:tcBorders/>
            <w:shd w:fill="FFFFFF" w:val="clear"/>
            <w:vAlign w:val="center"/>
          </w:tcPr>
          <w:p>
            <w:pPr>
              <w:pStyle w:val="TableContents"/>
              <w:bidi w:val="0"/>
              <w:spacing w:before="0" w:after="283"/>
              <w:jc w:val="right"/>
              <w:rPr/>
            </w:pPr>
            <w:r>
              <w:rPr/>
              <w:t> </w:t>
            </w:r>
          </w:p>
        </w:tc>
      </w:tr>
      <w:tr>
        <w:trPr/>
        <w:tc>
          <w:tcPr>
            <w:tcW w:w="40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200"/>
              <w:jc w:val="right"/>
              <w:rPr/>
            </w:pPr>
            <w:r>
              <w:rPr/>
              <w:t> </w:t>
            </w:r>
          </w:p>
        </w:tc>
      </w:tr>
      <w:tr>
        <w:trPr/>
        <w:tc>
          <w:tcPr>
            <w:tcW w:w="40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 xml:space="preserve">Denominator for basic net income (loss) per </w:t>
              <w:br/>
              <w:t>   common share - adjusted weighted-average</w:t>
              <w:br/>
              <w:t>   shares (1)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86,929</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5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Effect of dilutive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600"/>
              <w:jc w:val="right"/>
              <w:rPr/>
            </w:pPr>
            <w:r>
              <w:rPr/>
              <w:t> </w:t>
            </w:r>
          </w:p>
        </w:tc>
      </w:tr>
      <w:tr>
        <w:trPr/>
        <w:tc>
          <w:tcPr>
            <w:tcW w:w="405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Unvested restricted stock and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056"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20"/>
              </w:rPr>
            </w:pPr>
            <w:r>
              <w:rPr>
                <w:rFonts w:ascii="Times New Roman" w:hAnsi="Times New Roman"/>
                <w:b w:val="false"/>
                <w:color w:val="000000"/>
                <w:sz w:val="20"/>
              </w:rPr>
              <w:t>Dilutive potential common shares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1,352</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 xml:space="preserve">Denominator for diluted net income (loss) per </w:t>
              <w:br/>
              <w:t xml:space="preserve">   common share - adjusted weighted-average </w:t>
              <w:br/>
              <w:t>   shares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85,515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88,281</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jc w:val="right"/>
              <w:rPr/>
            </w:pPr>
            <w:r>
              <w:rPr/>
              <w:t> </w:t>
            </w:r>
          </w:p>
        </w:tc>
      </w:tr>
      <w:tr>
        <w:trPr/>
        <w:tc>
          <w:tcPr>
            <w:tcW w:w="40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 net (loss) income per common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56"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jc w:val="right"/>
              <w:rPr/>
            </w:pPr>
            <w:r>
              <w:rPr/>
              <w:t> </w:t>
            </w:r>
          </w:p>
        </w:tc>
      </w:tr>
      <w:tr>
        <w:trPr/>
        <w:tc>
          <w:tcPr>
            <w:tcW w:w="40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Diluted net (loss) income per common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Excludes the weighted-average shares of unvested restricted stock that are contingently issuable.</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following weighted-average shares of securities were not included in the computation of diluted net income per common share as their effect would have been antidilutive:</w:t>
      </w:r>
    </w:p>
    <w:tbl>
      <w:tblPr>
        <w:tblW w:w="7667" w:type="dxa"/>
        <w:jc w:val="left"/>
        <w:tblInd w:w="0" w:type="dxa"/>
        <w:tblLayout w:type="fixed"/>
        <w:tblCellMar>
          <w:top w:w="28" w:type="dxa"/>
          <w:left w:w="28" w:type="dxa"/>
          <w:bottom w:w="28" w:type="dxa"/>
          <w:right w:w="28" w:type="dxa"/>
        </w:tblCellMar>
      </w:tblPr>
      <w:tblGrid>
        <w:gridCol w:w="2701"/>
        <w:gridCol w:w="146"/>
        <w:gridCol w:w="146"/>
        <w:gridCol w:w="931"/>
        <w:gridCol w:w="146"/>
        <w:gridCol w:w="146"/>
        <w:gridCol w:w="146"/>
        <w:gridCol w:w="781"/>
        <w:gridCol w:w="146"/>
        <w:gridCol w:w="146"/>
        <w:gridCol w:w="146"/>
        <w:gridCol w:w="781"/>
        <w:gridCol w:w="146"/>
        <w:gridCol w:w="146"/>
        <w:gridCol w:w="146"/>
        <w:gridCol w:w="67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Nine Months Ended</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and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1,422,181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429,339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76,204</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1,435,181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89,204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3. Current and Noncurrent Accrued and Other Liabilities</w:t>
      </w:r>
      <w:r>
        <w:rPr>
          <w:rFonts w:ascii="Times New Roman" w:hAnsi="Times New Roman"/>
          <w:color w:val="000000"/>
          <w:sz w:val="20"/>
        </w:rPr>
        <w:t xml:space="preserve"> </w:t>
      </w:r>
    </w:p>
    <w:p>
      <w:pPr>
        <w:pStyle w:val="TextBody"/>
        <w:bidi w:val="0"/>
        <w:jc w:val="both"/>
        <w:rPr/>
      </w:pPr>
      <w:r>
        <w:rPr/>
        <w:t> </w:t>
      </w:r>
    </w:p>
    <w:tbl>
      <w:tblPr>
        <w:tblW w:w="7005" w:type="dxa"/>
        <w:jc w:val="left"/>
        <w:tblInd w:w="0" w:type="dxa"/>
        <w:tblLayout w:type="fixed"/>
        <w:tblCellMar>
          <w:top w:w="28" w:type="dxa"/>
          <w:left w:w="28" w:type="dxa"/>
          <w:bottom w:w="28" w:type="dxa"/>
          <w:right w:w="28" w:type="dxa"/>
        </w:tblCellMar>
      </w:tblPr>
      <w:tblGrid>
        <w:gridCol w:w="3901"/>
        <w:gridCol w:w="146"/>
        <w:gridCol w:w="299"/>
        <w:gridCol w:w="961"/>
        <w:gridCol w:w="146"/>
        <w:gridCol w:w="146"/>
        <w:gridCol w:w="288"/>
        <w:gridCol w:w="927"/>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7" w:type="dxa"/>
            <w:gridSpan w:val="6"/>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11,196</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7,259</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payroll and benefits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12,440</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38,992</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noncurrent portion</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portion of accrued and other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4. Long-Term Debt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long-term debt consists of the following:</w:t>
      </w:r>
      <w:r>
        <w:rPr>
          <w:rFonts w:ascii="Times New Roman" w:hAnsi="Times New Roman"/>
          <w:color w:val="000000"/>
          <w:sz w:val="20"/>
        </w:rPr>
        <w:t xml:space="preserve"> </w:t>
      </w:r>
    </w:p>
    <w:p>
      <w:pPr>
        <w:pStyle w:val="TextBody"/>
        <w:bidi w:val="0"/>
        <w:jc w:val="both"/>
        <w:rPr/>
      </w:pPr>
      <w:r>
        <w:rPr/>
        <w:t> </w:t>
      </w:r>
    </w:p>
    <w:tbl>
      <w:tblPr>
        <w:tblW w:w="7780" w:type="dxa"/>
        <w:jc w:val="left"/>
        <w:tblInd w:w="0" w:type="dxa"/>
        <w:tblLayout w:type="fixed"/>
        <w:tblCellMar>
          <w:top w:w="28" w:type="dxa"/>
          <w:left w:w="28" w:type="dxa"/>
          <w:bottom w:w="28" w:type="dxa"/>
          <w:right w:w="28" w:type="dxa"/>
        </w:tblCellMar>
      </w:tblPr>
      <w:tblGrid>
        <w:gridCol w:w="4636"/>
        <w:gridCol w:w="146"/>
        <w:gridCol w:w="268"/>
        <w:gridCol w:w="992"/>
        <w:gridCol w:w="166"/>
        <w:gridCol w:w="146"/>
        <w:gridCol w:w="258"/>
        <w:gridCol w:w="957"/>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87" w:type="dxa"/>
            <w:gridSpan w:val="6"/>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Working Capital Revolver Loan, with a current interest </w:t>
              <w:br/>
              <w:t>   rate of 9.00% (A)</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7"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Senior Secured Notes due 2028, with an interest </w:t>
              <w:br/>
              <w:t>   rate of 6.25% (B)</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700,000</w:t>
            </w:r>
          </w:p>
        </w:tc>
        <w:tc>
          <w:tcPr>
            <w:tcW w:w="21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Secured Financing due 2025, with an interest</w:t>
              <w:br/>
              <w:t>   rate of 8.75% (C)</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19,277</w:t>
            </w:r>
          </w:p>
        </w:tc>
        <w:tc>
          <w:tcPr>
            <w:tcW w:w="21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Secured Financing due 2023, with an interest </w:t>
              <w:br/>
              <w:t>   rate of 8.32% (D)</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4,161</w:t>
            </w:r>
          </w:p>
        </w:tc>
        <w:tc>
          <w:tcPr>
            <w:tcW w:w="21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1,138</w:t>
            </w:r>
          </w:p>
        </w:tc>
        <w:tc>
          <w:tcPr>
            <w:tcW w:w="21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Unamortized debt issuance costs</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582,666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712,255</w:t>
            </w:r>
          </w:p>
        </w:tc>
        <w:tc>
          <w:tcPr>
            <w:tcW w:w="21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current portion of long-term debt</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 due after one year, net</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702,733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revolving credit facility, as amended (the “Working Capital Revolver Loan”), provides for advances up to $65</w:t>
      </w:r>
      <w:r>
        <w:rPr>
          <w:rFonts w:ascii="Times New Roman" w:hAnsi="Times New Roman"/>
          <w:color w:val="000000"/>
          <w:sz w:val="20"/>
        </w:rPr>
        <w:t xml:space="preserve"> </w:t>
      </w:r>
      <w:r>
        <w:rPr>
          <w:rFonts w:ascii="Times New Roman" w:hAnsi="Times New Roman"/>
          <w:b w:val="false"/>
          <w:color w:val="000000"/>
          <w:sz w:val="20"/>
        </w:rPr>
        <w:t>million (the “Maximum Revolver Amount”), based on specific percentages of eligible accounts receivable and inventories and up to $10</w:t>
      </w:r>
      <w:r>
        <w:rPr>
          <w:rFonts w:ascii="Times New Roman" w:hAnsi="Times New Roman"/>
          <w:color w:val="000000"/>
          <w:sz w:val="20"/>
        </w:rPr>
        <w:t xml:space="preserve"> </w:t>
      </w:r>
      <w:r>
        <w:rPr>
          <w:rFonts w:ascii="Times New Roman" w:hAnsi="Times New Roman"/>
          <w:b w:val="false"/>
          <w:color w:val="000000"/>
          <w:sz w:val="20"/>
        </w:rPr>
        <w:t>million of letters of credit. We had outstanding letters of credit as of September 30, 2023 of $2.0</w:t>
      </w:r>
      <w:r>
        <w:rPr>
          <w:rFonts w:ascii="Times New Roman" w:hAnsi="Times New Roman"/>
          <w:color w:val="000000"/>
          <w:sz w:val="20"/>
        </w:rPr>
        <w:t xml:space="preserve"> </w:t>
      </w:r>
      <w:r>
        <w:rPr>
          <w:rFonts w:ascii="Times New Roman" w:hAnsi="Times New Roman"/>
          <w:b w:val="false"/>
          <w:color w:val="000000"/>
          <w:sz w:val="20"/>
        </w:rPr>
        <w:t>million, which reduces the amount available for borrowing under the Working Capital Revolver Loan. At September 30, 2023, our available borrowings under our Working Capital Revolver Loan were approximately $42.4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w:t>
      </w:r>
      <w:r>
        <w:rPr>
          <w:rFonts w:ascii="Times New Roman" w:hAnsi="Times New Roman"/>
          <w:color w:val="000000"/>
          <w:sz w:val="20"/>
        </w:rPr>
        <w:t xml:space="preserve"> </w:t>
      </w:r>
      <w:r>
        <w:rPr>
          <w:rFonts w:ascii="Times New Roman" w:hAnsi="Times New Roman"/>
          <w:b w:val="false"/>
          <w:color w:val="000000"/>
          <w:sz w:val="20"/>
        </w:rPr>
        <w:t>million.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w:t>
      </w:r>
      <w:r>
        <w:rPr>
          <w:rFonts w:ascii="Times New Roman" w:hAnsi="Times New Roman"/>
          <w:color w:val="000000"/>
          <w:sz w:val="20"/>
        </w:rPr>
        <w:t xml:space="preserve"> </w:t>
      </w:r>
      <w:r>
        <w:rPr>
          <w:rFonts w:ascii="Times New Roman" w:hAnsi="Times New Roman"/>
          <w:b w:val="false"/>
          <w:color w:val="000000"/>
          <w:sz w:val="20"/>
        </w:rPr>
        <w:t>to 1.00.</w:t>
      </w:r>
      <w:r>
        <w:rPr>
          <w:rFonts w:ascii="Times New Roman" w:hAnsi="Times New Roman"/>
          <w:color w:val="000000"/>
          <w:sz w:val="20"/>
        </w:rPr>
        <w:t xml:space="preserve"> </w:t>
      </w:r>
      <w:r>
        <w:rPr>
          <w:rFonts w:ascii="Times New Roman" w:hAnsi="Times New Roman"/>
          <w:b w:val="false"/>
          <w:color w:val="000000"/>
          <w:sz w:val="20"/>
        </w:rPr>
        <w:t>The Financial Covenant, if triggered, is tested monthly.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Interest accrues on outstanding borrowings under the Working Capital Revolver Loan at a rate equal to, at our election, either (a) SOFR for an interest period selected by us plus a SOFR adjustment equal to 0.10% per annum plus an applicable margin equal to 1.50% per annum or 1.75% per annum, depending on borrowing availability under the Working Capital Revolver Loan, or (b) Wells Fargo Capital Finance’s prime rate plus an applicable margin equal to 0.50% per annum or 0.75% per annum, depending on borrowing availability under the Working Capital Revolver Loan. Interest is paid quarterly, if applicable. During the second quarter of 2023 the LIBOR rate component included in our Working Capital Revolver Loan was converted to SOFR as use of LIBOR was discontinued.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October 14, 2021, LSB completed the issuance and sale of $500</w:t>
      </w:r>
      <w:r>
        <w:rPr>
          <w:rFonts w:ascii="Times New Roman" w:hAnsi="Times New Roman"/>
          <w:color w:val="000000"/>
          <w:sz w:val="20"/>
        </w:rPr>
        <w:t xml:space="preserve"> </w:t>
      </w:r>
      <w:r>
        <w:rPr>
          <w:rFonts w:ascii="Times New Roman" w:hAnsi="Times New Roman"/>
          <w:b w:val="false"/>
          <w:color w:val="000000"/>
          <w:sz w:val="20"/>
        </w:rPr>
        <w:t>million aggregate principal amount of the Notes of its 6.25% Senior Secured Notes due 2028</w:t>
      </w:r>
      <w:r>
        <w:rPr>
          <w:rFonts w:ascii="Times New Roman" w:hAnsi="Times New Roman"/>
          <w:color w:val="000000"/>
          <w:sz w:val="20"/>
        </w:rPr>
        <w:t xml:space="preserve"> </w:t>
      </w:r>
      <w:r>
        <w:rPr>
          <w:rFonts w:ascii="Times New Roman" w:hAnsi="Times New Roman"/>
          <w:b w:val="false"/>
          <w:color w:val="000000"/>
          <w:sz w:val="20"/>
        </w:rPr>
        <w:t>(the “Notes”), pursuant to an indenture (the “Indenture”), dated as of October 14, 2021. The Notes were issued at a price equal to 100% of their face value.</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March 8, 2022, LSB completed the issuance and sale of an additional $200</w:t>
      </w:r>
      <w:r>
        <w:rPr>
          <w:rFonts w:ascii="Times New Roman" w:hAnsi="Times New Roman"/>
          <w:color w:val="000000"/>
          <w:sz w:val="20"/>
        </w:rPr>
        <w:t xml:space="preserve"> </w:t>
      </w:r>
      <w:r>
        <w:rPr>
          <w:rFonts w:ascii="Times New Roman" w:hAnsi="Times New Roman"/>
          <w:b w:val="false"/>
          <w:color w:val="000000"/>
          <w:sz w:val="20"/>
        </w:rPr>
        <w:t>million aggregate principal amount of the Notes (the “New Notes”), which were issued pursuant to the Indenture (the Notes together with the New Notes, the “Senior Secured Notes”). The New Notes were issued at a price equal to 100% of their face value, plus accrued interest from October 14, 2021 to March 7, 2022. The Senior Secured Notes mature on October 15, 2028</w:t>
      </w:r>
      <w:r>
        <w:rPr>
          <w:rFonts w:ascii="Times New Roman" w:hAnsi="Times New Roman"/>
          <w:b w:val="false"/>
          <w:color w:val="0000FF"/>
          <w:sz w:val="20"/>
        </w:rPr>
        <w:t xml:space="preserve">. </w:t>
      </w:r>
      <w:r>
        <w:rPr>
          <w:rFonts w:ascii="Times New Roman" w:hAnsi="Times New Roman"/>
          <w:b w:val="false"/>
          <w:color w:val="000000"/>
          <w:sz w:val="20"/>
        </w:rPr>
        <w:t>Interest is to be paid in arrears on May 15 and October 15.</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During the second quarter of 2023 we repurchased $125</w:t>
      </w:r>
      <w:r>
        <w:rPr>
          <w:rFonts w:ascii="Times New Roman" w:hAnsi="Times New Roman"/>
          <w:color w:val="000000"/>
          <w:sz w:val="20"/>
        </w:rPr>
        <w:t xml:space="preserve"> </w:t>
      </w:r>
      <w:r>
        <w:rPr>
          <w:rFonts w:ascii="Times New Roman" w:hAnsi="Times New Roman"/>
          <w:b w:val="false"/>
          <w:color w:val="000000"/>
          <w:sz w:val="20"/>
        </w:rPr>
        <w:t>million in principal amount of our Senior Secured Notes for approximately $114.3</w:t>
      </w:r>
      <w:r>
        <w:rPr>
          <w:rFonts w:ascii="Times New Roman" w:hAnsi="Times New Roman"/>
          <w:color w:val="000000"/>
          <w:sz w:val="20"/>
        </w:rPr>
        <w:t xml:space="preserve"> </w:t>
      </w:r>
      <w:r>
        <w:rPr>
          <w:rFonts w:ascii="Times New Roman" w:hAnsi="Times New Roman"/>
          <w:b w:val="false"/>
          <w:color w:val="000000"/>
          <w:sz w:val="20"/>
        </w:rPr>
        <w:t>million, which was accounted for as an extinguishment of debt. Including our write-off of the associated remaining portion of unamortized debt issuance costs, we recognized a gain on extinguishment of approximately $8.6</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August 2020, El Dorado Ammonia L.L.C. (“EDA”), one of our subsidiaries, entered into a $30</w:t>
      </w:r>
      <w:r>
        <w:rPr>
          <w:rFonts w:ascii="Times New Roman" w:hAnsi="Times New Roman"/>
          <w:color w:val="000000"/>
          <w:sz w:val="20"/>
        </w:rPr>
        <w:t xml:space="preserve"> </w:t>
      </w:r>
      <w:r>
        <w:rPr>
          <w:rFonts w:ascii="Times New Roman" w:hAnsi="Times New Roman"/>
          <w:b w:val="false"/>
          <w:color w:val="000000"/>
          <w:sz w:val="20"/>
        </w:rPr>
        <w:t>million secured financing arrangement with an affiliate of Eldridge Industries, L.L.C. (“Eldridge”). Beginning in September 2020, principal and interest is payable in 60 equal monthly installments with a final balloon payment of approximately $5</w:t>
      </w:r>
      <w:r>
        <w:rPr>
          <w:rFonts w:ascii="Times New Roman" w:hAnsi="Times New Roman"/>
          <w:color w:val="000000"/>
          <w:sz w:val="20"/>
        </w:rPr>
        <w:t xml:space="preserve"> </w:t>
      </w:r>
      <w:r>
        <w:rPr>
          <w:rFonts w:ascii="Times New Roman" w:hAnsi="Times New Roman"/>
          <w:b w:val="false"/>
          <w:color w:val="000000"/>
          <w:sz w:val="20"/>
        </w:rPr>
        <w:t>million due in August 2025. This financing arrangement is secured by an ammonia storage tank and is guaranteed by LSB.</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During the second quarter 2023, El Dorado Chemical Company (“EDC”), one of our subsidiaries, made the final balloon payment of approximately $3</w:t>
      </w:r>
      <w:r>
        <w:rPr>
          <w:rFonts w:ascii="Times New Roman" w:hAnsi="Times New Roman"/>
          <w:color w:val="000000"/>
          <w:sz w:val="20"/>
        </w:rPr>
        <w:t xml:space="preserve"> </w:t>
      </w:r>
      <w:r>
        <w:rPr>
          <w:rFonts w:ascii="Times New Roman" w:hAnsi="Times New Roman"/>
          <w:b w:val="false"/>
          <w:color w:val="000000"/>
          <w:sz w:val="20"/>
        </w:rPr>
        <w:t xml:space="preserve">million on a secured financing arrangement with an affiliate of Eldridge.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120" w:after="283"/>
        <w:jc w:val="both"/>
        <w:rPr>
          <w:rFonts w:ascii="Times New Roman" w:hAnsi="Times New Roman"/>
          <w:sz w:val="20"/>
        </w:rPr>
      </w:pPr>
      <w:r>
        <w:rPr>
          <w:rFonts w:ascii="Times New Roman" w:hAnsi="Times New Roman"/>
          <w:b/>
          <w:i/>
          <w:color w:val="000000"/>
          <w:sz w:val="20"/>
        </w:rPr>
        <w:t>Outstanding Natural Gas Purchase Commitments</w:t>
      </w:r>
      <w:r>
        <w:rPr>
          <w:rFonts w:ascii="Times New Roman" w:hAnsi="Times New Roman"/>
          <w:color w:val="000000"/>
          <w:sz w:val="20"/>
        </w:rPr>
        <w:t xml:space="preserve"> – </w:t>
      </w:r>
      <w:r>
        <w:rPr>
          <w:rFonts w:ascii="Times New Roman" w:hAnsi="Times New Roman"/>
          <w:b w:val="false"/>
          <w:color w:val="000000"/>
          <w:sz w:val="20"/>
        </w:rPr>
        <w:t>Certain of our natural gas contracts qualify as normal purchases under GAAP and thus are not financial instruments for which we mark-to-market. At September 30, 2023, these contracts included volume purchase commitments with fixed prices of approximately 7.2</w:t>
      </w:r>
      <w:r>
        <w:rPr>
          <w:rFonts w:ascii="Times New Roman" w:hAnsi="Times New Roman"/>
          <w:color w:val="000000"/>
          <w:sz w:val="20"/>
        </w:rPr>
        <w:t xml:space="preserve"> </w:t>
      </w:r>
      <w:r>
        <w:rPr>
          <w:rFonts w:ascii="Times New Roman" w:hAnsi="Times New Roman"/>
          <w:b w:val="false"/>
          <w:color w:val="000000"/>
          <w:sz w:val="20"/>
        </w:rPr>
        <w:t>million MMBtus of natural gas that cover a period from October 2023 through December 2023. The weighted-average price of the natural gas covered by these contracts was $3.93</w:t>
      </w:r>
      <w:r>
        <w:rPr>
          <w:rFonts w:ascii="Times New Roman" w:hAnsi="Times New Roman"/>
          <w:color w:val="000000"/>
          <w:sz w:val="20"/>
        </w:rPr>
        <w:t xml:space="preserve"> </w:t>
      </w:r>
      <w:r>
        <w:rPr>
          <w:rFonts w:ascii="Times New Roman" w:hAnsi="Times New Roman"/>
          <w:b w:val="false"/>
          <w:color w:val="000000"/>
          <w:sz w:val="20"/>
        </w:rPr>
        <w:t>per MMBtu, for a total of $28.5</w:t>
      </w:r>
      <w:r>
        <w:rPr>
          <w:rFonts w:ascii="Times New Roman" w:hAnsi="Times New Roman"/>
          <w:color w:val="000000"/>
          <w:sz w:val="20"/>
        </w:rPr>
        <w:t xml:space="preserve"> </w:t>
      </w:r>
      <w:r>
        <w:rPr>
          <w:rFonts w:ascii="Times New Roman" w:hAnsi="Times New Roman"/>
          <w:b w:val="false"/>
          <w:color w:val="000000"/>
          <w:sz w:val="20"/>
        </w:rPr>
        <w:t>million. Based on strip prices, the weighted-average market price of the fixed contracts was $2.77</w:t>
      </w:r>
      <w:r>
        <w:rPr>
          <w:rFonts w:ascii="Times New Roman" w:hAnsi="Times New Roman"/>
          <w:color w:val="000000"/>
          <w:sz w:val="20"/>
        </w:rPr>
        <w:t xml:space="preserve"> </w:t>
      </w:r>
      <w:r>
        <w:rPr>
          <w:rFonts w:ascii="Times New Roman" w:hAnsi="Times New Roman"/>
          <w:b w:val="false"/>
          <w:color w:val="000000"/>
          <w:sz w:val="20"/>
        </w:rPr>
        <w:t>per MMBtu for a total of $20.0</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Legal Matters - </w:t>
      </w:r>
      <w:r>
        <w:rPr>
          <w:rFonts w:ascii="Times New Roman" w:hAnsi="Times New Roman"/>
          <w:b w:val="false"/>
          <w:color w:val="000000"/>
          <w:sz w:val="20"/>
        </w:rPr>
        <w:t>Following is a summary of certain legal matters involving the Company: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 Environmental Matters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claims for damages to persons or property, including natural resources, may result from the environmental, health and safety effects of our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September 30, 2023, our accrued liabilities for environmental matters totaled approximately $0.5</w:t>
      </w:r>
      <w:r>
        <w:rPr>
          <w:rFonts w:ascii="Times New Roman" w:hAnsi="Times New Roman"/>
          <w:color w:val="000000"/>
          <w:sz w:val="20"/>
        </w:rPr>
        <w:t xml:space="preserve"> </w:t>
      </w:r>
      <w:r>
        <w:rPr>
          <w:rFonts w:ascii="Times New Roman" w:hAnsi="Times New Roman"/>
          <w:b w:val="false"/>
          <w:color w:val="000000"/>
          <w:sz w:val="20"/>
        </w:rPr>
        <w:t>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 Discharge Water Matters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volume of effluents that can be discharged and control the method of such discharge.</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2017, the Pryor Chemical Company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Since that time, PCC and ODEQ engaged in ongoing discussions related to the renewal of the injection well to address the wastewater stream. In 2022, ODEQ responded to the application in the form of an information request. PCC has submitted a formal response to the information request and is currently evaluating wastewater treatment alternatives.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risk assessment was submitted in 2007. In 2015, the Arkansas Department of Environmental Quality (“ADEQ”) stated that El Dorado Chemical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No liability has been established as of September 30, 2023, in connection with this ADEQ matter.</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 Other Environmental Matters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the successor to a prior owner of the Hallowell Facility, Chevron Environmental Management Company (“Chevron”) has agreed in writing, within certain limitations, to pay and has been paying one-half</w:t>
      </w:r>
      <w:r>
        <w:rPr>
          <w:rFonts w:ascii="Times New Roman" w:hAnsi="Times New Roman"/>
          <w:color w:val="000000"/>
          <w:sz w:val="20"/>
        </w:rPr>
        <w:t xml:space="preserve"> </w:t>
      </w:r>
      <w:r>
        <w:rPr>
          <w:rFonts w:ascii="Times New Roman" w:hAnsi="Times New Roman"/>
          <w:b w:val="false"/>
          <w:color w:val="000000"/>
          <w:sz w:val="20"/>
        </w:rPr>
        <w:t>of the costs of the investigation and interim measures relating to this matter as approved by the Kansas Department of Health and Environment (the “KDHE”), subject to reallocation.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Cherokee Nitrogen Company received a Notice of Potential Violation for ten (10) findings identified from an inspection conducted by the U.S. Environmental Protection Agency (“EPA”) Region IV in late 2022. We provided written responses to each finding in the inspection report issued in connection with such inspection and to the Notice of Potential Violations and held direct communications with the EPA related to the matter. EPA is drafting a final Notice of Violation and we expect to engage in additional remedial actions to address any remaining violations. We also anticipate the potential imposition of financial penalties, although we are unable to quantify or estimate those penalties or remedial actions and no liability has been established as of September 30, 2023, in connection with this matter.</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 Other Pending, Threatened or Settled Litigation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2013, an explosion and fire occurred at the West Fertilizer Company.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In 2014, EDC and LSB were named as defendants, together with other AN manufacturers and brokers that arranged the transport and delivery of AN to West Fertilizer, in the case styled </w:t>
      </w:r>
      <w:r>
        <w:rPr>
          <w:rFonts w:ascii="Times New Roman" w:hAnsi="Times New Roman"/>
          <w:b w:val="false"/>
          <w:i/>
          <w:color w:val="000000"/>
          <w:sz w:val="20"/>
        </w:rPr>
        <w:t>City of West, Texas vs. CF Industries, Inc., et al.</w:t>
      </w:r>
      <w:r>
        <w:rPr>
          <w:rFonts w:ascii="Times New Roman" w:hAnsi="Times New Roman"/>
          <w:b w:val="false"/>
          <w:color w:val="000000"/>
          <w:sz w:val="20"/>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product liability insurance policies have aggregate limits of general liability totaling $100</w:t>
      </w:r>
      <w:r>
        <w:rPr>
          <w:rFonts w:ascii="Times New Roman" w:hAnsi="Times New Roman"/>
          <w:color w:val="000000"/>
          <w:sz w:val="20"/>
        </w:rPr>
        <w:t xml:space="preserve"> </w:t>
      </w:r>
      <w:r>
        <w:rPr>
          <w:rFonts w:ascii="Times New Roman" w:hAnsi="Times New Roman"/>
          <w:b w:val="false"/>
          <w:color w:val="000000"/>
          <w:sz w:val="20"/>
        </w:rPr>
        <w:t>million, with a self-insured retention of $0.3</w:t>
      </w:r>
      <w:r>
        <w:rPr>
          <w:rFonts w:ascii="Times New Roman" w:hAnsi="Times New Roman"/>
          <w:color w:val="000000"/>
          <w:sz w:val="20"/>
        </w:rPr>
        <w:t xml:space="preserve"> </w:t>
      </w:r>
      <w:r>
        <w:rPr>
          <w:rFonts w:ascii="Times New Roman" w:hAnsi="Times New Roman"/>
          <w:b w:val="false"/>
          <w:color w:val="000000"/>
          <w:sz w:val="20"/>
        </w:rPr>
        <w:t>million,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Subsequently, we and EDC have entered into confidential settlement agreements (with approval of our insurance carriers) with several</w:t>
      </w:r>
      <w:r>
        <w:rPr>
          <w:rFonts w:ascii="Times New Roman" w:hAnsi="Times New Roman"/>
          <w:color w:val="000000"/>
          <w:sz w:val="20"/>
        </w:rPr>
        <w:t xml:space="preserve"> </w:t>
      </w:r>
      <w:r>
        <w:rPr>
          <w:rFonts w:ascii="Times New Roman" w:hAnsi="Times New Roman"/>
          <w:b w:val="false"/>
          <w:color w:val="000000"/>
          <w:sz w:val="20"/>
        </w:rPr>
        <w:t>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of September 30, 2023, no</w:t>
      </w:r>
      <w:r>
        <w:rPr>
          <w:rFonts w:ascii="Times New Roman" w:hAnsi="Times New Roman"/>
          <w:color w:val="000000"/>
          <w:sz w:val="20"/>
        </w:rPr>
        <w:t xml:space="preserve"> </w:t>
      </w:r>
      <w:r>
        <w:rPr>
          <w:rFonts w:ascii="Times New Roman" w:hAnsi="Times New Roman"/>
          <w:b w:val="false"/>
          <w:color w:val="000000"/>
          <w:sz w:val="20"/>
        </w:rPr>
        <w:t>liability reserve has been established in connection with this matter.</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LSB and EDA are pursuing the recovery of any damage or loss caused by Global’s work performed through their contract with Leidos at our El Dorado Facility. In March 2016, EDC and LSB were served a summons in a case styled </w:t>
      </w:r>
      <w:r>
        <w:rPr>
          <w:rFonts w:ascii="Times New Roman" w:hAnsi="Times New Roman"/>
          <w:b w:val="false"/>
          <w:i/>
          <w:color w:val="000000"/>
          <w:sz w:val="20"/>
        </w:rPr>
        <w:t>Global Industrial, Inc. d/b/a Global Turnaround vs. Leidos Constructors,</w:t>
      </w:r>
      <w:r>
        <w:rPr>
          <w:rFonts w:ascii="Times New Roman" w:hAnsi="Times New Roman"/>
          <w:color w:val="000000"/>
          <w:sz w:val="20"/>
        </w:rPr>
        <w:t xml:space="preserve"> </w:t>
      </w:r>
      <w:r>
        <w:rPr>
          <w:rFonts w:ascii="Times New Roman" w:hAnsi="Times New Roman"/>
          <w:b w:val="false"/>
          <w:i/>
          <w:color w:val="000000"/>
          <w:sz w:val="20"/>
        </w:rPr>
        <w:t xml:space="preserve">LLC et al., </w:t>
      </w:r>
      <w:r>
        <w:rPr>
          <w:rFonts w:ascii="Times New Roman" w:hAnsi="Times New Roman"/>
          <w:b w:val="false"/>
          <w:color w:val="000000"/>
          <w:sz w:val="20"/>
        </w:rPr>
        <w:t>in the Circuit court of Union County, Arkansas (the “Union County Trial Court”), wherein Global sought damages under breach of contract and other claims. At the time of the</w:t>
      </w:r>
      <w:r>
        <w:rPr>
          <w:rFonts w:ascii="Times New Roman" w:hAnsi="Times New Roman"/>
          <w:color w:val="000000"/>
          <w:sz w:val="20"/>
        </w:rPr>
        <w:t xml:space="preserve"> </w:t>
      </w:r>
      <w:r>
        <w:rPr>
          <w:rFonts w:ascii="Times New Roman" w:hAnsi="Times New Roman"/>
          <w:b w:val="false"/>
          <w:color w:val="000000"/>
          <w:sz w:val="20"/>
        </w:rPr>
        <w:t>summons, our accounts payable included invoices totaling approximately $3.5</w:t>
      </w:r>
      <w:r>
        <w:rPr>
          <w:rFonts w:ascii="Times New Roman" w:hAnsi="Times New Roman"/>
          <w:color w:val="000000"/>
          <w:sz w:val="20"/>
        </w:rPr>
        <w:t xml:space="preserve"> </w:t>
      </w:r>
      <w:r>
        <w:rPr>
          <w:rFonts w:ascii="Times New Roman" w:hAnsi="Times New Roman"/>
          <w:b w:val="false"/>
          <w:color w:val="000000"/>
          <w:sz w:val="20"/>
        </w:rPr>
        <w:t>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During 2018, the Union County Trial Court bifurcated the case into: (1) Global’s claims against Leidos and LSB and (2) the cross-claims between Leidos and LSB. Part (1) of the case was tried in the Union County Trial Court. In March 2020, the Union County Trial Court rendered a judgment and then an amended final judgment in April 2020. In summary, the amended judgment awarded Global (i) approximately $7.4</w:t>
      </w:r>
      <w:r>
        <w:rPr>
          <w:rFonts w:ascii="Times New Roman" w:hAnsi="Times New Roman"/>
          <w:color w:val="000000"/>
          <w:sz w:val="20"/>
        </w:rPr>
        <w:t xml:space="preserve"> </w:t>
      </w:r>
      <w:r>
        <w:rPr>
          <w:rFonts w:ascii="Times New Roman" w:hAnsi="Times New Roman"/>
          <w:b w:val="false"/>
          <w:color w:val="000000"/>
          <w:sz w:val="20"/>
        </w:rPr>
        <w:t>million (including the $3.5</w:t>
      </w:r>
      <w:r>
        <w:rPr>
          <w:rFonts w:ascii="Times New Roman" w:hAnsi="Times New Roman"/>
          <w:color w:val="000000"/>
          <w:sz w:val="20"/>
        </w:rPr>
        <w:t xml:space="preserve"> </w:t>
      </w:r>
      <w:r>
        <w:rPr>
          <w:rFonts w:ascii="Times New Roman" w:hAnsi="Times New Roman"/>
          <w:b w:val="false"/>
          <w:color w:val="000000"/>
          <w:sz w:val="20"/>
        </w:rPr>
        <w:t>million discussed above) for labor, service and materials furnished relating to the Ammonia Plant on what the Union County Circuit Court called a claim for “nonpayment of invoices,” (ii) approximately $1.3</w:t>
      </w:r>
      <w:r>
        <w:rPr>
          <w:rFonts w:ascii="Times New Roman" w:hAnsi="Times New Roman"/>
          <w:color w:val="000000"/>
          <w:sz w:val="20"/>
        </w:rPr>
        <w:t xml:space="preserve"> </w:t>
      </w:r>
      <w:r>
        <w:rPr>
          <w:rFonts w:ascii="Times New Roman" w:hAnsi="Times New Roman"/>
          <w:b w:val="false"/>
          <w:color w:val="000000"/>
          <w:sz w:val="20"/>
        </w:rPr>
        <w:t>million for prejudgment interest on the same claim, and (iii) a lien on certain property and the foreclosure of the lien to satisfy the monetary obligations of the judgement. In addition, post-judgment interest accrued at the annual rate of 4.25% until paid. LSB appealed this judgment and on October 18, 2023, the Arkansas Court of Appeals reversed and remanded. The Arkansas Court of Appeal ruled that the lien was defective and therefore invalid, and that the claim for “nonpayment of invoices” was not a cause of action and reversed and remanded the judgment on that claim. As a result, we derecognized approximately $9.8</w:t>
      </w:r>
      <w:r>
        <w:rPr>
          <w:rFonts w:ascii="Times New Roman" w:hAnsi="Times New Roman"/>
          <w:color w:val="000000"/>
          <w:sz w:val="20"/>
        </w:rPr>
        <w:t xml:space="preserve"> </w:t>
      </w:r>
      <w:r>
        <w:rPr>
          <w:rFonts w:ascii="Times New Roman" w:hAnsi="Times New Roman"/>
          <w:b w:val="false"/>
          <w:color w:val="000000"/>
          <w:sz w:val="20"/>
        </w:rPr>
        <w:t>million of payables and accrued liabilities, which related to approximately $2.4</w:t>
      </w:r>
      <w:r>
        <w:rPr>
          <w:rFonts w:ascii="Times New Roman" w:hAnsi="Times New Roman"/>
          <w:color w:val="000000"/>
          <w:sz w:val="20"/>
        </w:rPr>
        <w:t xml:space="preserve"> </w:t>
      </w:r>
      <w:r>
        <w:rPr>
          <w:rFonts w:ascii="Times New Roman" w:hAnsi="Times New Roman"/>
          <w:b w:val="false"/>
          <w:color w:val="000000"/>
          <w:sz w:val="20"/>
        </w:rPr>
        <w:t>million in pre and post-judgement accrued interest and $7.4</w:t>
      </w:r>
      <w:r>
        <w:rPr>
          <w:rFonts w:ascii="Times New Roman" w:hAnsi="Times New Roman"/>
          <w:color w:val="000000"/>
          <w:sz w:val="20"/>
        </w:rPr>
        <w:t xml:space="preserve"> </w:t>
      </w:r>
      <w:r>
        <w:rPr>
          <w:rFonts w:ascii="Times New Roman" w:hAnsi="Times New Roman"/>
          <w:b w:val="false"/>
          <w:color w:val="000000"/>
          <w:sz w:val="20"/>
        </w:rPr>
        <w:t>million of gross plant, property and equipment, which was also derecognized. These adjustments also impacted our results of operations for the three and nine months ending September 30, 2023, through the reversals of approximately $2.4</w:t>
      </w:r>
      <w:r>
        <w:rPr>
          <w:rFonts w:ascii="Times New Roman" w:hAnsi="Times New Roman"/>
          <w:color w:val="000000"/>
          <w:sz w:val="20"/>
        </w:rPr>
        <w:t xml:space="preserve"> </w:t>
      </w:r>
      <w:r>
        <w:rPr>
          <w:rFonts w:ascii="Times New Roman" w:hAnsi="Times New Roman"/>
          <w:b w:val="false"/>
          <w:color w:val="000000"/>
          <w:sz w:val="20"/>
        </w:rPr>
        <w:t>million of interest expense and of approximately $1.8</w:t>
      </w:r>
      <w:r>
        <w:rPr>
          <w:rFonts w:ascii="Times New Roman" w:hAnsi="Times New Roman"/>
          <w:color w:val="000000"/>
          <w:sz w:val="20"/>
        </w:rPr>
        <w:t xml:space="preserve"> </w:t>
      </w:r>
      <w:r>
        <w:rPr>
          <w:rFonts w:ascii="Times New Roman" w:hAnsi="Times New Roman"/>
          <w:b w:val="false"/>
          <w:color w:val="000000"/>
          <w:sz w:val="20"/>
        </w:rPr>
        <w:t>million in previously recognized depreciation expense (a component of cost of sales) on the related plant, property and equipment.</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LSB retains all of its claims against Leidos and intends to vigorously prosecute those claims and vigorously contest the cross-claims in Part (2) of the matter. We are awaiting a trial date for the claims in Part (2).</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No liability was established at September 30, 2023 or December 31, 2022, in connection with the cross-claims in Part (2) of the matter, except for certain invoices held in accounts payable.</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 Derivatives, Hedges and Financial Instruments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Natural Gas Contracts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Periodically, we entered into certain forward natural gas contracts, which are accounted for on a mark-to-market basis. We are utilizing these natural gas contracts as economic hedges for risk management purposes but are not designated as hedging instruments. At September 30, 2023 and December 31, 2022, we had no</w:t>
      </w:r>
      <w:r>
        <w:rPr>
          <w:rFonts w:ascii="Times New Roman" w:hAnsi="Times New Roman"/>
          <w:color w:val="000000"/>
          <w:sz w:val="20"/>
        </w:rPr>
        <w:t xml:space="preserve"> </w:t>
      </w:r>
      <w:r>
        <w:rPr>
          <w:rFonts w:ascii="Times New Roman" w:hAnsi="Times New Roman"/>
          <w:b w:val="false"/>
          <w:color w:val="000000"/>
          <w:sz w:val="20"/>
        </w:rPr>
        <w:t>outstanding natural gas contracts accounted for on a mark-to-market basis. When present, the valuations of the natural gas contracts are classified as Level 2.</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At September 30, 2023 and December 31, 2022, we did not have any financial instruments with fair values materially different from their carrying amounts (which excludes issuance costs, if applicable) except for our Senior Secured Notes included in the table below. The Senior Secured Notes are classified as a Level 2 fair value measurement. The fair value of financial instruments is not indicative of the overall fair value of our assets and liabilities since financial instruments do not include all assets, including intangibles and all liabilities.</w:t>
      </w:r>
    </w:p>
    <w:p>
      <w:pPr>
        <w:pStyle w:val="TextBody"/>
        <w:bidi w:val="0"/>
        <w:spacing w:before="120" w:after="283"/>
        <w:jc w:val="both"/>
        <w:rPr/>
      </w:pPr>
      <w:r>
        <w:rPr/>
        <w:t> </w:t>
      </w:r>
    </w:p>
    <w:tbl>
      <w:tblPr>
        <w:tblW w:w="6286" w:type="dxa"/>
        <w:jc w:val="left"/>
        <w:tblInd w:w="0" w:type="dxa"/>
        <w:tblLayout w:type="fixed"/>
        <w:tblCellMar>
          <w:top w:w="28" w:type="dxa"/>
          <w:left w:w="28" w:type="dxa"/>
          <w:bottom w:w="28" w:type="dxa"/>
          <w:right w:w="28" w:type="dxa"/>
        </w:tblCellMar>
      </w:tblPr>
      <w:tblGrid>
        <w:gridCol w:w="1861"/>
        <w:gridCol w:w="146"/>
        <w:gridCol w:w="252"/>
        <w:gridCol w:w="484"/>
        <w:gridCol w:w="155"/>
        <w:gridCol w:w="155"/>
        <w:gridCol w:w="292"/>
        <w:gridCol w:w="563"/>
        <w:gridCol w:w="146"/>
        <w:gridCol w:w="146"/>
        <w:gridCol w:w="252"/>
        <w:gridCol w:w="484"/>
        <w:gridCol w:w="152"/>
        <w:gridCol w:w="152"/>
        <w:gridCol w:w="292"/>
        <w:gridCol w:w="563"/>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Carrying</w:t>
            </w:r>
          </w:p>
        </w:tc>
        <w:tc>
          <w:tcPr>
            <w:tcW w:w="155"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Carrying</w:t>
            </w:r>
          </w:p>
        </w:tc>
        <w:tc>
          <w:tcPr>
            <w:tcW w:w="152"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Estimated</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Amount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Amount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8" w:type="dxa"/>
            <w:gridSpan w:val="14"/>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 Millions)</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 xml:space="preserve">Senior Secured Notes </w:t>
            </w:r>
            <w:r>
              <w:rPr>
                <w:rFonts w:ascii="Times New Roman" w:hAnsi="Times New Roman"/>
                <w:b w:val="false"/>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575</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righ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700</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b w:val="false"/>
          <w:color w:val="000000"/>
          <w:sz w:val="18"/>
        </w:rPr>
      </w:pPr>
      <w:r>
        <w:rPr>
          <w:rFonts w:ascii="Times New Roman" w:hAnsi="Times New Roman"/>
          <w:b w:val="false"/>
          <w:color w:val="000000"/>
          <w:sz w:val="18"/>
        </w:rPr>
        <w:t>1.</w:t>
      </w:r>
    </w:p>
    <w:p>
      <w:pPr>
        <w:pStyle w:val="TextBody"/>
        <w:bidi w:val="0"/>
        <w:spacing w:before="120" w:after="283"/>
        <w:jc w:val="both"/>
        <w:rPr>
          <w:rFonts w:ascii="Times New Roman" w:hAnsi="Times New Roman"/>
          <w:sz w:val="20"/>
        </w:rPr>
      </w:pPr>
      <w:r>
        <w:rPr>
          <w:rFonts w:ascii="Times New Roman" w:hAnsi="Times New Roman"/>
          <w:b w:val="false"/>
          <w:color w:val="000000"/>
          <w:sz w:val="18"/>
        </w:rPr>
        <w:t>Based on a quoted price of</w:t>
      </w:r>
      <w:r>
        <w:rPr>
          <w:rFonts w:ascii="Times New Roman" w:hAnsi="Times New Roman"/>
          <w:color w:val="000000"/>
          <w:sz w:val="20"/>
        </w:rPr>
        <w:t xml:space="preserve"> </w:t>
      </w:r>
      <w:r>
        <w:rPr>
          <w:rFonts w:ascii="Times New Roman" w:hAnsi="Times New Roman"/>
          <w:b w:val="false"/>
          <w:color w:val="000000"/>
          <w:sz w:val="18"/>
        </w:rPr>
        <w:t>90.50</w:t>
      </w:r>
      <w:r>
        <w:rPr>
          <w:rFonts w:ascii="Times New Roman" w:hAnsi="Times New Roman"/>
          <w:color w:val="000000"/>
          <w:sz w:val="20"/>
        </w:rPr>
        <w:t xml:space="preserve"> </w:t>
      </w:r>
      <w:r>
        <w:rPr>
          <w:rFonts w:ascii="Times New Roman" w:hAnsi="Times New Roman"/>
          <w:b w:val="false"/>
          <w:color w:val="000000"/>
          <w:sz w:val="18"/>
        </w:rPr>
        <w:t>at September 30,</w:t>
      </w:r>
      <w:r>
        <w:rPr>
          <w:rFonts w:ascii="Times New Roman" w:hAnsi="Times New Roman"/>
          <w:color w:val="000000"/>
          <w:sz w:val="20"/>
        </w:rPr>
        <w:t xml:space="preserve"> </w:t>
      </w:r>
      <w:r>
        <w:rPr>
          <w:rFonts w:ascii="Times New Roman" w:hAnsi="Times New Roman"/>
          <w:b w:val="false"/>
          <w:color w:val="000000"/>
          <w:sz w:val="18"/>
        </w:rPr>
        <w:t>2023 and 91.00</w:t>
      </w:r>
      <w:r>
        <w:rPr>
          <w:rFonts w:ascii="Times New Roman" w:hAnsi="Times New Roman"/>
          <w:color w:val="000000"/>
          <w:sz w:val="20"/>
        </w:rPr>
        <w:t xml:space="preserve"> </w:t>
      </w:r>
      <w:r>
        <w:rPr>
          <w:rFonts w:ascii="Times New Roman" w:hAnsi="Times New Roman"/>
          <w:b w:val="false"/>
          <w:color w:val="000000"/>
          <w:sz w:val="18"/>
        </w:rPr>
        <w:t>at December 31, 2022. Also see discussion in Note 4 (B).</w:t>
      </w:r>
    </w:p>
    <w:p>
      <w:pPr>
        <w:pStyle w:val="TextBody"/>
        <w:bidi w:val="0"/>
        <w:spacing w:before="120" w:after="283"/>
        <w:jc w:val="both"/>
        <w:rPr>
          <w:rFonts w:ascii="Times New Roman" w:hAnsi="Times New Roman"/>
          <w:sz w:val="20"/>
        </w:rPr>
      </w:pPr>
      <w:r>
        <w:rPr>
          <w:rFonts w:ascii="Times New Roman" w:hAnsi="Times New Roman"/>
          <w:b/>
          <w:color w:val="000000"/>
          <w:sz w:val="20"/>
        </w:rPr>
        <w:t>7.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(Benefit) provision for income taxes is as follows:</w:t>
      </w:r>
      <w:r>
        <w:rPr>
          <w:rFonts w:ascii="Times New Roman" w:hAnsi="Times New Roman"/>
          <w:color w:val="000000"/>
          <w:sz w:val="20"/>
        </w:rPr>
        <w:t xml:space="preserve"> </w:t>
      </w:r>
    </w:p>
    <w:p>
      <w:pPr>
        <w:pStyle w:val="TextBody"/>
        <w:bidi w:val="0"/>
        <w:jc w:val="both"/>
        <w:rPr/>
      </w:pPr>
      <w:r>
        <w:rPr/>
        <w:t> </w:t>
      </w:r>
    </w:p>
    <w:tbl>
      <w:tblPr>
        <w:tblW w:w="8872" w:type="dxa"/>
        <w:jc w:val="left"/>
        <w:tblInd w:w="0" w:type="dxa"/>
        <w:tblLayout w:type="fixed"/>
        <w:tblCellMar>
          <w:top w:w="28" w:type="dxa"/>
          <w:left w:w="28" w:type="dxa"/>
          <w:bottom w:w="28" w:type="dxa"/>
          <w:right w:w="28" w:type="dxa"/>
        </w:tblCellMar>
      </w:tblPr>
      <w:tblGrid>
        <w:gridCol w:w="3646"/>
        <w:gridCol w:w="146"/>
        <w:gridCol w:w="211"/>
        <w:gridCol w:w="631"/>
        <w:gridCol w:w="166"/>
        <w:gridCol w:w="146"/>
        <w:gridCol w:w="211"/>
        <w:gridCol w:w="571"/>
        <w:gridCol w:w="166"/>
        <w:gridCol w:w="146"/>
        <w:gridCol w:w="211"/>
        <w:gridCol w:w="631"/>
        <w:gridCol w:w="166"/>
        <w:gridCol w:w="146"/>
        <w:gridCol w:w="211"/>
        <w:gridCol w:w="676"/>
        <w:gridCol w:w="7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Nine Months Ended</w:t>
            </w:r>
          </w:p>
        </w:tc>
        <w:tc>
          <w:tcPr>
            <w:tcW w:w="791" w:type="dxa"/>
            <w:tcBorders/>
            <w:shd w:fill="FFFFFF" w:val="clear"/>
            <w:vAlign w:val="center"/>
          </w:tcPr>
          <w:p>
            <w:pPr>
              <w:pStyle w:val="TableContents"/>
              <w:bidi w:val="0"/>
              <w:spacing w:before="0" w:after="283"/>
              <w:jc w:val="center"/>
              <w:rPr/>
            </w:pPr>
            <w:r>
              <w:rPr/>
              <w:t> </w:t>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791" w:type="dxa"/>
            <w:tcBorders/>
            <w:shd w:fill="FFFFFF" w:val="clear"/>
            <w:vAlign w:val="center"/>
          </w:tcPr>
          <w:p>
            <w:pPr>
              <w:pStyle w:val="TableContents"/>
              <w:bidi w:val="0"/>
              <w:spacing w:before="0" w:after="283"/>
              <w:jc w:val="center"/>
              <w:rPr/>
            </w:pPr>
            <w:r>
              <w:rPr/>
              <w:t> </w:t>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89" w:type="dxa"/>
            <w:gridSpan w:val="14"/>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w:t>
            </w:r>
          </w:p>
        </w:tc>
        <w:tc>
          <w:tcPr>
            <w:tcW w:w="791" w:type="dxa"/>
            <w:tcBorders/>
            <w:shd w:fill="FFFFFF" w:val="clear"/>
            <w:vAlign w:val="center"/>
          </w:tcPr>
          <w:p>
            <w:pPr>
              <w:pStyle w:val="TableContents"/>
              <w:bidi w:val="0"/>
              <w:spacing w:before="0" w:after="283"/>
              <w:jc w:val="center"/>
              <w:rPr/>
            </w:pPr>
            <w:r>
              <w:rPr/>
              <w:t> </w:t>
            </w:r>
          </w:p>
        </w:tc>
      </w:tr>
      <w:tr>
        <w:trPr/>
        <w:tc>
          <w:tcPr>
            <w:tcW w:w="36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6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6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36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36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32,236</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6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4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Deferred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31,210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4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(Benefit)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32,277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val="false"/>
          <w:color w:val="000000"/>
          <w:sz w:val="20"/>
        </w:rPr>
        <w:t>The tax provision for the nine months ended September 30, 2023, was $3.6</w:t>
      </w:r>
      <w:r>
        <w:rPr>
          <w:rFonts w:ascii="Times New Roman" w:hAnsi="Times New Roman"/>
          <w:color w:val="000000"/>
          <w:sz w:val="20"/>
        </w:rPr>
        <w:t xml:space="preserve"> </w:t>
      </w:r>
      <w:r>
        <w:rPr>
          <w:rFonts w:ascii="Times New Roman" w:hAnsi="Times New Roman"/>
          <w:b w:val="false"/>
          <w:color w:val="000000"/>
          <w:sz w:val="20"/>
        </w:rPr>
        <w:t>million (9.8% provision on pre-tax income). The tax provision for the nine months ended September 30, 2022, was $32.3</w:t>
      </w:r>
      <w:r>
        <w:rPr>
          <w:rFonts w:ascii="Times New Roman" w:hAnsi="Times New Roman"/>
          <w:color w:val="000000"/>
          <w:sz w:val="20"/>
        </w:rPr>
        <w:t xml:space="preserve"> </w:t>
      </w:r>
      <w:r>
        <w:rPr>
          <w:rFonts w:ascii="Times New Roman" w:hAnsi="Times New Roman"/>
          <w:b w:val="false"/>
          <w:color w:val="000000"/>
          <w:sz w:val="20"/>
        </w:rPr>
        <w:t>million (16.4% provision on pre-tax income). For 2023, the effective tax rate is lower than the statutory tax rate primarily due to deferred benefits from state tax law changes, partially offset by state taxes. For 2022, the effective tax rate was less than the statutory tax rate primarily due to the impact of the valuation allowances.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 We estimate an approximately $1.3</w:t>
      </w:r>
      <w:r>
        <w:rPr>
          <w:rFonts w:ascii="Times New Roman" w:hAnsi="Times New Roman"/>
          <w:color w:val="000000"/>
          <w:sz w:val="20"/>
        </w:rPr>
        <w:t xml:space="preserve"> </w:t>
      </w:r>
      <w:r>
        <w:rPr>
          <w:rFonts w:ascii="Times New Roman" w:hAnsi="Times New Roman"/>
          <w:b w:val="false"/>
          <w:color w:val="000000"/>
          <w:sz w:val="20"/>
        </w:rPr>
        <w:t>million increase in the related valuation allowance associated with these state deferred tax assets will be recorded during the year as part of the estimated annual effective tax rate applied to ordinary income.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LSB and certain of its subsidiaries file income tax returns in the U.S. federal jurisdiction and various state jurisdictions. With few exceptions, the 2019-2022 years remain open for all purposes of examination by the U.S. Internal Revenue Service (“IRS”) and other major tax jurisdictions. Additionally, the 2013-2018 years remain subject to examination for determining the amount of net operating loss and other carryforwards.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 Net Sales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Disaggregated Net Sales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primarily derive our revenues from the sales of various chemical products. The Company’s net sales disaggregation is consistent with other financial information utilized or provided outside of our condensed consolidated financial statements. With our continued focus on optimizing our commercial strategy and product mix going forward we will report revenue by product as opposed to the end market. Accordingly, this approach is reflected in disaggregated net sales, mirroring how the Company manages its net sales by product through contracts with customers.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 presents our net sales disaggregated by our principal product types:</w:t>
      </w:r>
    </w:p>
    <w:p>
      <w:pPr>
        <w:pStyle w:val="TextBody"/>
        <w:bidi w:val="0"/>
        <w:jc w:val="both"/>
        <w:rPr/>
      </w:pPr>
      <w:r>
        <w:rPr/>
        <w:t> </w:t>
      </w:r>
    </w:p>
    <w:tbl>
      <w:tblPr>
        <w:tblW w:w="8377" w:type="dxa"/>
        <w:jc w:val="left"/>
        <w:tblInd w:w="0" w:type="dxa"/>
        <w:tblLayout w:type="fixed"/>
        <w:tblCellMar>
          <w:top w:w="28" w:type="dxa"/>
          <w:left w:w="28" w:type="dxa"/>
          <w:bottom w:w="28" w:type="dxa"/>
          <w:right w:w="28" w:type="dxa"/>
        </w:tblCellMar>
      </w:tblPr>
      <w:tblGrid>
        <w:gridCol w:w="2796"/>
        <w:gridCol w:w="146"/>
        <w:gridCol w:w="211"/>
        <w:gridCol w:w="781"/>
        <w:gridCol w:w="146"/>
        <w:gridCol w:w="146"/>
        <w:gridCol w:w="211"/>
        <w:gridCol w:w="781"/>
        <w:gridCol w:w="146"/>
        <w:gridCol w:w="146"/>
        <w:gridCol w:w="211"/>
        <w:gridCol w:w="781"/>
        <w:gridCol w:w="146"/>
        <w:gridCol w:w="146"/>
        <w:gridCol w:w="211"/>
        <w:gridCol w:w="781"/>
        <w:gridCol w:w="5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44" w:type="dxa"/>
            <w:gridSpan w:val="14"/>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173,859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234,103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Urea ammonium nitrate (UAN)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184,014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200,861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9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668,057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Although most of our contracts have an original expected duration of one year or less, for our contracts with a duration greater than one year at contract inception, the average remaining expected duration was approximately 26 months</w:t>
      </w:r>
      <w:r>
        <w:rPr>
          <w:rFonts w:ascii="Times New Roman" w:hAnsi="Times New Roman"/>
          <w:color w:val="000000"/>
          <w:sz w:val="20"/>
        </w:rPr>
        <w:t xml:space="preserve"> </w:t>
      </w:r>
      <w:r>
        <w:rPr>
          <w:rFonts w:ascii="Times New Roman" w:hAnsi="Times New Roman"/>
          <w:b w:val="false"/>
          <w:color w:val="000000"/>
          <w:sz w:val="20"/>
        </w:rPr>
        <w:t>at September 30, 2023.</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Liabilities associated with contracts with customers (contract liabilities) primarily relate to deferred revenue and customer deposits associated with cash payments received in advance from customers for volume shortfall charges and product shipments. We had approximately $0.6</w:t>
      </w:r>
      <w:r>
        <w:rPr>
          <w:rFonts w:ascii="Times New Roman" w:hAnsi="Times New Roman"/>
          <w:color w:val="000000"/>
          <w:sz w:val="20"/>
        </w:rPr>
        <w:t xml:space="preserve"> </w:t>
      </w:r>
      <w:r>
        <w:rPr>
          <w:rFonts w:ascii="Times New Roman" w:hAnsi="Times New Roman"/>
          <w:b w:val="false"/>
          <w:color w:val="000000"/>
          <w:sz w:val="20"/>
        </w:rPr>
        <w:t>million and $2.0</w:t>
      </w:r>
      <w:r>
        <w:rPr>
          <w:rFonts w:ascii="Times New Roman" w:hAnsi="Times New Roman"/>
          <w:color w:val="000000"/>
          <w:sz w:val="20"/>
        </w:rPr>
        <w:t xml:space="preserve"> </w:t>
      </w:r>
      <w:r>
        <w:rPr>
          <w:rFonts w:ascii="Times New Roman" w:hAnsi="Times New Roman"/>
          <w:b w:val="false"/>
          <w:color w:val="000000"/>
          <w:sz w:val="20"/>
        </w:rPr>
        <w:t>million of contract liabilities as of September 30, 2023 and December 31, 2022, respectively. For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revenues of $0.3</w:t>
      </w:r>
      <w:r>
        <w:rPr>
          <w:rFonts w:ascii="Times New Roman" w:hAnsi="Times New Roman"/>
          <w:color w:val="000000"/>
          <w:sz w:val="20"/>
        </w:rPr>
        <w:t xml:space="preserve"> </w:t>
      </w:r>
      <w:r>
        <w:rPr>
          <w:rFonts w:ascii="Times New Roman" w:hAnsi="Times New Roman"/>
          <w:b w:val="false"/>
          <w:color w:val="000000"/>
          <w:sz w:val="20"/>
        </w:rPr>
        <w:t>million and $1.6</w:t>
      </w:r>
      <w:r>
        <w:rPr>
          <w:rFonts w:ascii="Times New Roman" w:hAnsi="Times New Roman"/>
          <w:color w:val="000000"/>
          <w:sz w:val="20"/>
        </w:rPr>
        <w:t xml:space="preserve"> </w:t>
      </w:r>
      <w:r>
        <w:rPr>
          <w:rFonts w:ascii="Times New Roman" w:hAnsi="Times New Roman"/>
          <w:b w:val="false"/>
          <w:color w:val="000000"/>
          <w:sz w:val="20"/>
        </w:rPr>
        <w:t>million, respectively, were recognized and included in the balances as of June 30, 2023 and December 31, 2022. For the three and nine months ended September 30, 2022, revenues of $0.2</w:t>
      </w:r>
      <w:r>
        <w:rPr>
          <w:rFonts w:ascii="Times New Roman" w:hAnsi="Times New Roman"/>
          <w:color w:val="000000"/>
          <w:sz w:val="20"/>
        </w:rPr>
        <w:t xml:space="preserve"> </w:t>
      </w:r>
      <w:r>
        <w:rPr>
          <w:rFonts w:ascii="Times New Roman" w:hAnsi="Times New Roman"/>
          <w:b w:val="false"/>
          <w:color w:val="000000"/>
          <w:sz w:val="20"/>
        </w:rPr>
        <w:t>million and $1.5</w:t>
      </w:r>
      <w:r>
        <w:rPr>
          <w:rFonts w:ascii="Times New Roman" w:hAnsi="Times New Roman"/>
          <w:color w:val="000000"/>
          <w:sz w:val="20"/>
        </w:rPr>
        <w:t xml:space="preserve"> </w:t>
      </w:r>
      <w:r>
        <w:rPr>
          <w:rFonts w:ascii="Times New Roman" w:hAnsi="Times New Roman"/>
          <w:b w:val="false"/>
          <w:color w:val="000000"/>
          <w:sz w:val="20"/>
        </w:rPr>
        <w:t>million, respectively, were recognized and included in the balance as of June 30, 2022 and December 31, 2021, respectively.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For most of our contracts with customers, the transaction price from the inception of a contract is constrained to a short period of time (generally one month) as these contracts contain terms with variable consideration related to both price and quantity. At September 30, 2023, we have remaining performance obligations with certain customer contracts, excluding contracts with original durations of less than one year and for service contracts for which we have elected the practical expedient for consideration recognized in revenue as invoiced. The remaining performance obligations totals approximately $76.6</w:t>
      </w:r>
      <w:r>
        <w:rPr>
          <w:rFonts w:ascii="Times New Roman" w:hAnsi="Times New Roman"/>
          <w:color w:val="000000"/>
          <w:sz w:val="20"/>
        </w:rPr>
        <w:t xml:space="preserve"> </w:t>
      </w:r>
      <w:r>
        <w:rPr>
          <w:rFonts w:ascii="Times New Roman" w:hAnsi="Times New Roman"/>
          <w:b w:val="false"/>
          <w:color w:val="000000"/>
          <w:sz w:val="20"/>
        </w:rPr>
        <w:t>million, of which approximately 52% of this amount relates to 2023 through 2025, approximately 31% relates to 2026 through 2027, with the remainder thereafter.</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September 30, 2023, we had one outstanding financing arrangement with an affiliate of Eldridge as discussed in footnote (C) of Note 4. An affiliate of Eldridge holds $30</w:t>
      </w:r>
      <w:r>
        <w:rPr>
          <w:rFonts w:ascii="Times New Roman" w:hAnsi="Times New Roman"/>
          <w:color w:val="000000"/>
          <w:sz w:val="20"/>
        </w:rPr>
        <w:t xml:space="preserve"> </w:t>
      </w:r>
      <w:r>
        <w:rPr>
          <w:rFonts w:ascii="Times New Roman" w:hAnsi="Times New Roman"/>
          <w:b w:val="false"/>
          <w:color w:val="000000"/>
          <w:sz w:val="20"/>
        </w:rPr>
        <w:t>million of the Senior Secured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third quarter of 2022, under a previously authorized repurchase program we repurchased approximately 5.5</w:t>
      </w:r>
      <w:r>
        <w:rPr>
          <w:rFonts w:ascii="Times New Roman" w:hAnsi="Times New Roman"/>
          <w:color w:val="000000"/>
          <w:sz w:val="20"/>
        </w:rPr>
        <w:t xml:space="preserve"> </w:t>
      </w:r>
      <w:r>
        <w:rPr>
          <w:rFonts w:ascii="Times New Roman" w:hAnsi="Times New Roman"/>
          <w:b w:val="false"/>
          <w:color w:val="000000"/>
          <w:sz w:val="20"/>
        </w:rPr>
        <w:t>million shares of our common stock at an average cost of approximately $12</w:t>
      </w:r>
      <w:r>
        <w:rPr>
          <w:rFonts w:ascii="Times New Roman" w:hAnsi="Times New Roman"/>
          <w:color w:val="000000"/>
          <w:sz w:val="20"/>
        </w:rPr>
        <w:t xml:space="preserve"> </w:t>
      </w:r>
      <w:r>
        <w:rPr>
          <w:rFonts w:ascii="Times New Roman" w:hAnsi="Times New Roman"/>
          <w:b w:val="false"/>
          <w:color w:val="000000"/>
          <w:sz w:val="20"/>
        </w:rPr>
        <w:t>per share in connection with a public offering by LSB Funding and SBT Investors, each of which is an affiliate of Eldridge.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were party to a death benefit agreement (“2005 Agreement”) with Jack E. Golsen (“J. Golsen”), who retired as Executive Chairman of the Board, effective December 31, 2017. The 2005 Agreement provided that, upon J. Golsen’s death, we would pay to the designated beneficiary a lump-sum payment of $2.5</w:t>
      </w:r>
      <w:r>
        <w:rPr>
          <w:rFonts w:ascii="Times New Roman" w:hAnsi="Times New Roman"/>
          <w:color w:val="000000"/>
          <w:sz w:val="20"/>
        </w:rPr>
        <w:t xml:space="preserve"> </w:t>
      </w:r>
      <w:r>
        <w:rPr>
          <w:rFonts w:ascii="Times New Roman" w:hAnsi="Times New Roman"/>
          <w:b w:val="false"/>
          <w:color w:val="000000"/>
          <w:sz w:val="20"/>
        </w:rPr>
        <w:t>million. J. Golsen passed away in April 2022. Further, we maintained and owned a life insurance policy with a face value of $3.0</w:t>
      </w:r>
      <w:r>
        <w:rPr>
          <w:rFonts w:ascii="Times New Roman" w:hAnsi="Times New Roman"/>
          <w:color w:val="000000"/>
          <w:sz w:val="20"/>
        </w:rPr>
        <w:t xml:space="preserve"> </w:t>
      </w:r>
      <w:r>
        <w:rPr>
          <w:rFonts w:ascii="Times New Roman" w:hAnsi="Times New Roman"/>
          <w:b w:val="false"/>
          <w:color w:val="000000"/>
          <w:sz w:val="20"/>
        </w:rPr>
        <w:t>million for which we were the beneficiary. The policy did not have any cash surrender value, premium payments were current, and the policy was in force at the time of Golsen’s death. We received the settlement payment of $3.0</w:t>
      </w:r>
      <w:r>
        <w:rPr>
          <w:rFonts w:ascii="Times New Roman" w:hAnsi="Times New Roman"/>
          <w:color w:val="000000"/>
          <w:sz w:val="20"/>
        </w:rPr>
        <w:t xml:space="preserve"> </w:t>
      </w:r>
      <w:r>
        <w:rPr>
          <w:rFonts w:ascii="Times New Roman" w:hAnsi="Times New Roman"/>
          <w:b w:val="false"/>
          <w:color w:val="000000"/>
          <w:sz w:val="20"/>
        </w:rPr>
        <w:t>million and paid the death benefit of $2.5</w:t>
      </w:r>
      <w:r>
        <w:rPr>
          <w:rFonts w:ascii="Times New Roman" w:hAnsi="Times New Roman"/>
          <w:color w:val="000000"/>
          <w:sz w:val="20"/>
        </w:rPr>
        <w:t xml:space="preserve"> </w:t>
      </w:r>
      <w:r>
        <w:rPr>
          <w:rFonts w:ascii="Times New Roman" w:hAnsi="Times New Roman"/>
          <w:b w:val="false"/>
          <w:color w:val="000000"/>
          <w:sz w:val="20"/>
        </w:rPr>
        <w:t>million in July 2022. We recorded $3.0</w:t>
      </w:r>
      <w:r>
        <w:rPr>
          <w:rFonts w:ascii="Times New Roman" w:hAnsi="Times New Roman"/>
          <w:color w:val="000000"/>
          <w:sz w:val="20"/>
        </w:rPr>
        <w:t xml:space="preserve"> </w:t>
      </w:r>
      <w:r>
        <w:rPr>
          <w:rFonts w:ascii="Times New Roman" w:hAnsi="Times New Roman"/>
          <w:b w:val="false"/>
          <w:color w:val="000000"/>
          <w:sz w:val="20"/>
        </w:rPr>
        <w:t>million in a settlement of life insurance presented within non-operating other expense (income), net within our condensed consolidated statements of operations for the nine months ended September 30, 2022. The settlement of life insurance is included in our condensed consolidated statement of cash flows in “Other” investing activities.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 Supplemental Cash Flow Information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provides additional information relating to cash flow activities:</w:t>
      </w:r>
      <w:r>
        <w:rPr>
          <w:rFonts w:ascii="Times New Roman" w:hAnsi="Times New Roman"/>
          <w:color w:val="000000"/>
          <w:sz w:val="20"/>
        </w:rPr>
        <w:t xml:space="preserve"> </w:t>
      </w:r>
    </w:p>
    <w:tbl>
      <w:tblPr>
        <w:tblW w:w="8839" w:type="dxa"/>
        <w:jc w:val="left"/>
        <w:tblInd w:w="0" w:type="dxa"/>
        <w:tblLayout w:type="fixed"/>
        <w:tblCellMar>
          <w:top w:w="28" w:type="dxa"/>
          <w:left w:w="28" w:type="dxa"/>
          <w:bottom w:w="28" w:type="dxa"/>
          <w:right w:w="28" w:type="dxa"/>
        </w:tblCellMar>
      </w:tblPr>
      <w:tblGrid>
        <w:gridCol w:w="6216"/>
        <w:gridCol w:w="146"/>
        <w:gridCol w:w="211"/>
        <w:gridCol w:w="676"/>
        <w:gridCol w:w="166"/>
        <w:gridCol w:w="146"/>
        <w:gridCol w:w="211"/>
        <w:gridCol w:w="676"/>
        <w:gridCol w:w="39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391" w:type="dxa"/>
            <w:tcBorders/>
            <w:shd w:fill="FFFFFF" w:val="clear"/>
            <w:vAlign w:val="center"/>
          </w:tcPr>
          <w:p>
            <w:pPr>
              <w:pStyle w:val="TableContents"/>
              <w:bidi w:val="0"/>
              <w:spacing w:before="0" w:after="283"/>
              <w:jc w:val="center"/>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6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payments (refunds) for: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2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1,320</w:t>
            </w:r>
          </w:p>
        </w:tc>
        <w:tc>
          <w:tcPr>
            <w:tcW w:w="391" w:type="dxa"/>
            <w:tcBorders/>
            <w:shd w:fill="FFFFFF" w:val="clear"/>
            <w:vAlign w:val="center"/>
          </w:tcPr>
          <w:p>
            <w:pPr>
              <w:pStyle w:val="TableContents"/>
              <w:bidi w:val="0"/>
              <w:spacing w:before="0" w:after="283"/>
              <w:jc w:val="left"/>
              <w:rPr/>
            </w:pPr>
            <w:r>
              <w:rPr/>
              <w:t> </w:t>
            </w:r>
          </w:p>
        </w:tc>
      </w:tr>
      <w:tr>
        <w:trPr/>
        <w:tc>
          <w:tcPr>
            <w:tcW w:w="6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2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plant and equipment acquired and not yet paid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29,752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(Gain) 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 associated with debt-related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u w:val="single"/>
        </w:rPr>
      </w:pPr>
      <w:bookmarkStart w:id="8" w:name="item_2_managements_discussion_analysis_f"/>
      <w:bookmarkEnd w:id="8"/>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Management’s Discussion and Analysis of Financial Condition and Results of Operations (“MD&amp;A”) should be read in conjunction with a review of the other Items included in this Form 10-Q and our September 30, 2023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LSB is headquartered in Oklahoma City, Oklahoma and through our subsidiaries, we manufacture and sell chemical products for the agricultural, mining and industrial markets. We own and operate facilities in Cherokee, Alabama, El Dorado, Arkansas and Pryor, Oklahoma and operate a facility on behalf of Covestro in Baytown, Texas. Our products are sold through distributors and directly to end customers primarily throughout the U.S. and parts of Mexico, Canada and the Caribbean.</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Key Operating Initiatives for 2023</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expect our future results of operations and financial condition to benefit from the following key initiatives: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 xml:space="preserve">Investing to improve Environmental, Health &amp; Safety and Reliability at our Facilities while Supplying our Customers with Products of the Highest Quality.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We believe that our operational progress over the past several years represents proof that high safety standards not only enable us to protect what matters, which is the well-being of our employees, but also translates into improved plant performance. In 2023, we remain focused on our efforts to further the progress we have made with our safety programs to move closer to attaining zero injuries. We are investing and plan to continue to invest additional capital at all three of our facilities during the remainder of 2023 to build upon the success we have had in implementing enhanced safety programs during the last several years.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We have multiple initiatives currently underway focused on continuing to improve the reliability of our plants as we advance towards our 95% ammonia on-stream operating rate goal. Progress towards this goal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val="false"/>
          <w:i/>
          <w:color w:val="000000"/>
          <w:sz w:val="20"/>
        </w:rPr>
        <w:t xml:space="preserve">Continue Broadening the Distribution and Optimization of our Product Mix. </w:t>
      </w:r>
      <w:r>
        <w:rPr>
          <w:rFonts w:ascii="Times New Roman" w:hAnsi="Times New Roman"/>
          <w:b w:val="false"/>
          <w:color w:val="000000"/>
          <w:sz w:val="20"/>
        </w:rPr>
        <w:t>In January of 2023, we took over direct distribution of our Pryor facility’s UAN production following several years of working with a third party to sell the product. We believe that this, combined with continued expansion of our customer relationships and the robust market analysis capabilities we have developed, will make us more effective in identifying and capitalizing on the most profitable distribution opportunities for our products. Additionally, we are advancing several capital improvement projects that are related to our storage and distribution capabilities which we believe will assist us in improving our overall margins.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val="false"/>
          <w:i/>
          <w:color w:val="000000"/>
          <w:sz w:val="20"/>
        </w:rPr>
        <w:t>Development and Implementation of a Strategy to Capitalize on Low Carbon Ammonia and Clean Energy Opportunities.</w:t>
      </w:r>
      <w:r>
        <w:rPr>
          <w:color w:val="000000"/>
        </w:rPr>
        <w:t xml:space="preserve"> </w:t>
      </w:r>
      <w:r>
        <w:rPr>
          <w:rFonts w:ascii="Times New Roman" w:hAnsi="Times New Roman"/>
          <w:b w:val="false"/>
          <w:color w:val="000000"/>
          <w:sz w:val="20"/>
        </w:rPr>
        <w:t>The reduction of greenhouse gas emissions, particularly related to carbon dioxide, has been and we expect will increasingly become a global environmental priority as part of efforts to stem the harmful effects of climate change. Ammonia has continued to emerge as one of the more viable alternatives to serve as a hydrogen-based energy source for a variety of applications due to its higher energy density and ease of storage relative to hydrogen gas. Blue and green ammonia can be used as a coal and natural gas substitute in power generation, a zero-carbon fuel in the maritime sector, and as a carbon free fertilizer. If ammonia were to be adopted for these and other energy needs globally, some studies have indicated that future demand could increase from current levels of global annual production of ammonia.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a result, we are currently evaluating and developing projects that could enable us to become a producer and marketer of blue and green ammonia and other derivative products. Blue ammonia is produced using natural gas and conventional processes but includes an additional stage where the carbon dioxide emissions are captured and permanently stored in deep underground rock formations. The resulting low carbon emission product, we believe, can be sold at a premium to agricultural, industrial, mining, power generation and marine customers seeking to reduce their carbon footprint and potentially capitalize on government incentives. Green ammonia is ammonia produced using renewable energy to power electrolyzers that extract hydrogen from water, resulting in zero-carbon production of ammonia, which we believe can also be sold at a premium to a variety of customers and industries around the world.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believe we are well-positioned to capitalize on this opportunity and become a market leader given our potential to retrofit our existing plants, which we believe can reduce our time to market for this product and also reduce the upfront capital expenditures necessary to enable us to produce this product. Additionally, we have identified opportunities to partner with other energy-related companies to potentially develop greenfield projects where we expect to mitigate risk through shared investment of capital as well as by negotiating potential offtake agreements from customers for the output of these plants.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val="false"/>
          <w:i/>
          <w:color w:val="000000"/>
          <w:sz w:val="20"/>
        </w:rPr>
        <w:t xml:space="preserve">Evaluate and Pursue Organic Capacity Expansion. </w:t>
      </w:r>
      <w:r>
        <w:rPr>
          <w:rFonts w:ascii="Times New Roman" w:hAnsi="Times New Roman"/>
          <w:b w:val="false"/>
          <w:color w:val="000000"/>
          <w:sz w:val="20"/>
        </w:rPr>
        <w:t>We are evaluating opportunities across all our facilities to increase production capacity through the implementation of several potential debottlenecking projects. Our initial calculations suggest that these projects could potentially represent significant incremental annual profitability using an assumed mid-market pricing for Tampa Ammonia, UAN and natural gas. We have engaged third party engineering firms to conduct feasibility studies on several potential projects at our El Dorado site. We expect to receive the results of these studies during the fourth quarter of 2023. If the proposed projects meet our return criteria, we would expect to make recommendations to our Board of Directors (our “Board”) to move forward and engage an engineering firm to conduct the front end engineering design ("FEED") process. We estimate the FEED process will take nine to twelve months to complete. Upon completion of the FEED process, we expect to again review the projects in relation to the outlook for our product end markets and the overall economy and make a decision as to which products to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to the debottlenecking opportunities that we are evaluating, we also have several smaller, more near-term projects underway that we expect to enhance our profitability within the next 12 months with relatively minimal capital investment. These projects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Installation of ammonium nitrate coating equipment at our El Dorado facility to enhance product quality and storability of the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Construction of 5,000 tons of additional nitric acid storage at our El Dorado facility to help us optimize our product sales mix;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Expansion of our urea capacity at our Pryor facility, to enable to use a portion of the facilities ammonia output to upgrade to approximately 75,000 additional tons of UAN per year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val="false"/>
          <w:i/>
          <w:color w:val="000000"/>
          <w:sz w:val="20"/>
        </w:rPr>
        <w:t xml:space="preserve">Evaluate Acquisitions of Strategic Assets or Companies. </w:t>
      </w:r>
      <w:r>
        <w:rPr>
          <w:rFonts w:ascii="Times New Roman" w:hAnsi="Times New Roman"/>
          <w:b w:val="false"/>
          <w:color w:val="000000"/>
          <w:sz w:val="20"/>
        </w:rPr>
        <w:t xml:space="preserve">We may evaluate opportunities to acquire strategic assets or companies where we believe those acquisitions will enhance the value of the Company and provide attractive returns. We may consider assets and companies that can provide us with geographic expansion, extend an existing product line, add one or more new product lines, leverage our existing ammonia production capabilities, or complement our existing business lines, among other accretive opportunities.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Business Developments</w:t>
      </w:r>
    </w:p>
    <w:p>
      <w:pPr>
        <w:pStyle w:val="TextBody"/>
        <w:bidi w:val="0"/>
        <w:spacing w:before="120" w:after="283"/>
        <w:jc w:val="both"/>
        <w:rPr>
          <w:rFonts w:ascii="Times New Roman" w:hAnsi="Times New Roman"/>
          <w:b w:val="false"/>
          <w:i/>
          <w:color w:val="000000"/>
          <w:sz w:val="20"/>
          <w:u w:val="single"/>
        </w:rPr>
      </w:pPr>
      <w:r>
        <w:rPr>
          <w:rFonts w:ascii="Times New Roman" w:hAnsi="Times New Roman"/>
          <w:b w:val="false"/>
          <w:i/>
          <w:color w:val="000000"/>
          <w:sz w:val="20"/>
          <w:u w:val="single"/>
        </w:rPr>
        <w:t>Advanced Low and No Carbon Ammonia Initiatives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October 2023, we announced that we are collaborating with INPEX Corporation (TSE: 1605) (“INPEX”), Air Liquide Group (“Air Liquide”) and Vopak Moda Houston LLC (“Vopak Moda”) to conduct a pre-FEED for the development of a large-scale, low-carbon ammonia production and export project on the Houston Ship Channel. If the development proceeds, the project’s first phase is targeted to produce more than 1.1 million metric tons per year of low-carbon ammonia by the end of 2027, with options for future expansions.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parties completed a feasibility study on the project earlier this year and the preferred facility’s location on the Houston Ship Channel, the second largest petrochemical corridor in the world, leverages existing infrastructure assets. Vopak Moda has invested in storage and handling infrastructure for bulk liquid products and currently operates an ammonia terminal that includes storage tanks and a newbuild dock with multiple deep-water berths. The project also has access to utilities and would be near multiple pipelines that could supply raw materials like natural gas and water.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project partners will bring complementary expertise to the production, operation, storage and export for the advancement of low-carbon ammonia production in the US: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val="false"/>
          <w:color w:val="000000"/>
          <w:sz w:val="20"/>
        </w:rPr>
        <w:t>Air Liquide, a world leader in industrial gas production, and INPEX, Japan’s largest energy exploration and production company, would collaborate on low-carbon hydrogen production. Air Liquide would supply its AutoThermal Reforming (“ATR”) technology, an ideal solution for large-scale hydrogen production projects, combined with its proprietary carbon capture technology. The combination of ATR technology with carbon capture aims to capture at least 95% of direct CO</w:t>
      </w:r>
      <w:r>
        <w:rPr>
          <w:rFonts w:ascii="Times New Roman" w:hAnsi="Times New Roman"/>
          <w:b w:val="false"/>
          <w:color w:val="000000"/>
          <w:sz w:val="13"/>
        </w:rPr>
        <w:t xml:space="preserve">2 </w:t>
      </w:r>
      <w:r>
        <w:rPr>
          <w:rFonts w:ascii="Times New Roman" w:hAnsi="Times New Roman"/>
          <w:b w:val="false"/>
          <w:color w:val="000000"/>
          <w:sz w:val="20"/>
        </w:rPr>
        <w:t>emissions from hydrogen production with at least 1.6 metric tons per year CO</w:t>
      </w:r>
      <w:r>
        <w:rPr>
          <w:rFonts w:ascii="Times New Roman" w:hAnsi="Times New Roman"/>
          <w:b w:val="false"/>
          <w:color w:val="000000"/>
          <w:sz w:val="13"/>
        </w:rPr>
        <w:t>2</w:t>
      </w:r>
      <w:r>
        <w:rPr>
          <w:color w:val="000000"/>
        </w:rPr>
        <w:t xml:space="preserve"> </w:t>
      </w:r>
      <w:r>
        <w:rPr>
          <w:rFonts w:ascii="Times New Roman" w:hAnsi="Times New Roman"/>
          <w:b w:val="false"/>
          <w:color w:val="000000"/>
          <w:sz w:val="20"/>
        </w:rPr>
        <w:t xml:space="preserve">captured and permanently sequestered from this project. Air Liquide would be responsible for onsite nitrogen and oxygen production, using its proprietary Air Separation Unit technology.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LSB and INPEX would collaborate on low-carbon ammonia production. LSB would lead the selection of the ammonia loop technology provider, the pre-FEED, and the engineering, procurement and construction of the facility. LSB would also be responsible for the day-to-day operation of the ammonia loop.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INPEX and LSB would sell the low-carbon ammonia and finalize off-take agreements with the numerous parties that have expressed interest and could also further partner in the project. The majority of the product would be used for power generation in Asia with some volumes going to Europe and the U.S. INPEX, with stakes in both hydrogen and ammonia production, will likely be the largest investor in the overall project across the entire value chain, from production to export.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Vopak Moda currently operates ammonia storage and handling infrastructure from its Very Large Gas Carriers (“VLGC”)-capable deepwater berth which is located in the deepest part of the Houston Ship Channel. Vopak Moda will maintain its ownership of the existing infrastructure and plans to build additional storage capacity as required to handle the low-carbon ammonia production of the proposed new facility.</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April 2022, we entered into an agreement with Lapis Energy to develop a project to capture and permanently sequester CO</w:t>
      </w:r>
      <w:r>
        <w:rPr>
          <w:rFonts w:ascii="Times New Roman" w:hAnsi="Times New Roman"/>
          <w:b w:val="false"/>
          <w:color w:val="000000"/>
          <w:sz w:val="13"/>
        </w:rPr>
        <w:t xml:space="preserve">2 </w:t>
      </w:r>
      <w:r>
        <w:rPr>
          <w:rFonts w:ascii="Times New Roman" w:hAnsi="Times New Roman"/>
          <w:b w:val="false"/>
          <w:color w:val="000000"/>
          <w:sz w:val="20"/>
        </w:rPr>
        <w:t>at our El Dorado, Arkansas facility. Lapis, backed by Cresta Fund Management, a Dallas-based middle-market infrastructure investment firm, will make a majority of the capital investment required for the project development. The project is expected to be completed by 2025, subject to the approval of a Class VI permit, at which time CO</w:t>
      </w:r>
      <w:r>
        <w:rPr>
          <w:rFonts w:ascii="Times New Roman" w:hAnsi="Times New Roman"/>
          <w:b w:val="false"/>
          <w:color w:val="000000"/>
          <w:sz w:val="13"/>
        </w:rPr>
        <w:t xml:space="preserve">2 </w:t>
      </w:r>
      <w:r>
        <w:rPr>
          <w:rFonts w:ascii="Times New Roman" w:hAnsi="Times New Roman"/>
          <w:b w:val="false"/>
          <w:color w:val="000000"/>
          <w:sz w:val="20"/>
        </w:rPr>
        <w:t>injections are expected to begin. Once operational, the project at the El Dorado site will initially capture and permanently sequester more than 450,000 metric tons of CO</w:t>
      </w:r>
      <w:r>
        <w:rPr>
          <w:rFonts w:ascii="Times New Roman" w:hAnsi="Times New Roman"/>
          <w:b w:val="false"/>
          <w:color w:val="000000"/>
          <w:sz w:val="13"/>
        </w:rPr>
        <w:t xml:space="preserve">2 </w:t>
      </w:r>
      <w:r>
        <w:rPr>
          <w:rFonts w:ascii="Times New Roman" w:hAnsi="Times New Roman"/>
          <w:b w:val="false"/>
          <w:color w:val="000000"/>
          <w:sz w:val="20"/>
        </w:rPr>
        <w:t>per year in underground saline aquifers, with the potential to increase this quantity based on a potential debottlenecking project at the facility. The permanently sequestered CO</w:t>
      </w:r>
      <w:r>
        <w:rPr>
          <w:rFonts w:ascii="Times New Roman" w:hAnsi="Times New Roman"/>
          <w:b w:val="false"/>
          <w:color w:val="000000"/>
          <w:sz w:val="13"/>
        </w:rPr>
        <w:t>2</w:t>
      </w:r>
      <w:r>
        <w:rPr>
          <w:rFonts w:ascii="Times New Roman" w:hAnsi="Times New Roman"/>
          <w:color w:val="000000"/>
          <w:sz w:val="20"/>
        </w:rPr>
        <w:t xml:space="preserve"> </w:t>
      </w:r>
      <w:r>
        <w:rPr>
          <w:rFonts w:ascii="Times New Roman" w:hAnsi="Times New Roman"/>
          <w:b w:val="false"/>
          <w:color w:val="000000"/>
          <w:sz w:val="20"/>
        </w:rPr>
        <w:t>generated from the facility’s ammonia production is expected to qualify for federal tax credits under Internal Revenue Code Section 45Q, which are $85 per metric ton of CO</w:t>
      </w:r>
      <w:r>
        <w:rPr>
          <w:rFonts w:ascii="Times New Roman" w:hAnsi="Times New Roman"/>
          <w:b w:val="false"/>
          <w:color w:val="000000"/>
          <w:sz w:val="13"/>
        </w:rPr>
        <w:t xml:space="preserve">2 </w:t>
      </w:r>
      <w:r>
        <w:rPr>
          <w:rFonts w:ascii="Times New Roman" w:hAnsi="Times New Roman"/>
          <w:b w:val="false"/>
          <w:color w:val="000000"/>
          <w:sz w:val="20"/>
        </w:rPr>
        <w:t>captured beginning in 2026. Once in operation, the sequestered CO</w:t>
      </w:r>
      <w:r>
        <w:rPr>
          <w:rFonts w:ascii="Times New Roman" w:hAnsi="Times New Roman"/>
          <w:b w:val="false"/>
          <w:color w:val="000000"/>
          <w:sz w:val="13"/>
        </w:rPr>
        <w:t xml:space="preserve">2 </w:t>
      </w:r>
      <w:r>
        <w:rPr>
          <w:rFonts w:ascii="Times New Roman" w:hAnsi="Times New Roman"/>
          <w:b w:val="false"/>
          <w:color w:val="000000"/>
          <w:sz w:val="20"/>
        </w:rPr>
        <w:t>is expected to reduce LSB’s scope 1 GHG emissions by approximately 25% from current levels. In addition, sequestering more than 450,000 metric tons of CO</w:t>
      </w:r>
      <w:r>
        <w:rPr>
          <w:rFonts w:ascii="Times New Roman" w:hAnsi="Times New Roman"/>
          <w:b w:val="false"/>
          <w:color w:val="000000"/>
          <w:sz w:val="13"/>
        </w:rPr>
        <w:t xml:space="preserve">2 </w:t>
      </w:r>
      <w:r>
        <w:rPr>
          <w:rFonts w:ascii="Times New Roman" w:hAnsi="Times New Roman"/>
          <w:b w:val="false"/>
          <w:color w:val="000000"/>
          <w:sz w:val="20"/>
        </w:rPr>
        <w:t>annually is expected to enable LSB to produce over 375,000 metric tons of blue ammonia annually, a product that could potentially be sold at higher price levels than conventional ammonia. In February 2023, we achieved a key milestone in the advancement of our blue ammonia project at El Dorado by filing a pre-construction Class VI permit application with the U.S. Environmental Protection Agency (the “EPA”). The EPA recognized our application as complete in March 2023 and is currently in the review process.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May 2022, we entered into agreements with Thyssenkrupp Uhde USA, LLC and Bloom Energy Corporation, (NYSE:BE) to develop a project to produce approximately 30,000 metric tons of zero-carbon or “green” ammonia per year at our Pryor, Oklahoma facility. The green hydrogen produced from the electrolyzers could qualify for federal incentive programs such as the production and tax credit under Internal Revenue Code Section 45V. Currently, the uncertainty of the Internal Revenue Code Section 45V tax credits combined with the project’s current capital costs, have caused us to place this project on hold. We continue to have discussions for potential off-take agreements of the green ammonia supply. While remaining excited about this project and our opportunity to be an early entrant into the production of green ammonia, we will need stronger assurance regarding the realizability of the tax credits before moving forward.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May 2023, we entered into a non-binding memorandum of understanding (the "MOU") with Amogy Inc. aimed at developing the adoption of low-carbon ammonia as a marine fuel, initially for the U.S. inland waterways transportation sector. Through joint efforts, the companies will focus on advancing the understanding, utilization, and advocacy of low-carbon ammonia as a sustainable fuel. Pursuant to the MOU, the companies will collaborate on the evaluation and development of a pilot program that integrates LSB’s low carbon ammonia and Amogy’s ammonia-to-power solution. Upon successful completion of the evaluation and pilot program, the companies expect to further collaborate at a larger-scale, including exploration of opportunities for development of an end-to-end supply chain of low carbon ammonia and deployment of Amogy technology across multiple applications, including maritime vessels. The evaluation and pilot program includes potential engagement with other parties across the ammonia value chain. The two parties will also collaborate on various advocacy, education, and outreach efforts regarding the use of ammonia as a fuel.</w:t>
      </w:r>
    </w:p>
    <w:p>
      <w:pPr>
        <w:pStyle w:val="TextBody"/>
        <w:bidi w:val="0"/>
        <w:spacing w:before="120" w:after="283"/>
        <w:jc w:val="left"/>
        <w:rPr>
          <w:rFonts w:ascii="Times New Roman" w:hAnsi="Times New Roman"/>
          <w:b w:val="false"/>
          <w:i/>
          <w:color w:val="000000"/>
          <w:sz w:val="20"/>
          <w:u w:val="single"/>
        </w:rPr>
      </w:pPr>
      <w:r>
        <w:rPr>
          <w:rFonts w:ascii="Times New Roman" w:hAnsi="Times New Roman"/>
          <w:b w:val="false"/>
          <w:i/>
          <w:color w:val="000000"/>
          <w:sz w:val="20"/>
          <w:u w:val="single"/>
        </w:rPr>
        <w:t>Lower Product Selling Prices Partially Offset by Stronger Sales Volume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Sales volumes of our products increased in the third quarter of 2023 as compared to the same quarter of 2022 during which we performed Turnarounds on our Pryor, Oklahoma and El Dorado, Arkansas facilities while we had no significant Turnarounds during the current year. With respect to our third quarter 2023 profitability, higher sales volumes were more than offset by the impact of lower selling prices relative to the third quarter of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decline in fertilizer prices was the result of a variety of domestic and international factors. A key factor in the weakening of nitrogen fertilizer prices over the past year has been the decline in natural gas costs in Europe. Natural gas is the primary feedstock for the production of ammonia. Natural gas prices in Europe dropped due to a reduction in demand primarily related to warmer than expected temperatures throughout Europe last winter combined with increased storage inventories resulting from imports of liquified natural gas from the U.S. After having production largely curtailed for much of 2022, lower natural gas costs have enabled a majority of European ammonia facilities to resume operations in recent months, increasing global supply for nitrogen products. With that said, natural gas costs in Europe remain higher than those in the U.S. and European operators remain the high cost, or marginal producers, with production costs higher than those in the U.S.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 slowdown in Far East Asian industrial activity combined with lower demand for phosphate products has also contributed to lower nitrogen prices. Ammonia is a feedstock for various downstream chemicals that are produced in Asia, such as caprolactam and acrylonitrile, and markets for these products continue to be weak resulting in reduced ammonia demand.</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cold and wet weather across many corn growing regions of the U.S. in the early Spring caused a delay in the application of fertilizers which, combined with lower demand for phosphate products this planting season, further increased ammonia inventories in the supply chain and led to weaker prices.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Over the past several months, however, nitrogen pricing has increased, reflecting a combination of global factors including production outages at several large international ammonia plants, low inventory levels as a result of de-stocking throughout the nitrogen distribution channel, and an increase in ammonia consumption by a large international phosphate producer. Even with the recent strengthening, we believe that the current prices for ammonia and other nitrogen products should prove attractive to retailers and farmers such that, during the 2023 fourth quarter Fall ammonia application season and in the Spring 2024 planting season, demand for nitrogen fertilizers should strengthen to a degree that we expect pricing to remain near or above historical average levels.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addition to attractive pricing, we expect favorable U.S. corn market dynamics to provide support for stronger fertilizer pricing later this year and into next year. Corn prices remain above 10-year averages which, combined with lower input costs relative to last year, should further incentivize farmers to optimize fertilizer applications in the fourth quarter of 2023 and the first half of 2024 in order to maximize yields for the next Spring growing season.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industrial business has been robust and demand for our products is steady, supported by the resilience of the U.S. economy. Nitric acid demand is stable as the demand impacts of high inflation in the U.S. has been offset by global producers shifting production from international facilities to their U.S. operations in order to take advantage of lower domestic input costs. Demand for AN for use in mining applications is robust due to attractive market fundamentals for quarrying and aggregate production and U.S. metals.</w:t>
      </w:r>
      <w:r>
        <w:rPr>
          <w:rFonts w:ascii="Times New Roman" w:hAnsi="Times New Roman"/>
          <w:color w:val="000000"/>
          <w:sz w:val="20"/>
        </w:rPr>
        <w:t xml:space="preserve"> </w:t>
      </w:r>
      <w:r>
        <w:rPr>
          <w:rFonts w:ascii="Times New Roman" w:hAnsi="Times New Roman"/>
          <w:b w:val="false"/>
          <w:color w:val="000000"/>
          <w:sz w:val="20"/>
        </w:rPr>
        <w:t>While economic concerns persist, we believe that we have a meaningful degree of downside protection from the potential impacts of a recession given our diverse customer base, the nature of our contracts and our ability to shift our production mix to products where demand and pricing are strongest.</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Key Industry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Supply and Demand</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Fertilizer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Additionally, changes in corn prices, as well as soybean, cotton and wheat prices, can affect the number of acres of corn planted in a given year and the number of acres planted will drive the level of nitrogen fertilizer consumption, likely affecting prices.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According to the World Agricultural Supply and Demand Estimates Report dated October 12, 2023 (“October Report”), farmers planted approximately 94.9 million acres of corn in 2023, up 7.1% compared to the 2022 planting season. In addition, the U.S. Department of Agriculture (“USDA”) estimates the U.S. ending stocks for the 2023 Harvest will be approximately 53.6 million metric tons, a 54.9% increase from the 2022 Harvest. The USDA also lowered the expected yield for the 2023 Harvest, down approximately 0.2% from a year ago.</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October 2023 estimates are associated with the corn market: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94"/>
        <w:gridCol w:w="146"/>
        <w:gridCol w:w="234"/>
        <w:gridCol w:w="1092"/>
        <w:gridCol w:w="146"/>
        <w:gridCol w:w="146"/>
        <w:gridCol w:w="234"/>
        <w:gridCol w:w="1092"/>
        <w:gridCol w:w="146"/>
        <w:gridCol w:w="146"/>
        <w:gridCol w:w="218"/>
        <w:gridCol w:w="698"/>
        <w:gridCol w:w="314"/>
        <w:gridCol w:w="234"/>
        <w:gridCol w:w="1092"/>
        <w:gridCol w:w="146"/>
        <w:gridCol w:w="146"/>
        <w:gridCol w:w="218"/>
        <w:gridCol w:w="698"/>
        <w:gridCol w:w="365"/>
      </w:tblGrid>
      <w:tr>
        <w:trPr/>
        <w:tc>
          <w:tcPr>
            <w:tcW w:w="2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6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14" w:type="dxa"/>
            <w:tcBorders/>
            <w:shd w:fill="FFFFFF" w:val="clear"/>
            <w:vAlign w:val="center"/>
          </w:tcPr>
          <w:p>
            <w:pPr>
              <w:pStyle w:val="TableContents"/>
              <w:bidi w:val="0"/>
              <w:spacing w:before="0" w:after="283"/>
              <w:jc w:val="center"/>
              <w:rPr/>
            </w:pPr>
            <w:r>
              <w:rPr/>
              <w:t> </w:t>
            </w:r>
          </w:p>
        </w:tc>
        <w:tc>
          <w:tcPr>
            <w:tcW w:w="13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65" w:type="dxa"/>
            <w:tcBorders/>
            <w:shd w:fill="FFFFFF" w:val="clear"/>
            <w:vAlign w:val="center"/>
          </w:tcPr>
          <w:p>
            <w:pPr>
              <w:pStyle w:val="TableContents"/>
              <w:bidi w:val="0"/>
              <w:spacing w:before="0" w:after="283"/>
              <w:jc w:val="center"/>
              <w:rPr/>
            </w:pPr>
            <w:r>
              <w:rPr/>
              <w:t> </w:t>
            </w:r>
          </w:p>
        </w:tc>
      </w:tr>
      <w:tr>
        <w:trPr/>
        <w:tc>
          <w:tcPr>
            <w:tcW w:w="26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4" w:type="dxa"/>
            <w:tcBorders/>
            <w:shd w:fill="FFFFFF" w:val="clear"/>
            <w:vAlign w:val="center"/>
          </w:tcPr>
          <w:p>
            <w:pPr>
              <w:pStyle w:val="TableContents"/>
              <w:bidi w:val="0"/>
              <w:spacing w:before="0" w:after="283"/>
              <w:jc w:val="center"/>
              <w:rPr/>
            </w:pPr>
            <w:r>
              <w:rPr/>
              <w:t> </w:t>
            </w:r>
          </w:p>
        </w:tc>
        <w:tc>
          <w:tcPr>
            <w:tcW w:w="13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65" w:type="dxa"/>
            <w:tcBorders/>
            <w:shd w:fill="FFFFFF" w:val="clear"/>
            <w:vAlign w:val="center"/>
          </w:tcPr>
          <w:p>
            <w:pPr>
              <w:pStyle w:val="TableContents"/>
              <w:bidi w:val="0"/>
              <w:spacing w:before="0" w:after="283"/>
              <w:jc w:val="center"/>
              <w:rPr/>
            </w:pPr>
            <w:r>
              <w:rPr/>
              <w:t> </w:t>
            </w:r>
          </w:p>
        </w:tc>
      </w:tr>
      <w:tr>
        <w:trPr/>
        <w:tc>
          <w:tcPr>
            <w:tcW w:w="2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(3)</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U.S. Area Planted </w:t>
            </w:r>
            <w:r>
              <w:rPr>
                <w:rFonts w:ascii="Times New Roman" w:hAnsi="Times New Roman"/>
                <w:b w:val="false"/>
                <w:i/>
                <w:color w:val="000000"/>
                <w:sz w:val="16"/>
              </w:rPr>
              <w:t>(Million acres)</w:t>
            </w:r>
          </w:p>
        </w:tc>
        <w:tc>
          <w:tcPr>
            <w:tcW w:w="146" w:type="dxa"/>
            <w:tcBorders/>
            <w:shd w:fill="FFFFFF" w:val="clear"/>
            <w:vAlign w:val="center"/>
          </w:tcPr>
          <w:p>
            <w:pPr>
              <w:pStyle w:val="TableContents"/>
              <w:bidi w:val="0"/>
              <w:spacing w:before="0" w:after="283"/>
              <w:jc w:val="both"/>
              <w:rPr/>
            </w:pPr>
            <w:r>
              <w:rPr/>
              <w:t> </w:t>
            </w:r>
          </w:p>
        </w:tc>
        <w:tc>
          <w:tcPr>
            <w:tcW w:w="23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3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3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9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U.S. Yield per Acre </w:t>
            </w:r>
            <w:r>
              <w:rPr>
                <w:rFonts w:ascii="Times New Roman" w:hAnsi="Times New Roman"/>
                <w:b w:val="false"/>
                <w:i/>
                <w:color w:val="000000"/>
                <w:sz w:val="16"/>
              </w:rPr>
              <w:t>(Bushels)</w:t>
            </w:r>
          </w:p>
        </w:tc>
        <w:tc>
          <w:tcPr>
            <w:tcW w:w="146" w:type="dxa"/>
            <w:tcBorders/>
            <w:shd w:fill="CFF0FC" w:val="clear"/>
            <w:vAlign w:val="center"/>
          </w:tcPr>
          <w:p>
            <w:pPr>
              <w:pStyle w:val="TableContents"/>
              <w:bidi w:val="0"/>
              <w:spacing w:before="0" w:after="283"/>
              <w:jc w:val="both"/>
              <w:rPr/>
            </w:pPr>
            <w:r>
              <w:rPr/>
              <w:t> </w:t>
            </w:r>
          </w:p>
        </w:tc>
        <w:tc>
          <w:tcPr>
            <w:tcW w:w="234"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U.S. Production </w:t>
            </w:r>
            <w:r>
              <w:rPr>
                <w:rFonts w:ascii="Times New Roman" w:hAnsi="Times New Roman"/>
                <w:b w:val="false"/>
                <w:i/>
                <w:color w:val="000000"/>
                <w:sz w:val="16"/>
              </w:rPr>
              <w:t>(Million bushels)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3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3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9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U.S. Ending Stocks </w:t>
            </w:r>
            <w:r>
              <w:rPr>
                <w:rFonts w:ascii="Times New Roman" w:hAnsi="Times New Roman"/>
                <w:b w:val="false"/>
                <w:i/>
                <w:color w:val="000000"/>
                <w:sz w:val="16"/>
              </w:rPr>
              <w:t>(Million metric tons)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World Ending Stocks </w:t>
            </w:r>
            <w:r>
              <w:rPr>
                <w:rFonts w:ascii="Times New Roman" w:hAnsi="Times New Roman"/>
                <w:b w:val="false"/>
                <w:i/>
                <w:color w:val="000000"/>
                <w:sz w:val="16"/>
              </w:rPr>
              <w:t>(Million metric tons)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3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3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Information obtained from the October Report for the 2023/2024 ("2024 Crop"), 2022/2023 (“2023 Crop”) and 2021/2022 (“2022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Represents the percentage change between the 2024 Crop amounts compared to the 2023 Crop amounts.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Represents the percentage change between the 2024 Crop amounts compared to the 2022 Crop amounts.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current USDA corn outlook for the U.S. is for reduced supplies, lower feed and residual use and exports, and smaller ending stocks. Corn production for the 2024 Crop is forecast at 15.1 billion bushels, down 70.0 million on a cut in yield to 173.0 bushels per acre in the October report. Corn supplies for the 2024 Crop are forecast at 16.5 billion bushels, with lower production and beginning stocks. Exports are reduced 25.0 million bushels reflecting smaller supplies and slow early-season demand. Feed and residual use is down 25.0 million bushels based on lower supply. With supply falling more than use, corn ending stocks for 2024 Crop are lowered 110.0 million bushels. From a demand perspective, corn prices remain above 10-year averages, which we expect to incentivize farmers to optimize fertilizer applications in the fourth quarter of 2023 and the first half of 2024 in order to maximize yields.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Industrial and Mining Products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industrial products sales volumes are dependent upon general economic conditions, primarily in the housing, automotive and paper industries. Demand for our industrial products has remained steady. Nitric acid demand is stable as the demand impacts of high inflation in the U.S. has been offset by global producers shifting production from international facilities to their U.S. operations in order to take advantage of lower domestic input costs. Our sales prices generally vary with the market price of ammonia or natural gas, as applicable, in our pricing arrangements with customers.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mining products are LDAN and AN solution, which are primarily used as AN fuel oil and specialty emulsions for usage in the quarry and the construction industries, for metals mining and to a lesser extent, for coal. Demand for AN for use in mining applications is robust due to attractive market fundamentals for quarrying and aggregate production and U.S. metals.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While economic concerns persist for 2023, we believe that for both our industrial and mining products we have a meaningful degree of downside protection from the potential impacts of a recession given the nature of our contracts and our ability to shift our production mix to products where demand and pricing are strongest.</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Natural Gas Prices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 shows the volume of natural gas purchased and the average cost per MMBtu:</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3526"/>
        <w:gridCol w:w="146"/>
        <w:gridCol w:w="232"/>
        <w:gridCol w:w="514"/>
        <w:gridCol w:w="161"/>
        <w:gridCol w:w="161"/>
        <w:gridCol w:w="232"/>
        <w:gridCol w:w="514"/>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Three Months Ended</w:t>
            </w:r>
          </w:p>
        </w:tc>
        <w:tc>
          <w:tcPr>
            <w:tcW w:w="191" w:type="dxa"/>
            <w:tcBorders/>
            <w:shd w:fill="FFFFFF" w:val="clear"/>
            <w:vAlign w:val="center"/>
          </w:tcPr>
          <w:p>
            <w:pPr>
              <w:pStyle w:val="TableContents"/>
              <w:bidi w:val="0"/>
              <w:spacing w:before="0" w:after="283"/>
              <w:jc w:val="center"/>
              <w:rPr/>
            </w:pPr>
            <w:r>
              <w:rPr/>
              <w:t> </w:t>
            </w:r>
          </w:p>
        </w:tc>
      </w:tr>
      <w:tr>
        <w:trPr/>
        <w:tc>
          <w:tcPr>
            <w:tcW w:w="3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91" w:type="dxa"/>
            <w:tcBorders/>
            <w:shd w:fill="FFFFFF" w:val="clear"/>
            <w:vAlign w:val="center"/>
          </w:tcPr>
          <w:p>
            <w:pPr>
              <w:pStyle w:val="TableContents"/>
              <w:bidi w:val="0"/>
              <w:spacing w:before="0" w:after="283"/>
              <w:jc w:val="center"/>
              <w:rPr/>
            </w:pPr>
            <w:r>
              <w:rPr/>
              <w:t> </w:t>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center"/>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Natural gas volumes (MMBtu in millions)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Natural gas average cost per MMBtu</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Transportation Costs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Costs for transporting nitrogen-based products can be significant relative to their selling price. We continue to evaluate the recent rising costs of freight domestically. As a result of increases in demand for available rail, truck and barge options to transport product, primarily during the spring and fall planting seasons, higher transportation costs have and could continue to impact our margins if we are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Key Operational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Facility Reliability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Cherokee Facility is currently on a three-year ammonia plant Turnaround cycle completing with the next ammonia plant Turnaround planned in the third quarter of 2024.</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El Dorado Facility completed its scheduled ammonia plant Turnaround during the third quarter of 2022. Our Pryor Facility completed its scheduled ammonia plant Turnaround during the fourth quarter of 2022. Our El Dorado Facility and our Pryor Facility are now on a three-year and two-year ammonia plant Turnaround cycle, respectively.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Ammonia Production</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Ammonia is the basic product used to produce all of our upgraded products. The ammonia production rates of our plants affect the total cost per ton of each product produced and the overall sales of our products. For 2023, we are targeting total ammonia production of approximately 810,000 tons to 830,000 tons.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Forward Sales Contracts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Consolidated Results of the Third Quarter of 2023</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consolidated net sales for the third quarter of 2023 were $114.3 million compared to $184.3 million for the same period in 2022. Our consolidated operating loss for the third quarter of 2023 was $9.5 million compared to operating income of $13.1 million for the same period in 2022. The items impacting our operating results are discussed in more detail below and under “Results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Items Affecting Comparability of Results of the Third Quarter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Selling Prices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For the third quarter of 2023, average selling prices for our key products decreased compared to the third quarter of 2022. As discussed above under “Recent Business Developments,” declining European natural gas prices resulting in ammonia production costs in Europe declining substantially, translating into increased global supply and lower selling prices for ammonia and ammonia derivative fertilizers.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For the third quarter of 2023, average industrial selling prices for our products were also lower compared to the same period of 2022, primarily driven by the $750 per metric ton decrease in the Tampa Ammonia benchmark price, as many of our industrial contracts are indexed to the Tampa Ammonia benchmark price.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Turnaround Activities (2022 only)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When a Turnaround is performed, overall results are negatively impacted. This impact includes lost contribution margin from lost sales, lost fixed cost absorption from lower production, and increased costs associated with repairs and maintenance. The effects of our Turnarounds, exclusive of the impacts due to lost production during the downtime, are shown below:</w:t>
      </w:r>
    </w:p>
    <w:p>
      <w:pPr>
        <w:pStyle w:val="TextBody"/>
        <w:bidi w:val="0"/>
        <w:jc w:val="both"/>
        <w:rPr/>
      </w:pPr>
      <w:r>
        <w:rPr/>
        <w:t> </w:t>
      </w:r>
    </w:p>
    <w:tbl>
      <w:tblPr>
        <w:tblW w:w="8439" w:type="dxa"/>
        <w:jc w:val="left"/>
        <w:tblInd w:w="0" w:type="dxa"/>
        <w:tblLayout w:type="fixed"/>
        <w:tblCellMar>
          <w:top w:w="28" w:type="dxa"/>
          <w:left w:w="28" w:type="dxa"/>
          <w:bottom w:w="28" w:type="dxa"/>
          <w:right w:w="28" w:type="dxa"/>
        </w:tblCellMar>
      </w:tblPr>
      <w:tblGrid>
        <w:gridCol w:w="946"/>
        <w:gridCol w:w="146"/>
        <w:gridCol w:w="1441"/>
        <w:gridCol w:w="146"/>
        <w:gridCol w:w="1066"/>
        <w:gridCol w:w="146"/>
        <w:gridCol w:w="427"/>
        <w:gridCol w:w="1373"/>
        <w:gridCol w:w="146"/>
        <w:gridCol w:w="146"/>
        <w:gridCol w:w="400"/>
        <w:gridCol w:w="1865"/>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Turnaround</w:t>
            </w:r>
          </w:p>
        </w:tc>
        <w:tc>
          <w:tcPr>
            <w:tcW w:w="146" w:type="dxa"/>
            <w:tcBorders/>
            <w:shd w:fill="FFFFFF" w:val="clear"/>
            <w:vAlign w:val="center"/>
          </w:tcPr>
          <w:p>
            <w:pPr>
              <w:pStyle w:val="TableContents"/>
              <w:bidi w:val="0"/>
              <w:spacing w:before="0" w:after="283"/>
              <w:jc w:val="left"/>
              <w:rPr/>
            </w:pPr>
            <w:r>
              <w:rPr/>
              <w:t> </w:t>
            </w:r>
          </w:p>
        </w:tc>
        <w:tc>
          <w:tcPr>
            <w:tcW w:w="1800"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Turnaround Expense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5"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Estimated Lost Production</w:t>
            </w:r>
          </w:p>
        </w:tc>
        <w:tc>
          <w:tcPr>
            <w:tcW w:w="191" w:type="dxa"/>
            <w:tcBorders/>
            <w:shd w:fill="FFFFFF" w:val="cle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Related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Downtime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(In Tons)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El Dorado</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w:t>
            </w:r>
            <w:r>
              <w:rPr>
                <w:rFonts w:ascii="Times New Roman" w:hAnsi="Times New Roman"/>
                <w:b w:val="false"/>
                <w:color w:val="000000"/>
                <w:sz w:val="13"/>
              </w:rPr>
              <w:t>rd</w:t>
            </w:r>
            <w:r>
              <w:rPr>
                <w:rFonts w:ascii="Times New Roman" w:hAnsi="Times New Roman"/>
                <w:color w:val="000000"/>
                <w:sz w:val="20"/>
              </w:rPr>
              <w:t> </w:t>
            </w:r>
            <w:r>
              <w:rPr>
                <w:rFonts w:ascii="Times New Roman" w:hAnsi="Times New Roman"/>
                <w:b w:val="false"/>
                <w:color w:val="000000"/>
                <w:sz w:val="20"/>
              </w:rPr>
              <w:t>Quarter 2022</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27 days</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0" w:type="dxa"/>
            <w:tcBorders/>
            <w:shd w:fill="CFF0FC" w:val="clear"/>
            <w:vAlign w:val="center"/>
          </w:tcPr>
          <w:p>
            <w:pPr>
              <w:pStyle w:val="TableContents"/>
              <w:bidi w:val="0"/>
              <w:spacing w:before="0" w:after="283"/>
              <w:jc w:val="left"/>
              <w:rPr/>
            </w:pPr>
            <w:r>
              <w:rPr/>
              <w:t> </w:t>
            </w:r>
          </w:p>
        </w:tc>
        <w:tc>
          <w:tcPr>
            <w:tcW w:w="1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36,000</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Pryor</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w:t>
            </w:r>
            <w:r>
              <w:rPr>
                <w:rFonts w:ascii="Times New Roman" w:hAnsi="Times New Roman"/>
                <w:b w:val="false"/>
                <w:color w:val="000000"/>
                <w:sz w:val="13"/>
              </w:rPr>
              <w:t>rd</w:t>
            </w:r>
            <w:r>
              <w:rPr>
                <w:rFonts w:ascii="Times New Roman" w:hAnsi="Times New Roman"/>
                <w:color w:val="000000"/>
                <w:sz w:val="20"/>
              </w:rPr>
              <w:t> </w:t>
            </w:r>
            <w:r>
              <w:rPr>
                <w:rFonts w:ascii="Times New Roman" w:hAnsi="Times New Roman"/>
                <w:b w:val="false"/>
                <w:color w:val="000000"/>
                <w:sz w:val="20"/>
              </w:rPr>
              <w:t>Quarter 2022</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 days</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Results of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Results of Operations should be read in conjunction with our condensed consolidated financial statements for the three months ended September 30, 2023 and 2022 and accompanying notes and the discussions under “Overview” and “Liquidity and Capital Resources” included in this MD&amp;A.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Three Months Ended September 30, 2023 Compared to Three Months Ended September 30,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table contains certain financial information:</w:t>
      </w:r>
      <w:r>
        <w:rPr>
          <w:rFonts w:ascii="Times New Roman" w:hAnsi="Times New Roman"/>
          <w:color w:val="000000"/>
          <w:sz w:val="20"/>
        </w:rPr>
        <w:t xml:space="preserve"> </w:t>
      </w:r>
    </w:p>
    <w:tbl>
      <w:tblPr>
        <w:tblW w:w="9791" w:type="dxa"/>
        <w:jc w:val="left"/>
        <w:tblInd w:w="0" w:type="dxa"/>
        <w:tblLayout w:type="fixed"/>
        <w:tblCellMar>
          <w:top w:w="28" w:type="dxa"/>
          <w:left w:w="28" w:type="dxa"/>
          <w:bottom w:w="28" w:type="dxa"/>
          <w:right w:w="28" w:type="dxa"/>
        </w:tblCellMar>
      </w:tblPr>
      <w:tblGrid>
        <w:gridCol w:w="3776"/>
        <w:gridCol w:w="146"/>
        <w:gridCol w:w="211"/>
        <w:gridCol w:w="781"/>
        <w:gridCol w:w="331"/>
        <w:gridCol w:w="146"/>
        <w:gridCol w:w="211"/>
        <w:gridCol w:w="781"/>
        <w:gridCol w:w="271"/>
        <w:gridCol w:w="146"/>
        <w:gridCol w:w="211"/>
        <w:gridCol w:w="736"/>
        <w:gridCol w:w="331"/>
        <w:gridCol w:w="146"/>
        <w:gridCol w:w="230"/>
        <w:gridCol w:w="761"/>
        <w:gridCol w:w="57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1"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Three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1"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Percentage</w:t>
            </w:r>
          </w:p>
        </w:tc>
        <w:tc>
          <w:tcPr>
            <w:tcW w:w="576" w:type="dxa"/>
            <w:tcBorders/>
            <w:shd w:fill="FFFFFF" w:val="cle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25" w:type="dxa"/>
            <w:gridSpan w:val="10"/>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(Dollars In Thousands)</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ind w:left="0" w:right="0" w:firstLine="100"/>
              <w:jc w:val="lef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46,026</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66,161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(20,135</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Urea ammonium nitrate (UAN)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30,090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50,459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(20,369</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26,823</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52,075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(25,252</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11,348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114,287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184,273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(69,986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(loss) profit: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Adjusted gross profit </w:t>
            </w:r>
            <w:r>
              <w:rPr>
                <w:rFonts w:ascii="Times New Roman" w:hAnsi="Times New Roman"/>
                <w:b w:val="false"/>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13,775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57,450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(43,675</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Depreciation and amortization </w:t>
            </w:r>
            <w:r>
              <w:rPr>
                <w:rFonts w:ascii="Times New Roman" w:hAnsi="Times New Roman"/>
                <w:b w:val="false"/>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(15,420</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(16,083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Turnaround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17,497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gross (loss)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(3,386</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22,129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(25,515</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8,512</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9,138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(9,499</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13,066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(22,565</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7,165</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12,193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(5,028</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Non-operating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(3,689</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(Benefit)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(7,726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(10,038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jc w:val="right"/>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information: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Gross (loss) profit percentage </w:t>
            </w:r>
            <w:r>
              <w:rPr>
                <w:rFonts w:ascii="Times New Roman" w:hAnsi="Times New Roman"/>
                <w:b w:val="false"/>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Adjusted gross profit percentage </w:t>
            </w:r>
            <w:r>
              <w:rPr>
                <w:rFonts w:ascii="Times New Roman" w:hAnsi="Times New Roman"/>
                <w:b w:val="false"/>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Property, plant and equipment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jc w:val="right"/>
              <w:rPr/>
            </w:pPr>
            <w:r>
              <w:rPr/>
              <w:t> </w:t>
            </w:r>
          </w:p>
        </w:tc>
      </w:tr>
    </w:tbl>
    <w:p>
      <w:pPr>
        <w:pStyle w:val="TextBody"/>
        <w:bidi w:val="0"/>
        <w:spacing w:before="40" w:after="283"/>
        <w:jc w:val="both"/>
        <w:rPr>
          <w:rFonts w:ascii="Times New Roman" w:hAnsi="Times New Roman"/>
          <w:b w:val="false"/>
          <w:color w:val="000000"/>
          <w:sz w:val="18"/>
        </w:rPr>
      </w:pPr>
      <w:r>
        <w:rPr>
          <w:rFonts w:ascii="Times New Roman" w:hAnsi="Times New Roman"/>
          <w:b w:val="false"/>
          <w:color w:val="000000"/>
          <w:sz w:val="18"/>
        </w:rPr>
        <w:t>(1)</w:t>
      </w:r>
    </w:p>
    <w:p>
      <w:pPr>
        <w:pStyle w:val="TextBody"/>
        <w:bidi w:val="0"/>
        <w:spacing w:before="40" w:after="283"/>
        <w:jc w:val="both"/>
        <w:rPr>
          <w:rFonts w:ascii="Times New Roman" w:hAnsi="Times New Roman"/>
          <w:b w:val="false"/>
          <w:color w:val="000000"/>
          <w:sz w:val="18"/>
        </w:rPr>
      </w:pPr>
      <w:r>
        <w:rPr>
          <w:rFonts w:ascii="Times New Roman" w:hAnsi="Times New Roman"/>
          <w:b w:val="false"/>
          <w:color w:val="000000"/>
          <w:sz w:val="18"/>
        </w:rPr>
        <w:t>Represents a non-GAAP measure since the amount excludes unallocated depreciation, amortization and Turnaround expenses.</w:t>
      </w:r>
    </w:p>
    <w:p>
      <w:pPr>
        <w:pStyle w:val="TextBody"/>
        <w:bidi w:val="0"/>
        <w:spacing w:before="0" w:after="0"/>
        <w:jc w:val="both"/>
        <w:rPr>
          <w:rFonts w:ascii="Times New Roman" w:hAnsi="Times New Roman"/>
          <w:b w:val="false"/>
          <w:color w:val="000000"/>
          <w:sz w:val="18"/>
        </w:rPr>
      </w:pPr>
      <w:r>
        <w:rPr>
          <w:rFonts w:ascii="Times New Roman" w:hAnsi="Times New Roman"/>
          <w:b w:val="false"/>
          <w:color w:val="000000"/>
          <w:sz w:val="18"/>
        </w:rPr>
        <w:t>(2)</w:t>
      </w:r>
    </w:p>
    <w:p>
      <w:pPr>
        <w:pStyle w:val="TextBody"/>
        <w:bidi w:val="0"/>
        <w:spacing w:before="0" w:after="0"/>
        <w:jc w:val="both"/>
        <w:rPr>
          <w:rFonts w:ascii="Times New Roman" w:hAnsi="Times New Roman"/>
          <w:b w:val="false"/>
          <w:color w:val="000000"/>
          <w:sz w:val="18"/>
        </w:rPr>
      </w:pPr>
      <w:r>
        <w:rPr>
          <w:rFonts w:ascii="Times New Roman" w:hAnsi="Times New Roman"/>
          <w:b w:val="false"/>
          <w:color w:val="000000"/>
          <w:sz w:val="18"/>
        </w:rPr>
        <w:t>Represents amount classified as cost of sales.</w:t>
      </w:r>
    </w:p>
    <w:p>
      <w:pPr>
        <w:pStyle w:val="TextBody"/>
        <w:bidi w:val="0"/>
        <w:spacing w:before="0" w:after="0"/>
        <w:jc w:val="both"/>
        <w:rPr>
          <w:rFonts w:ascii="Times New Roman" w:hAnsi="Times New Roman"/>
          <w:b w:val="false"/>
          <w:color w:val="000000"/>
          <w:sz w:val="18"/>
        </w:rPr>
      </w:pPr>
      <w:r>
        <w:rPr>
          <w:rFonts w:ascii="Times New Roman" w:hAnsi="Times New Roman"/>
          <w:b w:val="false"/>
          <w:color w:val="000000"/>
          <w:sz w:val="18"/>
        </w:rPr>
        <w:t>(3)</w:t>
      </w:r>
    </w:p>
    <w:p>
      <w:pPr>
        <w:pStyle w:val="TextBody"/>
        <w:bidi w:val="0"/>
        <w:jc w:val="both"/>
        <w:rPr>
          <w:rFonts w:ascii="Times New Roman" w:hAnsi="Times New Roman"/>
          <w:b w:val="false"/>
          <w:color w:val="000000"/>
          <w:sz w:val="18"/>
        </w:rPr>
      </w:pPr>
      <w:r>
        <w:rPr>
          <w:rFonts w:ascii="Times New Roman" w:hAnsi="Times New Roman"/>
          <w:b w:val="false"/>
          <w:color w:val="000000"/>
          <w:sz w:val="18"/>
        </w:rPr>
        <w:t xml:space="preserve">As a percentage of the total net sales.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tables provide key operating metrics for the fertilizer and major industrial and mining products:</w:t>
      </w:r>
    </w:p>
    <w:tbl>
      <w:tblPr>
        <w:tblW w:w="8221" w:type="dxa"/>
        <w:jc w:val="left"/>
        <w:tblInd w:w="0" w:type="dxa"/>
        <w:tblLayout w:type="fixed"/>
        <w:tblCellMar>
          <w:top w:w="28" w:type="dxa"/>
          <w:left w:w="28" w:type="dxa"/>
          <w:bottom w:w="28" w:type="dxa"/>
          <w:right w:w="28" w:type="dxa"/>
        </w:tblCellMar>
      </w:tblPr>
      <w:tblGrid>
        <w:gridCol w:w="2796"/>
        <w:gridCol w:w="146"/>
        <w:gridCol w:w="146"/>
        <w:gridCol w:w="781"/>
        <w:gridCol w:w="146"/>
        <w:gridCol w:w="146"/>
        <w:gridCol w:w="146"/>
        <w:gridCol w:w="781"/>
        <w:gridCol w:w="146"/>
        <w:gridCol w:w="146"/>
        <w:gridCol w:w="146"/>
        <w:gridCol w:w="676"/>
        <w:gridCol w:w="166"/>
        <w:gridCol w:w="146"/>
        <w:gridCol w:w="313"/>
        <w:gridCol w:w="678"/>
        <w:gridCol w:w="71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Percentage</w:t>
            </w:r>
          </w:p>
        </w:tc>
        <w:tc>
          <w:tcPr>
            <w:tcW w:w="716"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b w:val="false"/>
                <w:color w:val="000000"/>
                <w:sz w:val="16"/>
                <w:u w:val="single"/>
              </w:rPr>
            </w:pPr>
            <w:r>
              <w:rPr>
                <w:rFonts w:ascii="Times New Roman" w:hAnsi="Times New Roman"/>
                <w:b w:val="false"/>
                <w:color w:val="000000"/>
                <w:sz w:val="16"/>
                <w:u w:val="single"/>
              </w:rPr>
              <w:t>Product (tons sold)</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both"/>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tbl>
      <w:tblPr>
        <w:tblW w:w="8033" w:type="dxa"/>
        <w:jc w:val="left"/>
        <w:tblInd w:w="0" w:type="dxa"/>
        <w:tblLayout w:type="fixed"/>
        <w:tblCellMar>
          <w:top w:w="28" w:type="dxa"/>
          <w:left w:w="28" w:type="dxa"/>
          <w:bottom w:w="28" w:type="dxa"/>
          <w:right w:w="28" w:type="dxa"/>
        </w:tblCellMar>
      </w:tblPr>
      <w:tblGrid>
        <w:gridCol w:w="3166"/>
        <w:gridCol w:w="146"/>
        <w:gridCol w:w="246"/>
        <w:gridCol w:w="491"/>
        <w:gridCol w:w="170"/>
        <w:gridCol w:w="170"/>
        <w:gridCol w:w="246"/>
        <w:gridCol w:w="491"/>
        <w:gridCol w:w="146"/>
        <w:gridCol w:w="146"/>
        <w:gridCol w:w="224"/>
        <w:gridCol w:w="512"/>
        <w:gridCol w:w="166"/>
        <w:gridCol w:w="146"/>
        <w:gridCol w:w="277"/>
        <w:gridCol w:w="714"/>
        <w:gridCol w:w="57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Percentage</w:t>
            </w:r>
          </w:p>
        </w:tc>
        <w:tc>
          <w:tcPr>
            <w:tcW w:w="576"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16"/>
                <w:u w:val="single"/>
              </w:rPr>
            </w:pPr>
            <w:r>
              <w:rPr>
                <w:rFonts w:ascii="Times New Roman" w:hAnsi="Times New Roman"/>
                <w:b w:val="false"/>
                <w:color w:val="000000"/>
                <w:sz w:val="16"/>
                <w:u w:val="single"/>
              </w:rPr>
              <w:t>Gross Average Selling Prices (price per ton)</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7927" w:type="dxa"/>
        <w:jc w:val="left"/>
        <w:tblInd w:w="0" w:type="dxa"/>
        <w:tblLayout w:type="fixed"/>
        <w:tblCellMar>
          <w:top w:w="28" w:type="dxa"/>
          <w:left w:w="28" w:type="dxa"/>
          <w:bottom w:w="28" w:type="dxa"/>
          <w:right w:w="28" w:type="dxa"/>
        </w:tblCellMar>
      </w:tblPr>
      <w:tblGrid>
        <w:gridCol w:w="3046"/>
        <w:gridCol w:w="146"/>
        <w:gridCol w:w="224"/>
        <w:gridCol w:w="448"/>
        <w:gridCol w:w="155"/>
        <w:gridCol w:w="155"/>
        <w:gridCol w:w="224"/>
        <w:gridCol w:w="607"/>
        <w:gridCol w:w="146"/>
        <w:gridCol w:w="146"/>
        <w:gridCol w:w="224"/>
        <w:gridCol w:w="512"/>
        <w:gridCol w:w="166"/>
        <w:gridCol w:w="146"/>
        <w:gridCol w:w="277"/>
        <w:gridCol w:w="714"/>
        <w:gridCol w:w="5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813"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813"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Percentage</w:t>
            </w:r>
          </w:p>
        </w:tc>
        <w:tc>
          <w:tcPr>
            <w:tcW w:w="591"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16"/>
                <w:u w:val="single"/>
              </w:rPr>
            </w:pPr>
            <w:r>
              <w:rPr>
                <w:rFonts w:ascii="Times New Roman" w:hAnsi="Times New Roman"/>
                <w:b w:val="false"/>
                <w:color w:val="000000"/>
                <w:sz w:val="16"/>
                <w:u w:val="single"/>
              </w:rPr>
              <w:t>Average Benchmark Prices (price per ton)</w:t>
            </w:r>
          </w:p>
        </w:tc>
        <w:tc>
          <w:tcPr>
            <w:tcW w:w="146" w:type="dxa"/>
            <w:tcBorders/>
            <w:shd w:fill="FFFFFF" w:val="clear"/>
            <w:vAlign w:val="center"/>
          </w:tcPr>
          <w:p>
            <w:pPr>
              <w:pStyle w:val="TableContents"/>
              <w:bidi w:val="0"/>
              <w:spacing w:before="0" w:after="283"/>
              <w:jc w:val="both"/>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Tampa Ammonia Benchmark</w:t>
            </w:r>
          </w:p>
        </w:tc>
        <w:tc>
          <w:tcPr>
            <w:tcW w:w="146" w:type="dxa"/>
            <w:tcBorders/>
            <w:shd w:fill="CFF0FC" w:val="clear"/>
            <w:vAlign w:val="center"/>
          </w:tcPr>
          <w:p>
            <w:pPr>
              <w:pStyle w:val="TableContents"/>
              <w:bidi w:val="0"/>
              <w:spacing w:before="0" w:after="283"/>
              <w:jc w:val="both"/>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NOLA UAN</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Net Sales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Net sales of our primary products decreased during the third quarter of 2023 compared to the prior year period driven by the impact of lower selling prices relative to the third quarter of 2022 for all of our products. Partially offsetting weaker pricing was an increase in sales volume of ammonia and UAN driven largely by stronger production at our facilities, reflecting the investments made in plant reliability over the past several years.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Demand for our industrial and mining products remains robust despite continued global recessionary forces. Our contractual agreements with industrial customers that specify minimum volumes and our product mix flexibility helps us mitigate the impact of a reduction in demand from certain end markets by shifting production to products with stronger demand.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u w:val="single"/>
        </w:rPr>
        <w:t>Gross Profit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noted in the table above, we recognized a gross loss of $3.4 million for the third quarter of 2023 compared to a gross profit $22.1 million for the same period in 2022, or a $25.5 million reduction. Overall, our gross loss percentage was 3.0% compared to a gross profit of 12.0% for the same period in 2022. Our adjusted gross profit percentage decreased to 12.1 % for the third quarter of 2023 from 31.2% for the third quarter of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decrease in gross profit was primarily driven by lower sales prices for our products partially offset by higher sales volumes of our ammonia and UAN products and lower natural gas costs.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Selling, General and Administrative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SG&amp;A expenses were $8.5 million for the third quarter of 2023, a decrease of $0.6 million compared to the same period in 2022. The net decrease was primarily driven by a reduction in expense relating to professional fees partially offset by increases in payroll, insurance and other miscellaneous expenses.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Interest Expense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Interest expense for the third quarter of 2023 was $7.2 million compared to $12.2 million for the same period in 2022. The decrease relates to reduced interest expense as a result of the repurchase of $125 million of our 6.25% Senior Secured Notes made during May and June of 2023 and as a result of the reversal of the previous judgement awarded to Global in the litigation discussed in Note 5.</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Other Expense (Income), net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Other income, net during the third quarter of 2023 primarily relates to short-term rental income.</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Non-operating Other Income, net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Non-operating other income, net for the third quarter of 2023 was $3.7 million compared to $2.2 million for the same period of 2022, primarily related to interest income earned during both periods from our short-term investments.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(Benefit) provision for Income Taxes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benefit for income taxes for the third quarter of 2023 was $5.2 million and the provision for income taxes for the same period of 2022 was $0.8 million. The resulting effective tax rate for the third quarter of 2023 was 40.5% compared to 25.2% for the same period of 2022. For the third quarter of 2023, the effective tax rate is greater than the statutory rate primarily due to the impact of state taxes, valuation allowances, and other discrete items. For the third quarter of 2022, the effective tax rate was greater than the statutory rate primarily due to the impact of state taxes and valuation allowances. See discussion in Note 7.</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u w:val="single"/>
        </w:rPr>
        <w:t>Nine Months Ended September 30, 2023 Compared to Nine Months Ended September 30, 2022</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table contains certain financial information:</w:t>
      </w:r>
      <w:r>
        <w:rPr>
          <w:rFonts w:ascii="Times New Roman" w:hAnsi="Times New Roman"/>
          <w:color w:val="000000"/>
          <w:sz w:val="20"/>
        </w:rPr>
        <w:t xml:space="preserve"> </w:t>
      </w:r>
    </w:p>
    <w:tbl>
      <w:tblPr>
        <w:tblW w:w="9836" w:type="dxa"/>
        <w:jc w:val="left"/>
        <w:tblInd w:w="0" w:type="dxa"/>
        <w:tblLayout w:type="fixed"/>
        <w:tblCellMar>
          <w:top w:w="28" w:type="dxa"/>
          <w:left w:w="28" w:type="dxa"/>
          <w:bottom w:w="28" w:type="dxa"/>
          <w:right w:w="28" w:type="dxa"/>
        </w:tblCellMar>
      </w:tblPr>
      <w:tblGrid>
        <w:gridCol w:w="3776"/>
        <w:gridCol w:w="146"/>
        <w:gridCol w:w="211"/>
        <w:gridCol w:w="781"/>
        <w:gridCol w:w="271"/>
        <w:gridCol w:w="146"/>
        <w:gridCol w:w="211"/>
        <w:gridCol w:w="781"/>
        <w:gridCol w:w="271"/>
        <w:gridCol w:w="146"/>
        <w:gridCol w:w="211"/>
        <w:gridCol w:w="841"/>
        <w:gridCol w:w="331"/>
        <w:gridCol w:w="146"/>
        <w:gridCol w:w="277"/>
        <w:gridCol w:w="714"/>
        <w:gridCol w:w="57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Nine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01"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Percentage</w:t>
            </w:r>
          </w:p>
        </w:tc>
        <w:tc>
          <w:tcPr>
            <w:tcW w:w="576" w:type="dxa"/>
            <w:tcBorders/>
            <w:shd w:fill="FFFFFF" w:val="cle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70" w:type="dxa"/>
            <w:gridSpan w:val="10"/>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(Dollars In Thousands)</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ind w:left="0" w:right="0" w:firstLine="100"/>
              <w:jc w:val="lef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173,859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234,103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(60,244</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Urea ammonium nitrate (UAN)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117,585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184,014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(66,429</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129,850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200,861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(71,011</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49,079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461,096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668,057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(206,961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200"/>
              <w:jc w:val="right"/>
              <w:rPr/>
            </w:pPr>
            <w:r>
              <w:rPr/>
              <w:t> </w:t>
            </w:r>
          </w:p>
        </w:tc>
      </w:tr>
      <w:tr>
        <w:trPr/>
        <w:tc>
          <w:tcPr>
            <w:tcW w:w="377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Adjusted gross profit </w:t>
            </w:r>
            <w:r>
              <w:rPr>
                <w:rFonts w:ascii="Times New Roman" w:hAnsi="Times New Roman"/>
                <w:b w:val="false"/>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125,739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330,732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(204,993</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Depreciation and amortization </w:t>
            </w:r>
            <w:r>
              <w:rPr>
                <w:rFonts w:ascii="Times New Roman" w:hAnsi="Times New Roman"/>
                <w:b w:val="false"/>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(49,792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(49,885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Turnaround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23,368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74,251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255,783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(181,532</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27,815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29,711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(1,896</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48,532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225,695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(177,163</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31,213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34,455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(3,242</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(8,757</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Non-operating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(10,929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(5,302</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32,277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(28,655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164,477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(131,207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jc w:val="right"/>
              <w:rPr/>
            </w:pPr>
            <w:r>
              <w:rPr/>
              <w:t> </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information: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Gross profit percentage </w:t>
            </w:r>
            <w:r>
              <w:rPr>
                <w:rFonts w:ascii="Times New Roman" w:hAnsi="Times New Roman"/>
                <w:b w:val="false"/>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Adjusted gross profit percentage </w:t>
            </w:r>
            <w:r>
              <w:rPr>
                <w:rFonts w:ascii="Times New Roman" w:hAnsi="Times New Roman"/>
                <w:b w:val="false"/>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Property, plant and equipment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41,123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32,531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8,592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bl>
    <w:p>
      <w:pPr>
        <w:pStyle w:val="TextBody"/>
        <w:bidi w:val="0"/>
        <w:spacing w:before="40" w:after="283"/>
        <w:jc w:val="both"/>
        <w:rPr>
          <w:rFonts w:ascii="Times New Roman" w:hAnsi="Times New Roman"/>
          <w:b w:val="false"/>
          <w:color w:val="000000"/>
          <w:sz w:val="18"/>
        </w:rPr>
      </w:pPr>
      <w:r>
        <w:rPr>
          <w:rFonts w:ascii="Times New Roman" w:hAnsi="Times New Roman"/>
          <w:b w:val="false"/>
          <w:color w:val="000000"/>
          <w:sz w:val="18"/>
        </w:rPr>
        <w:t>(1)</w:t>
      </w:r>
    </w:p>
    <w:p>
      <w:pPr>
        <w:pStyle w:val="TextBody"/>
        <w:bidi w:val="0"/>
        <w:spacing w:before="40" w:after="283"/>
        <w:jc w:val="both"/>
        <w:rPr>
          <w:rFonts w:ascii="Times New Roman" w:hAnsi="Times New Roman"/>
          <w:b w:val="false"/>
          <w:color w:val="000000"/>
          <w:sz w:val="18"/>
        </w:rPr>
      </w:pPr>
      <w:r>
        <w:rPr>
          <w:rFonts w:ascii="Times New Roman" w:hAnsi="Times New Roman"/>
          <w:b w:val="false"/>
          <w:color w:val="000000"/>
          <w:sz w:val="18"/>
        </w:rPr>
        <w:t>Represents a non-GAAP measure since the amount excludes unallocated depreciation, amortization and Turnaround expenses.</w:t>
      </w:r>
    </w:p>
    <w:p>
      <w:pPr>
        <w:pStyle w:val="TextBody"/>
        <w:bidi w:val="0"/>
        <w:spacing w:before="0" w:after="0"/>
        <w:jc w:val="both"/>
        <w:rPr>
          <w:rFonts w:ascii="Times New Roman" w:hAnsi="Times New Roman"/>
          <w:b w:val="false"/>
          <w:color w:val="000000"/>
          <w:sz w:val="18"/>
        </w:rPr>
      </w:pPr>
      <w:r>
        <w:rPr>
          <w:rFonts w:ascii="Times New Roman" w:hAnsi="Times New Roman"/>
          <w:b w:val="false"/>
          <w:color w:val="000000"/>
          <w:sz w:val="18"/>
        </w:rPr>
        <w:t>(2)</w:t>
      </w:r>
    </w:p>
    <w:p>
      <w:pPr>
        <w:pStyle w:val="TextBody"/>
        <w:bidi w:val="0"/>
        <w:spacing w:before="0" w:after="0"/>
        <w:jc w:val="both"/>
        <w:rPr>
          <w:rFonts w:ascii="Times New Roman" w:hAnsi="Times New Roman"/>
          <w:b w:val="false"/>
          <w:color w:val="000000"/>
          <w:sz w:val="18"/>
        </w:rPr>
      </w:pPr>
      <w:r>
        <w:rPr>
          <w:rFonts w:ascii="Times New Roman" w:hAnsi="Times New Roman"/>
          <w:b w:val="false"/>
          <w:color w:val="000000"/>
          <w:sz w:val="18"/>
        </w:rPr>
        <w:t>Represents amount classified as cost of sales.</w:t>
      </w:r>
    </w:p>
    <w:p>
      <w:pPr>
        <w:pStyle w:val="TextBody"/>
        <w:bidi w:val="0"/>
        <w:spacing w:before="0" w:after="0"/>
        <w:jc w:val="both"/>
        <w:rPr>
          <w:rFonts w:ascii="Times New Roman" w:hAnsi="Times New Roman"/>
          <w:b w:val="false"/>
          <w:color w:val="000000"/>
          <w:sz w:val="18"/>
        </w:rPr>
      </w:pPr>
      <w:r>
        <w:rPr>
          <w:rFonts w:ascii="Times New Roman" w:hAnsi="Times New Roman"/>
          <w:b w:val="false"/>
          <w:color w:val="000000"/>
          <w:sz w:val="18"/>
        </w:rPr>
        <w:t>(3)</w:t>
      </w:r>
    </w:p>
    <w:p>
      <w:pPr>
        <w:pStyle w:val="TextBody"/>
        <w:bidi w:val="0"/>
        <w:jc w:val="both"/>
        <w:rPr>
          <w:rFonts w:ascii="Times New Roman" w:hAnsi="Times New Roman"/>
          <w:b w:val="false"/>
          <w:color w:val="000000"/>
          <w:sz w:val="18"/>
        </w:rPr>
      </w:pPr>
      <w:r>
        <w:rPr>
          <w:rFonts w:ascii="Times New Roman" w:hAnsi="Times New Roman"/>
          <w:b w:val="false"/>
          <w:color w:val="000000"/>
          <w:sz w:val="18"/>
        </w:rPr>
        <w:t xml:space="preserve">As a percentage of the total net sales. </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following tables provide key operating metrics for the fertilizer and major industrial and mining products:</w:t>
      </w:r>
    </w:p>
    <w:tbl>
      <w:tblPr>
        <w:tblW w:w="8431" w:type="dxa"/>
        <w:jc w:val="left"/>
        <w:tblInd w:w="0" w:type="dxa"/>
        <w:tblLayout w:type="fixed"/>
        <w:tblCellMar>
          <w:top w:w="28" w:type="dxa"/>
          <w:left w:w="28" w:type="dxa"/>
          <w:bottom w:w="28" w:type="dxa"/>
          <w:right w:w="28" w:type="dxa"/>
        </w:tblCellMar>
      </w:tblPr>
      <w:tblGrid>
        <w:gridCol w:w="2796"/>
        <w:gridCol w:w="146"/>
        <w:gridCol w:w="146"/>
        <w:gridCol w:w="931"/>
        <w:gridCol w:w="146"/>
        <w:gridCol w:w="146"/>
        <w:gridCol w:w="146"/>
        <w:gridCol w:w="781"/>
        <w:gridCol w:w="146"/>
        <w:gridCol w:w="146"/>
        <w:gridCol w:w="146"/>
        <w:gridCol w:w="736"/>
        <w:gridCol w:w="166"/>
        <w:gridCol w:w="146"/>
        <w:gridCol w:w="313"/>
        <w:gridCol w:w="678"/>
        <w:gridCol w:w="71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Percentage</w:t>
            </w:r>
          </w:p>
        </w:tc>
        <w:tc>
          <w:tcPr>
            <w:tcW w:w="716"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b w:val="false"/>
                <w:color w:val="000000"/>
                <w:sz w:val="16"/>
                <w:u w:val="single"/>
              </w:rPr>
            </w:pPr>
            <w:r>
              <w:rPr>
                <w:rFonts w:ascii="Times New Roman" w:hAnsi="Times New Roman"/>
                <w:b w:val="false"/>
                <w:color w:val="000000"/>
                <w:sz w:val="16"/>
                <w:u w:val="single"/>
              </w:rPr>
              <w:t>Product (tons sold)</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431,977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280,031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192,076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both"/>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1,041,402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970,119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56" w:type="dxa"/>
        <w:jc w:val="left"/>
        <w:tblInd w:w="0" w:type="dxa"/>
        <w:tblLayout w:type="fixed"/>
        <w:tblCellMar>
          <w:top w:w="28" w:type="dxa"/>
          <w:left w:w="28" w:type="dxa"/>
          <w:bottom w:w="28" w:type="dxa"/>
          <w:right w:w="28" w:type="dxa"/>
        </w:tblCellMar>
      </w:tblPr>
      <w:tblGrid>
        <w:gridCol w:w="3166"/>
        <w:gridCol w:w="146"/>
        <w:gridCol w:w="215"/>
        <w:gridCol w:w="429"/>
        <w:gridCol w:w="148"/>
        <w:gridCol w:w="148"/>
        <w:gridCol w:w="215"/>
        <w:gridCol w:w="582"/>
        <w:gridCol w:w="146"/>
        <w:gridCol w:w="146"/>
        <w:gridCol w:w="224"/>
        <w:gridCol w:w="512"/>
        <w:gridCol w:w="166"/>
        <w:gridCol w:w="146"/>
        <w:gridCol w:w="277"/>
        <w:gridCol w:w="714"/>
        <w:gridCol w:w="57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737"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37"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Percentage</w:t>
            </w:r>
          </w:p>
        </w:tc>
        <w:tc>
          <w:tcPr>
            <w:tcW w:w="576"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16"/>
                <w:u w:val="single"/>
              </w:rPr>
            </w:pPr>
            <w:r>
              <w:rPr>
                <w:rFonts w:ascii="Times New Roman" w:hAnsi="Times New Roman"/>
                <w:b w:val="false"/>
                <w:color w:val="000000"/>
                <w:sz w:val="16"/>
                <w:u w:val="single"/>
              </w:rPr>
              <w:t>Gross Average Selling Prices (price per ton)</w:t>
            </w:r>
          </w:p>
        </w:tc>
        <w:tc>
          <w:tcPr>
            <w:tcW w:w="146" w:type="dxa"/>
            <w:tcBorders/>
            <w:shd w:fill="FFFFFF" w:val="clear"/>
            <w:vAlign w:val="center"/>
          </w:tcPr>
          <w:p>
            <w:pPr>
              <w:pStyle w:val="TableContents"/>
              <w:bidi w:val="0"/>
              <w:spacing w:before="0" w:after="283"/>
              <w:jc w:val="center"/>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pPr>
      <w:r>
        <w:rPr/>
        <w:t> </w:t>
      </w:r>
    </w:p>
    <w:tbl>
      <w:tblPr>
        <w:tblW w:w="7851" w:type="dxa"/>
        <w:jc w:val="left"/>
        <w:tblInd w:w="0" w:type="dxa"/>
        <w:tblLayout w:type="fixed"/>
        <w:tblCellMar>
          <w:top w:w="28" w:type="dxa"/>
          <w:left w:w="28" w:type="dxa"/>
          <w:bottom w:w="28" w:type="dxa"/>
          <w:right w:w="28" w:type="dxa"/>
        </w:tblCellMar>
      </w:tblPr>
      <w:tblGrid>
        <w:gridCol w:w="3046"/>
        <w:gridCol w:w="146"/>
        <w:gridCol w:w="215"/>
        <w:gridCol w:w="429"/>
        <w:gridCol w:w="148"/>
        <w:gridCol w:w="148"/>
        <w:gridCol w:w="215"/>
        <w:gridCol w:w="582"/>
        <w:gridCol w:w="146"/>
        <w:gridCol w:w="146"/>
        <w:gridCol w:w="224"/>
        <w:gridCol w:w="512"/>
        <w:gridCol w:w="166"/>
        <w:gridCol w:w="146"/>
        <w:gridCol w:w="277"/>
        <w:gridCol w:w="714"/>
        <w:gridCol w:w="5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737"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737" w:type="dxa"/>
            <w:gridSpan w:val="6"/>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Percentage</w:t>
            </w:r>
          </w:p>
        </w:tc>
        <w:tc>
          <w:tcPr>
            <w:tcW w:w="591"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16"/>
                <w:u w:val="single"/>
              </w:rPr>
            </w:pPr>
            <w:r>
              <w:rPr>
                <w:rFonts w:ascii="Times New Roman" w:hAnsi="Times New Roman"/>
                <w:b w:val="false"/>
                <w:color w:val="000000"/>
                <w:sz w:val="16"/>
                <w:u w:val="single"/>
              </w:rPr>
              <w:t>Average Benchmark Prices (price per ton)</w:t>
            </w:r>
          </w:p>
        </w:tc>
        <w:tc>
          <w:tcPr>
            <w:tcW w:w="146" w:type="dxa"/>
            <w:tcBorders/>
            <w:shd w:fill="FFFFFF" w:val="clear"/>
            <w:vAlign w:val="center"/>
          </w:tcPr>
          <w:p>
            <w:pPr>
              <w:pStyle w:val="TableContents"/>
              <w:bidi w:val="0"/>
              <w:spacing w:before="0" w:after="283"/>
              <w:jc w:val="both"/>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Tampa Ammonia Benchmark</w:t>
            </w:r>
          </w:p>
        </w:tc>
        <w:tc>
          <w:tcPr>
            <w:tcW w:w="146" w:type="dxa"/>
            <w:tcBorders/>
            <w:shd w:fill="CFF0FC" w:val="clear"/>
            <w:vAlign w:val="center"/>
          </w:tcPr>
          <w:p>
            <w:pPr>
              <w:pStyle w:val="TableContents"/>
              <w:bidi w:val="0"/>
              <w:spacing w:before="0" w:after="283"/>
              <w:jc w:val="both"/>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NOLA UAN</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Net Sales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Net sales of our primary products decreased during the first nine months of 2023 compared to the prior year period driven by the impact of lower selling prices relative to the first nine months of 2022 for all of our products and lower acids sales volumes. Partially offsetting weaker pricing was an increase in sales volume of agricultural products driven largely by stronger production at our facilities, reflecting the investments made in plant reliability over the past several years.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Demand for our industrial and mining products remains robust despite continued global recessionary forces. Our contractual agreements with industrial customers that specify minimum volumes and our product mix flexibility helps us mitigate the impact of a reduction in demand from certain end markets by shifting production to products with stronger demand.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u w:val="single"/>
        </w:rPr>
        <w:t>Gross Profit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noted in the table above, we recognized a gross profit of $74.3 million for the first nine months of 2023 compared to $255.8 million for the same period in 2022, or a $181.5 million decrease. Overall, our gross profit percentage was 16.1% for the first nine months of 2023 compared to 38.3% for the same period in 2022.</w:t>
      </w:r>
      <w:r>
        <w:rPr>
          <w:rFonts w:ascii="Times New Roman" w:hAnsi="Times New Roman"/>
          <w:color w:val="FF0000"/>
          <w:sz w:val="20"/>
        </w:rPr>
        <w:t xml:space="preserve"> </w:t>
      </w:r>
      <w:r>
        <w:rPr>
          <w:rFonts w:ascii="Times New Roman" w:hAnsi="Times New Roman"/>
          <w:b w:val="false"/>
          <w:color w:val="000000"/>
          <w:sz w:val="20"/>
        </w:rPr>
        <w:t>Our adjusted gross profit percentage decreased to 27.3% for the first nine months of 2023 from 49.5% for the first nine months of 2022.</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decrease in gross profit was primarily driven by lower sales prices for our products partially offset by higher volumes for our agricultural products and lower natural gas costs during 2023 compared to 2022. Gross profit was also negatively impacted by higher natural gas costs in our beginning inventory produced and higher plant fixed costs.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Selling, General and Administrative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SG&amp;A expenses were $27.8 million for the first nine months of 2023, a decrease of $1.9 million compared to the same period in 2022. The net decrease was primarily driven by approximately $2.2 million of expense relating to nonrecurring transaction fees, $2.2 million in other professional fees, insurance and other miscellaneous fees partially offset by an increase in payroll related items of $2.5 million.</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Other Expense (Income), net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Other income, net for the first nine months of 2023, primarily relates to short-term rental income partially offset by losses from disposal or abandonment of assets no longer being used in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Interest Expense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Interest expense for the first nine months of 2023 was $31.2 million compared to $34.5 million for the same period in 2022. The decrease relates to the payoff of the Secured Financing due 2023 during the second quarter of 2023, lower outstanding principal balance relating to our Secured Financing due 2025 and as a result of the reversal of the previous judgement awarded to Global in the litigation discussed in Note 5.</w:t>
      </w:r>
    </w:p>
    <w:p>
      <w:pPr>
        <w:pStyle w:val="TextBody"/>
        <w:bidi w:val="0"/>
        <w:spacing w:before="120" w:after="283"/>
        <w:jc w:val="both"/>
        <w:rPr>
          <w:rFonts w:ascii="Times New Roman" w:hAnsi="Times New Roman"/>
          <w:sz w:val="20"/>
        </w:rPr>
      </w:pPr>
      <w:r>
        <w:rPr>
          <w:rFonts w:ascii="Times New Roman" w:hAnsi="Times New Roman"/>
          <w:b/>
          <w:color w:val="000000"/>
          <w:sz w:val="20"/>
          <w:u w:val="single"/>
        </w:rPr>
        <w:t>Gain on Extinguishment of Debt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During the second quarter of 2023 we repurchased $125 million of our Senior Secured Notes through open market transactions for approximately $114.3 million. As a result, we recognized a gain on extinguishment of debt net of issuance costs of approximately $8.6 million.</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Non-operating Other Income, net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Non-operating other income, net for the first nine months of 2023 was $10.9 million primarily relating to interest income from to our short-term investments. For the same period of 2022, we had non-operating other income of $5.6 million primarily relating to a</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recognized settlement on our company owned life insurance resulting from a death benefit from an insurer relating to the death of J. Golsen as discussed in Note 9 and interest income from our short-term investments.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Provision for Income Taxes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provision for income taxes for the first nine months of 2023 was $3.6 million compared to $32.3 million for the same period in 2022. For the first nine months of 2023, the effective tax rate is less than the statutory rate primarily due to deferred benefits from state tax law changes. For the first nine months of 2022, the effective tax rate is less than the statutory rate primarily due to the impact of the valuation allowances. Also see discussion in Note 7.</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 summarizes our cash flow activities for the nine months ended September 30:</w:t>
      </w:r>
    </w:p>
    <w:p>
      <w:pPr>
        <w:pStyle w:val="TextBody"/>
        <w:bidi w:val="0"/>
        <w:jc w:val="both"/>
        <w:rPr/>
      </w:pPr>
      <w:r>
        <w:rPr/>
        <w:t> </w:t>
      </w:r>
    </w:p>
    <w:tbl>
      <w:tblPr>
        <w:tblW w:w="7468" w:type="dxa"/>
        <w:jc w:val="left"/>
        <w:tblInd w:w="0" w:type="dxa"/>
        <w:tblLayout w:type="fixed"/>
        <w:tblCellMar>
          <w:top w:w="28" w:type="dxa"/>
          <w:left w:w="28" w:type="dxa"/>
          <w:bottom w:w="28" w:type="dxa"/>
          <w:right w:w="28" w:type="dxa"/>
        </w:tblCellMar>
      </w:tblPr>
      <w:tblGrid>
        <w:gridCol w:w="3331"/>
        <w:gridCol w:w="146"/>
        <w:gridCol w:w="211"/>
        <w:gridCol w:w="841"/>
        <w:gridCol w:w="166"/>
        <w:gridCol w:w="146"/>
        <w:gridCol w:w="211"/>
        <w:gridCol w:w="841"/>
        <w:gridCol w:w="166"/>
        <w:gridCol w:w="146"/>
        <w:gridCol w:w="211"/>
        <w:gridCol w:w="841"/>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gridSpan w:val="10"/>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120,522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(138,660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414,454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(230,230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color w:val="000000"/>
          <w:sz w:val="20"/>
          <w:u w:val="single"/>
        </w:rPr>
        <w:t>Net Cash Flow from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Net cash provided by operating activities was $120.5 million for the first nine months of 2023 compared to $259.2 million for the same period of 2022, a change of $138.7 million.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For the first nine months of 2023, the net cash provided is the result of net income of $33.3 million plus adjustments of $49.9 million for depreciation and amortization of PP&amp;E, other adjustments of $0.2 million and cash provided of $37.1 million primarily from our working capital.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For the first nine months of 2022, the net cash provided is the result of a net income of $164.5 million plus adjustments of $50.0 million for depreciation and amortization of PP&amp;E, $31.2 million for deferred taxes, other adjustments of $1.6 million and cash provided of $11.9 million primarily from our working capital.</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Investing Activities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Net cash provided by investing activities was $21.5 million for the first nine months of 2023 compared to net cash used of $392.9 million for the same period of 2022, a change of $414.5 million.</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 the first nine months of 2023, the net cash provided primarily relates to proceeds from short-term investments of $293.3 million, partially offset by purchases of short-term investments of $230.7 million and expenditures for PP&amp;E of $41.0 million.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 the first nine months of 2022, the net cash used primarily relates to purchases of short-term investments of $423.1 million and expenditures for PP&amp;E of $32.5 million partially offset by short-term investment maturities of $59.7 million.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Financing Activities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Net cash used by financing activities was $159.0 million for the first nine months of 2023 compared to net cash provided of $71.3 million for the same period of 2022, a change of $230.2 million.</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 the first nine months of 2023, the net cash used primarily consists of repurchases of our 6.25% Senior Secured Notes of $114.3, payments on other long-term debt and short-term financing of $24.3 million and payments of $20.4 million for the purchase of treasury stock.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 the first nine months of 2022, the net cash provided primarily consists of proceeds of $200.0 million from the New Notes partially offset by payments for the acquisition of treasury shares of $101.9 million, payments on other long-term debt and short-term financing of $22.2 million, payments of $4.5 million for equity and debt-related cost and $0.1 million for other financing activities.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Capitalization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is our total current cash, short-term investments, long-term debt and stockholders’ equity:</w:t>
      </w:r>
    </w:p>
    <w:p>
      <w:pPr>
        <w:pStyle w:val="TextBody"/>
        <w:bidi w:val="0"/>
        <w:jc w:val="both"/>
        <w:rPr/>
      </w:pPr>
      <w:r>
        <w:rPr/>
        <w:t> </w:t>
      </w:r>
    </w:p>
    <w:tbl>
      <w:tblPr>
        <w:tblW w:w="7960" w:type="dxa"/>
        <w:jc w:val="left"/>
        <w:tblInd w:w="0" w:type="dxa"/>
        <w:tblLayout w:type="fixed"/>
        <w:tblCellMar>
          <w:top w:w="28" w:type="dxa"/>
          <w:left w:w="28" w:type="dxa"/>
          <w:bottom w:w="28" w:type="dxa"/>
          <w:right w:w="28" w:type="dxa"/>
        </w:tblCellMar>
      </w:tblPr>
      <w:tblGrid>
        <w:gridCol w:w="4636"/>
        <w:gridCol w:w="146"/>
        <w:gridCol w:w="339"/>
        <w:gridCol w:w="921"/>
        <w:gridCol w:w="166"/>
        <w:gridCol w:w="146"/>
        <w:gridCol w:w="327"/>
        <w:gridCol w:w="888"/>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7" w:type="dxa"/>
            <w:gridSpan w:val="6"/>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cash equivalents and short-term investments</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Working Capital Revolver Loan</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Senior Secured Notes due 2028 </w:t>
            </w:r>
            <w:r>
              <w:rPr>
                <w:rFonts w:ascii="Times New Roman" w:hAnsi="Times New Roman"/>
                <w:b w:val="false"/>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Secured Financing due 2025</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Secured Financing due 2023</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Unamortized debt issuance costs</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long-term debt, including current portion, net</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See discussion contained in Note 4.</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currently have a revolving credit facility, our Working Capital Revolver Loan, with a borrowing base of $65 million. As of September 30, 2023, our Working Capital Revolver Loan was undrawn and had approximately $42.4 million of availability.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For the full year of 2023, we expect capital expenditures to be approximately $60 million to $65 million. This capital spending is primarily planned for reliability and maintenance capital projects.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242424"/>
          <w:sz w:val="20"/>
        </w:rPr>
      </w:pPr>
      <w:r>
        <w:rPr>
          <w:rFonts w:ascii="Times New Roman" w:hAnsi="Times New Roman"/>
          <w:b w:val="false"/>
          <w:color w:val="242424"/>
          <w:sz w:val="20"/>
        </w:rPr>
        <w:t>From time to time, when the Company exceeds the funding threshold in our natural gas purchase commitments the Company is required to fund cash collateral to our counterparty.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believe that the combination of our cash on hand, short-term investments, the availability on our revolving credit facility and our cash flow from operations will be sufficient to fund our anticipated liquidity needs for the next twelve months.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As of September 30, 2023, we had approximately $318 million of cash and short-term investments. From time to time, we may seek to deploy capital through additional share repurchases or the retirement or purchase of outstanding debt. Such repurchases may be made in open market purchases, privately negotiated transactions or otherwise and will depend on prevailing market conditions, our liquidity requirements, contractual restrictions and other factors. The amounts involved may be material. </w:t>
      </w:r>
      <w:r>
        <w:rPr>
          <w:rFonts w:ascii="Times New Roman" w:hAnsi="Times New Roman"/>
          <w:b w:val="false"/>
          <w:color w:val="2B333D"/>
          <w:sz w:val="20"/>
        </w:rPr>
        <w:t xml:space="preserve">During the first </w:t>
      </w:r>
      <w:r>
        <w:rPr>
          <w:rFonts w:ascii="Times New Roman" w:hAnsi="Times New Roman"/>
          <w:b w:val="false"/>
          <w:color w:val="000000"/>
          <w:sz w:val="20"/>
        </w:rPr>
        <w:t>nine months</w:t>
      </w:r>
      <w:r>
        <w:rPr>
          <w:rFonts w:ascii="Times New Roman" w:hAnsi="Times New Roman"/>
          <w:color w:val="2B333D"/>
          <w:sz w:val="20"/>
        </w:rPr>
        <w:t xml:space="preserve"> </w:t>
      </w:r>
      <w:r>
        <w:rPr>
          <w:rFonts w:ascii="Times New Roman" w:hAnsi="Times New Roman"/>
          <w:b w:val="false"/>
          <w:color w:val="2B333D"/>
          <w:sz w:val="20"/>
        </w:rPr>
        <w:t>of 2023, we repurchased $125.0 million in principal value of our Senior Secured Notes for approximately $114.3 million and approximately 1.8 million shares of our common stock on the open market for approximately $17.8 million.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Compliance with Long - Term Debt Covenants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discussed in Note 4, the Working Capital Revolver Loan requires, among other things, that we meet certain financial covenants. The Working Capital Revolver Loan does not include financial covenant requirements unless a defined covenant trigger event has occurred and is continuing. As of September 30, 2023, no trigger event had occurred.</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Loan Agreements</w:t>
      </w:r>
    </w:p>
    <w:p>
      <w:pPr>
        <w:pStyle w:val="TextBody"/>
        <w:bidi w:val="0"/>
        <w:spacing w:before="120" w:after="283"/>
        <w:jc w:val="both"/>
        <w:rPr>
          <w:rFonts w:ascii="Times New Roman" w:hAnsi="Times New Roman"/>
          <w:sz w:val="20"/>
        </w:rPr>
      </w:pPr>
      <w:r>
        <w:rPr>
          <w:rFonts w:ascii="Times New Roman" w:hAnsi="Times New Roman"/>
          <w:b/>
          <w:color w:val="000000"/>
          <w:sz w:val="20"/>
        </w:rPr>
        <w:t>Senior Secured Notes due 2028</w:t>
      </w:r>
      <w:r>
        <w:rPr>
          <w:rFonts w:ascii="Times New Roman" w:hAnsi="Times New Roman"/>
          <w:color w:val="000000"/>
          <w:sz w:val="20"/>
        </w:rPr>
        <w:t xml:space="preserve"> – </w:t>
      </w:r>
      <w:r>
        <w:rPr>
          <w:rFonts w:ascii="Times New Roman" w:hAnsi="Times New Roman"/>
          <w:b w:val="false"/>
          <w:color w:val="000000"/>
          <w:sz w:val="20"/>
        </w:rPr>
        <w:t>LSB has $575 million aggregate principal amount of the 6.25% Senior Secured Notes currently outstanding. Interest is to be paid semiannually in arrears on May 15</w:t>
      </w:r>
      <w:r>
        <w:rPr>
          <w:rFonts w:ascii="Times New Roman" w:hAnsi="Times New Roman"/>
          <w:b w:val="false"/>
          <w:color w:val="000000"/>
          <w:sz w:val="11"/>
        </w:rPr>
        <w:t>th</w:t>
      </w:r>
      <w:r>
        <w:rPr>
          <w:rFonts w:ascii="Times New Roman" w:hAnsi="Times New Roman"/>
          <w:color w:val="000000"/>
          <w:sz w:val="20"/>
        </w:rPr>
        <w:t xml:space="preserve"> </w:t>
      </w:r>
      <w:r>
        <w:rPr>
          <w:rFonts w:ascii="Times New Roman" w:hAnsi="Times New Roman"/>
          <w:b w:val="false"/>
          <w:color w:val="000000"/>
          <w:sz w:val="20"/>
        </w:rPr>
        <w:t>and October 15</w:t>
      </w:r>
      <w:r>
        <w:rPr>
          <w:rFonts w:ascii="Times New Roman" w:hAnsi="Times New Roman"/>
          <w:b w:val="false"/>
          <w:color w:val="000000"/>
          <w:sz w:val="11"/>
        </w:rPr>
        <w:t>th</w:t>
      </w:r>
      <w:r>
        <w:rPr>
          <w:rFonts w:ascii="Times New Roman" w:hAnsi="Times New Roman"/>
          <w:b w:val="false"/>
          <w:color w:val="000000"/>
          <w:sz w:val="20"/>
        </w:rPr>
        <w:t>, maturing October 15, 2028.</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Secured Financing due 2025 – </w:t>
      </w:r>
      <w:r>
        <w:rPr>
          <w:rFonts w:ascii="Times New Roman" w:hAnsi="Times New Roman"/>
          <w:b w:val="false"/>
          <w:color w:val="000000"/>
          <w:sz w:val="20"/>
        </w:rPr>
        <w:t>EDA is party to a $30 million secured financing arrangement with an affiliate of Eldridge. Principal and interest are payable in 60 equal monthly installments with a final balloon payment of approximately $5 million due in August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Secured Financing due 2023 </w:t>
      </w:r>
      <w:r>
        <w:rPr>
          <w:rFonts w:ascii="Times New Roman" w:hAnsi="Times New Roman"/>
          <w:color w:val="000000"/>
          <w:sz w:val="20"/>
        </w:rPr>
        <w:t xml:space="preserve">– </w:t>
      </w:r>
      <w:r>
        <w:rPr>
          <w:rFonts w:ascii="Times New Roman" w:hAnsi="Times New Roman"/>
          <w:b w:val="false"/>
          <w:color w:val="000000"/>
          <w:sz w:val="20"/>
        </w:rPr>
        <w:t>EDC was party to a secured financing arrangement with an affiliate of Eldridge. Principal and interest are payable in 48 equal monthly installments with a final balloon payment of approximately $3 million due in June 2023. The final balloon payment was repaid in April 2023.</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Working Capital Revolver Loan – </w:t>
      </w:r>
      <w:r>
        <w:rPr>
          <w:rFonts w:ascii="Times New Roman" w:hAnsi="Times New Roman"/>
          <w:b w:val="false"/>
          <w:color w:val="000000"/>
          <w:sz w:val="20"/>
        </w:rPr>
        <w:t>At September 30, 2023, our Working Capital Revolver Loan was undrawn and had approximately $42.4 million of availability, based on our eligible collateral, less outstanding letters of credit as of that date. Also see discussion above under “Compliance with Long-Term Debt Covenants.”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Capital Expenditures – First Nine Months of 2023</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For the first nine months of 2023, capital expenditures relating to PP&amp;E were $41.1 million. The capital expenditures were funded primarily from cash and working capital.</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See discussion above under “Capitalization” for our expected capital expenditures.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Expenses Associated with Environmental Regulatory Compliance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subject to specific federal and state environmental compliance laws, regulations and guidelines. As a result, our expenses were $3.4 million for the first nine months of 2023 in connection with environmental projects. For the remainder of 2023, we expect to incur expenses ranging from $0.8 million to $1.1 million in connection with additional environmental projects. However, it is possible that the actual costs could be significantly different than our estimates.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Seasonality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believe fertilizer products sold to the fertilizer industry are seasonal, while sales into the industrial and mining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fertilizer markets depend upon weather conditions and other circumstances beyond our control.</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Performance and Payment Bonds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2023, we had agreed to indemnify the sureties for payments, up to $9.7 million, made by them in respect of such bonds. These insurance bonds are expected to expire or be renewed later in 2023-2024.</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New Accounting Pronouncements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Refer to Note 1 for recently issued accounting standards.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Critical Accounting Policies and Estimates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See “Critical Accounting Policies and Estimates,” Item 7 of our 2022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r>
        <w:rPr>
          <w:rFonts w:ascii="Times New Roman" w:hAnsi="Times New Roman"/>
          <w:b w:val="false"/>
          <w:color w:val="000000"/>
          <w:sz w:val="20"/>
        </w:rPr>
        <w:t>- 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It is also reasonably possible that the estimates and assumptions utilized as of September 30, 2023, could change in the near term. Actual results could differ materially from these estimates and judgments, as additional information becomes known.</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Off-Balance Sheet Arrangements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do not have any off-balance sheet arrangements as defined in Item 303(a)(4)(ii) of Regulation S-K under the Exchange Act.</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9" w:name="item_3_quantitative_qualitative_disclosu"/>
      <w:bookmarkEnd w:id="9"/>
      <w:r>
        <w:rPr>
          <w:rFonts w:ascii="Times New Roman" w:hAnsi="Times New Roman"/>
          <w:b/>
          <w:color w:val="000000"/>
          <w:sz w:val="20"/>
          <w:u w:val="single"/>
        </w:rPr>
        <w:t>Item 3. Quantitative and Qualitative Disclosures about Market Risk</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General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results of operations and operating cash flows are impacted by changes in market prices of ammonia and natural gas and changes in market interest rates.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Forward Sales Commitments Risk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Periodically, we enter into forward firm sales commitments for products to be delivered in future periods. As a result, we could be exposed to embedded losses should our product costs exceed the firm sales prices at the end of a reporting period. At September 30, 2023, we had no embedded losses associated with sales commitments with firm sales prices.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Commodity Price Risk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September 30, 2023, we had no outstanding natural gas contracts which are accounted for on a mark-to-market basis.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Interest Rate Risk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Generally, we are exposed to variable interest rate risk with respect to our revolving credit facility. As of September 30, 2023, we had no outstanding borrowings on this credit facility and no other variable rate borrowings. We currently do not hedge our interest rate risk associated with our variable interest loan.</w:t>
      </w:r>
    </w:p>
    <w:p>
      <w:pPr>
        <w:pStyle w:val="TextBody"/>
        <w:bidi w:val="0"/>
        <w:spacing w:before="120" w:after="283"/>
        <w:jc w:val="both"/>
        <w:rPr>
          <w:rFonts w:ascii="Times New Roman" w:hAnsi="Times New Roman"/>
          <w:b/>
          <w:color w:val="000000"/>
          <w:sz w:val="20"/>
          <w:u w:val="single"/>
        </w:rPr>
      </w:pPr>
      <w:bookmarkStart w:id="10" w:name="item_4_controls_procedures"/>
      <w:bookmarkEnd w:id="10"/>
      <w:r>
        <w:rPr>
          <w:rFonts w:ascii="Times New Roman" w:hAnsi="Times New Roman"/>
          <w:b/>
          <w:color w:val="000000"/>
          <w:sz w:val="20"/>
          <w:u w:val="single"/>
        </w:rPr>
        <w:t>Item 4. Controls and Procedures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2023. Based on this evaluation, the Company's Chief Executive Officer and Chief Financial Officer have concluded that the Company's disclosure controls and procedures were effective as of September 30, 2023, at the reasonable assurance level. There were no changes to our internal control over financial reporting (as such term is defined in Rules 13a-15(f) and 15d-15(f) under the Securities Exchange Act of 1934) during the quarter ended September 30, 2023, that have materially affected, or are reasonably likely to materially affect, our internal control over financial reporting.</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SPECIAL NOTE REGARDING FORWARD-LOOKING STATEMENTS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and the associated risks, uncertainties, assumptions and other important factors include, but are not limited to,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our ability to invest in projects that will generate the best returns for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our future liquidity outlook;</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outlook of our chemical products and related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amount, timing and effect on the nitrogen market from current nitrogen expansion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effect from the lack of non-seasonal volume;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our belief that competition is based upon service, price, location of production and distribution sites and product quality and performance;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our outlook for the industrial and mining industries;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availability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our ability to broaden the distribution of our products, including our ability to leverage our nitric acid production capacity at our El Dorado Facility;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result of our product and market diversification strategy;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changes in domestic fertilizer production;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increasing output and capacity of our existing production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on-stream rates at our production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our ability to moderate risk inherent in agricultural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sources to fund our cash needs and how this cash will be used;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ability to enter into the additional borrowings;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anticipated cost and timing of our capital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certain costs covered under warranty provisions;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our ability to pass to our customers cost increases in the form of higher prices;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our belief as to whether we have sufficient sources for materials and components;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annual natural gas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compliance by our facilities with the terms of our permits;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costs of compliance with environmental laws, health laws, security regulations and transportation regulations;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our belief as to when Turnarounds will be performed and completed;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expenses in connection with environmental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effect of litigation and other contingencies;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increase in interest expense;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our ability to comply with debt servicing and covenants;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our ability to meet debt maturities or redemption obligations when due;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impact of our repurchase program on our stock price and cash reserves;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the effects of the ongoing COVID-19 pandemic and related response; and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our beliefs as to whether we can meet all required covenant tests for the next twelve months.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changes in general economic conditions, both domestic and foreign;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material reductions in revenues;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material changes in interest rates;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our ability to collect in a timely manner a material amount of receivables;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increased competitive pressures;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adverse effects of increases in prices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changes in federal, state and local laws and regulations, or in the interpretation of such laws and regulations;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changes in laws, regulations or other issues related to climate change;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releases of pollutants into the environment exceeding our permitted limits;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material increases in equipment, maintenance, operating or labor costs not presently anticipated by us;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requirement to use internally generated funds for purposes not presently anticipated;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inability to secure additional financing for planned capital expenditures or financing obligations due in the near future;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our substantial existing indebtedness;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material changes in the cost of natural gas and certain precious metals;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limitations due to financial covenants;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changes in competition;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loss of any significant customer;</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increases in cost to maintain internal controls over financial reporting;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changes in operating strategy or development plans;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an inability to fund the working capital and expansion of our businesses;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changes in the production efficiency of our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adverse results in our contingencies including pending litigation;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unplanned downtime at one or more of our chemical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changes in production rates at any of our chemical plants;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an inability to obtain necessary raw materials and purchased components;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material increases in cost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material changes in our accounting estimates;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significant problems within our production equipment;</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fire or natural disasters;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an inability to obtain or retain our insurance coverage;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difficulty obtaining necessary permits;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difficulty obtaining third-party financing;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risks associated with proxy contests initiated by dissident stockholders;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changes in fertilizer production;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reduction in acres planted for crops requiring fertilizer;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decreases in duties for products we sell resulting in an increase in imported products into the U.S.;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adverse effects from regulatory policies, including tariffs;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volatility of natural gas prices;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price increases resulting from increased inflation;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weather conditions, including the effects of climate change;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 xml:space="preserve">increases in imported agricultural products;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global supply chain disruptions;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other factors described in the MD&amp;A contained in this report; and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other factors described in “Risk Factors” in our Form 10-K for the year ended December 31,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The following is a list of terms used in this report.</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75"/>
        <w:gridCol w:w="526"/>
        <w:gridCol w:w="7204"/>
      </w:tblGrid>
      <w:tr>
        <w:trPr/>
        <w:tc>
          <w:tcPr>
            <w:tcW w:w="247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204" w:type="dxa"/>
            <w:tcBorders/>
            <w:vAlign w:val="center"/>
          </w:tcPr>
          <w:p>
            <w:pPr>
              <w:pStyle w:val="TableContents"/>
              <w:bidi w:val="0"/>
              <w:spacing w:before="0" w:after="283"/>
              <w:jc w:val="left"/>
              <w:rPr>
                <w:sz w:val="4"/>
                <w:szCs w:val="4"/>
              </w:rPr>
            </w:pPr>
            <w:r>
              <w:rPr>
                <w:sz w:val="4"/>
                <w:szCs w:val="4"/>
              </w:rPr>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ADEQ</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The Arkansas Department of Environmental Quality.</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Ammonium nitrate.</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ASUs</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Accounting Standard Updates.</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ATR</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AutoThermal Reforming.</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CAO</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 consent administrative order.</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Cherokee Facility</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Our chemical production facility located in Cherokee, Alabama.</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Chevron</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Chevron Environmental Management Company.</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COVID-19</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The novel coronavirus disease of 2019.</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EDA</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El Dorado Ammonia L.L.C.</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EDC</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El Dorado Chemical Company.</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 Dorado Facility</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Our chemical production facility located in El Dorado, Arkansas.</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Eldridge</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Eldridge Industries, L.L.C.</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Environmental and Health Laws</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Numerous federal, state and local environmental, health and safety laws.</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EUC</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Environmental Use Control.</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FASB</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Financial Accounting Standards Board.</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FEED</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Front end engineering design.</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Covenant</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Certain springing financial covenants associated with the working capital revolver loan.</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Global</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Global Industrial, Inc., a subcontractor asserting mechanics liens for work rendered to LSB and EDC.</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Hallowell Facility</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 chemical facility previously owned by two of our subsidiaries located in Kansas.</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HDAN</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High density ammonium nitrate prills used in the agricultural industry.</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Indenture</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The agreement governing the 6.25% senior secured notes.</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IRS</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Internal Revenue Service.</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 Golsen</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Jack E. Golsen.</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July Report</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World Agricultural Supply and Demand Estimates Report dated July 12, 2023.</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KDHE</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The Kansas Department of Health and Environment.</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LDAN</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Low density ammonium nitrate prills used in the mining industry.</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Leidos</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Leidos Constructors L.L.C.</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LSB</w:t>
            </w:r>
            <w:r>
              <w:rPr>
                <w:rFonts w:ascii="Times New Roman" w:hAnsi="Times New Roman"/>
                <w:color w:val="000000"/>
                <w:sz w:val="20"/>
              </w:rPr>
              <w:t xml:space="preserve"> </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LSB Industries, Inc.</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Maximum Revolver Amount</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The maximum amount of outstanding advances available under our Working Capital Revolver Loan.</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MD&amp;A</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Management’s Discussion and Analysis of Financial Condition and Results of Operations.</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MMBtu</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Million British thermal units.</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MOU</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Memorandum of understanding.</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Notes</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The senior secured notes issued March 8, 2022 with an interest rate of 6.25%, which mature in October 2028.</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Note</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 note in the accompanying notes to the condensed consolidated financial statements.</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Notes</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The senior secured notes issued on October 14, 2021 with an interest rate of 6.25%, which mature in October 2028.</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ODEQ</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The Oklahoma Department of Environmental Quality.</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PCC</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Pryor Chemical Company.</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PP&amp;E</w:t>
            </w:r>
          </w:p>
        </w:tc>
        <w:tc>
          <w:tcPr>
            <w:tcW w:w="526" w:type="dxa"/>
            <w:tcBorders/>
            <w:vAlign w:val="center"/>
          </w:tcPr>
          <w:p>
            <w:pPr>
              <w:pStyle w:val="TableContents"/>
              <w:bidi w:val="0"/>
              <w:spacing w:before="0" w:after="283"/>
              <w:ind w:left="0" w:right="0" w:firstLine="360"/>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pBdr/>
              <w:bidi w:val="0"/>
              <w:spacing w:before="0" w:after="283"/>
              <w:ind w:left="0" w:right="0" w:hanging="360"/>
              <w:jc w:val="both"/>
              <w:rPr>
                <w:rFonts w:ascii="Times New Roman" w:hAnsi="Times New Roman"/>
                <w:b w:val="false"/>
                <w:color w:val="000000"/>
                <w:sz w:val="20"/>
              </w:rPr>
            </w:pPr>
            <w:r>
              <w:rPr>
                <w:rFonts w:ascii="Times New Roman" w:hAnsi="Times New Roman"/>
                <w:b w:val="false"/>
                <w:color w:val="000000"/>
                <w:sz w:val="20"/>
              </w:rPr>
              <w:t>Plant, property and equipment.</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ind w:left="0" w:right="0" w:firstLine="360"/>
              <w:jc w:val="center"/>
              <w:rPr/>
            </w:pPr>
            <w:r>
              <w:rPr/>
              <w:t> </w:t>
            </w:r>
          </w:p>
        </w:tc>
        <w:tc>
          <w:tcPr>
            <w:tcW w:w="7204" w:type="dxa"/>
            <w:tcBorders/>
            <w:vAlign w:val="center"/>
          </w:tcPr>
          <w:p>
            <w:pPr>
              <w:pStyle w:val="TableContents"/>
              <w:pBdr/>
              <w:bidi w:val="0"/>
              <w:spacing w:before="0" w:after="283"/>
              <w:ind w:left="0" w:right="0" w:hanging="360"/>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Pryor Facility</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Our chemical production facility located in Pryor, Oklahoma.</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The U.S. Securities and Exchange Commission.</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Secured Financing due 2023</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 secured financing arrangement between EDC and an affiliate of Eldridge which matures in June 2023.</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r>
        <w:trPr/>
        <w:tc>
          <w:tcPr>
            <w:tcW w:w="24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Secured Financing due 2025</w:t>
            </w:r>
          </w:p>
        </w:tc>
        <w:tc>
          <w:tcPr>
            <w:tcW w:w="5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204"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 secured financing arrangement between EDA and an affiliate of Eldridge which matures in August 2025.</w:t>
            </w:r>
          </w:p>
        </w:tc>
      </w:tr>
      <w:tr>
        <w:trPr/>
        <w:tc>
          <w:tcPr>
            <w:tcW w:w="24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204" w:type="dxa"/>
            <w:tcBorders/>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50"/>
        <w:gridCol w:w="166"/>
        <w:gridCol w:w="7889"/>
      </w:tblGrid>
      <w:tr>
        <w:trPr/>
        <w:tc>
          <w:tcPr>
            <w:tcW w:w="21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889"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Senior Secured Notes</w:t>
            </w:r>
            <w:r>
              <w:rPr>
                <w:rFonts w:ascii="Times New Roman" w:hAnsi="Times New Roman"/>
                <w:color w:val="000000"/>
                <w:sz w:val="20"/>
              </w:rPr>
              <w:t xml:space="preserve"> </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The Notes and New Notes, taken together due on October 15, 2028 with a stated interest rate of 6.25%.</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SG&amp;A</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Selling, general and administrative expense.</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Ton</w:t>
            </w:r>
          </w:p>
        </w:tc>
        <w:tc>
          <w:tcPr>
            <w:tcW w:w="1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left"/>
              <w:rPr>
                <w:rFonts w:ascii="Times New Roman" w:hAnsi="Times New Roman"/>
                <w:b w:val="false"/>
                <w:color w:val="111111"/>
                <w:sz w:val="20"/>
              </w:rPr>
            </w:pPr>
            <w:r>
              <w:rPr>
                <w:rFonts w:ascii="Times New Roman" w:hAnsi="Times New Roman"/>
                <w:b w:val="false"/>
                <w:color w:val="111111"/>
                <w:sz w:val="20"/>
              </w:rPr>
              <w:t>A unit of weight equal to 2,000 pounds.</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Turnaround</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 planned major maintenance activity.</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UAN</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Urea ammonium nitrate.</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United States.</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GAAP</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U.S. Generally Accepted Accounting Principles.</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USDA</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United States Department of Agriculture.</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West Fertilizer</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West Fertilizer Company.</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Working Capital Revolver Loan</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Our secured revolving credit facility.</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2022 Crop</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Corn crop marketing year (September 1 - August 31), which began in 2021 and ended in 2022 and primarily relates to corn planted and harvested in 2021.</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2023 Crop</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Corn crop marketing year (September 1 - August 31), which began in 2022 and will end in 2023 and primarily relates to corn planted and harvested in 2022.</w:t>
            </w:r>
          </w:p>
        </w:tc>
      </w:tr>
      <w:tr>
        <w:trPr/>
        <w:tc>
          <w:tcPr>
            <w:tcW w:w="2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7889"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2024 Crop</w:t>
            </w:r>
          </w:p>
        </w:tc>
        <w:tc>
          <w:tcPr>
            <w:tcW w:w="1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7889"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Corn crop marketing year (September 1 - August 31), which began in 2023 and will end in 2024 and primarily relates to corn planted and harvested in 2023.</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jc w:val="both"/>
        <w:rPr/>
      </w:pPr>
      <w:r>
        <w:rPr/>
        <w:t> </w:t>
      </w:r>
    </w:p>
    <w:p>
      <w:pPr>
        <w:pStyle w:val="TextBody"/>
        <w:bidi w:val="0"/>
        <w:jc w:val="both"/>
        <w:rPr>
          <w:rFonts w:ascii="Times New Roman" w:hAnsi="Times New Roman"/>
          <w:sz w:val="20"/>
        </w:rPr>
      </w:pPr>
      <w:bookmarkStart w:id="12" w:name="item_1_legal_proceedings"/>
      <w:bookmarkEnd w:id="12"/>
      <w:r>
        <w:rPr>
          <w:rFonts w:ascii="Times New Roman" w:hAnsi="Times New Roman"/>
          <w:b/>
          <w:color w:val="000000"/>
          <w:sz w:val="20"/>
          <w:u w:val="single"/>
        </w:rPr>
        <w:t>Item 1. Legal</w:t>
      </w:r>
      <w:r>
        <w:rPr>
          <w:rFonts w:ascii="Times New Roman" w:hAnsi="Times New Roman"/>
          <w:color w:val="000000"/>
          <w:sz w:val="20"/>
          <w:u w:val="single"/>
        </w:rPr>
        <w:t xml:space="preserve"> </w:t>
      </w:r>
      <w:r>
        <w:rPr>
          <w:rFonts w:ascii="Times New Roman" w:hAnsi="Times New Roman"/>
          <w:b/>
          <w:color w:val="000000"/>
          <w:sz w:val="20"/>
          <w:u w:val="single"/>
        </w:rPr>
        <w:t>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Other Litigation</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from time to time subject to various legal proceedings and claims arising in the ordinary course of business, including, but not limited to, examinations by the Internal Revenue Service. For further discussion of our legal matters, see “Note 5—Commitments and Contingencies—Legal Matters” in the notes to the Condensed Consolidated Financial Statements in this Form 10-Q.</w:t>
      </w:r>
    </w:p>
    <w:p>
      <w:pPr>
        <w:pStyle w:val="TextBody"/>
        <w:bidi w:val="0"/>
        <w:jc w:val="both"/>
        <w:rPr/>
      </w:pPr>
      <w:r>
        <w:rPr/>
        <w:t> </w:t>
      </w:r>
    </w:p>
    <w:p>
      <w:pPr>
        <w:pStyle w:val="TextBody"/>
        <w:bidi w:val="0"/>
        <w:jc w:val="both"/>
        <w:rPr>
          <w:rFonts w:ascii="Times New Roman" w:hAnsi="Times New Roman"/>
          <w:sz w:val="20"/>
        </w:rPr>
      </w:pPr>
      <w:bookmarkStart w:id="13" w:name="item_1a_risk_factors"/>
      <w:bookmarkEnd w:id="13"/>
      <w:r>
        <w:rPr>
          <w:rFonts w:ascii="Times New Roman" w:hAnsi="Times New Roman"/>
          <w:b/>
          <w:color w:val="000000"/>
          <w:sz w:val="20"/>
          <w:u w:val="single"/>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Reference is made to Item 1A of our Form 10-K for the year ended December 31, 2022, filed with the SEC on February 23, 2023. There are no material changes from the risk factors disclosed in our 2022 Form 10-K.</w:t>
      </w:r>
    </w:p>
    <w:p>
      <w:pPr>
        <w:pStyle w:val="TextBody"/>
        <w:bidi w:val="0"/>
        <w:jc w:val="both"/>
        <w:rPr/>
      </w:pPr>
      <w:r>
        <w:rPr/>
        <w:t> </w:t>
      </w:r>
    </w:p>
    <w:p>
      <w:pPr>
        <w:pStyle w:val="TextBody"/>
        <w:bidi w:val="0"/>
        <w:jc w:val="both"/>
        <w:rPr>
          <w:rFonts w:ascii="Times New Roman" w:hAnsi="Times New Roman"/>
          <w:b/>
          <w:color w:val="000000"/>
          <w:sz w:val="20"/>
          <w:u w:val="single"/>
        </w:rPr>
      </w:pPr>
      <w:bookmarkStart w:id="14" w:name="item_2_unregistered_sales_equity_securit"/>
      <w:bookmarkEnd w:id="14"/>
      <w:r>
        <w:rPr>
          <w:rFonts w:ascii="Times New Roman" w:hAnsi="Times New Roman"/>
          <w:b/>
          <w:color w:val="000000"/>
          <w:sz w:val="20"/>
          <w:u w:val="single"/>
        </w:rPr>
        <w:t>Item 2. Unregistered Sales of Equity Securities and Use of Proceeds</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following table summarizes the Company’s purchase of its common stock for the quarter ended September 30, 2023:</w:t>
      </w:r>
    </w:p>
    <w:tbl>
      <w:tblPr>
        <w:tblW w:w="10205" w:type="dxa"/>
        <w:jc w:val="left"/>
        <w:tblInd w:w="0" w:type="dxa"/>
        <w:tblLayout w:type="fixed"/>
        <w:tblCellMar>
          <w:top w:w="28" w:type="dxa"/>
          <w:left w:w="28" w:type="dxa"/>
          <w:bottom w:w="28" w:type="dxa"/>
          <w:right w:w="28" w:type="dxa"/>
        </w:tblCellMar>
      </w:tblPr>
      <w:tblGrid>
        <w:gridCol w:w="1536"/>
        <w:gridCol w:w="233"/>
        <w:gridCol w:w="1082"/>
        <w:gridCol w:w="146"/>
        <w:gridCol w:w="340"/>
        <w:gridCol w:w="752"/>
        <w:gridCol w:w="146"/>
        <w:gridCol w:w="424"/>
        <w:gridCol w:w="1976"/>
        <w:gridCol w:w="146"/>
        <w:gridCol w:w="503"/>
        <w:gridCol w:w="2725"/>
        <w:gridCol w:w="196"/>
      </w:tblGrid>
      <w:tr>
        <w:trPr/>
        <w:tc>
          <w:tcPr>
            <w:tcW w:w="15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3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3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w:t>
            </w:r>
          </w:p>
        </w:tc>
        <w:tc>
          <w:tcPr>
            <w:tcW w:w="146" w:type="dxa"/>
            <w:tcBorders/>
            <w:shd w:fill="FFFFFF" w:val="clear"/>
            <w:vAlign w:val="center"/>
          </w:tcPr>
          <w:p>
            <w:pPr>
              <w:pStyle w:val="TableContents"/>
              <w:bidi w:val="0"/>
              <w:spacing w:before="0" w:after="283"/>
              <w:jc w:val="center"/>
              <w:rPr/>
            </w:pPr>
            <w:r>
              <w:rPr/>
              <w:t> </w:t>
            </w:r>
          </w:p>
        </w:tc>
        <w:tc>
          <w:tcPr>
            <w:tcW w:w="10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w:t>
            </w:r>
          </w:p>
        </w:tc>
        <w:tc>
          <w:tcPr>
            <w:tcW w:w="146" w:type="dxa"/>
            <w:tcBorders/>
            <w:shd w:fill="FFFFFF" w:val="clear"/>
            <w:vAlign w:val="center"/>
          </w:tcPr>
          <w:p>
            <w:pPr>
              <w:pStyle w:val="TableContents"/>
              <w:bidi w:val="0"/>
              <w:spacing w:before="0" w:after="283"/>
              <w:jc w:val="center"/>
              <w:rPr/>
            </w:pPr>
            <w:r>
              <w:rPr/>
              <w:t> </w:t>
            </w:r>
          </w:p>
        </w:tc>
        <w:tc>
          <w:tcPr>
            <w:tcW w:w="24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Total Number of Shares (or Units) Purchased as Part of Publicly Announced Plans or Program (1)</w:t>
            </w:r>
          </w:p>
        </w:tc>
        <w:tc>
          <w:tcPr>
            <w:tcW w:w="146" w:type="dxa"/>
            <w:tcBorders/>
            <w:shd w:fill="FFFFFF" w:val="clear"/>
            <w:vAlign w:val="center"/>
          </w:tcPr>
          <w:p>
            <w:pPr>
              <w:pStyle w:val="TableContents"/>
              <w:bidi w:val="0"/>
              <w:spacing w:before="0" w:after="283"/>
              <w:jc w:val="center"/>
              <w:rPr/>
            </w:pPr>
            <w:r>
              <w:rPr/>
              <w:t> </w:t>
            </w:r>
          </w:p>
        </w:tc>
        <w:tc>
          <w:tcPr>
            <w:tcW w:w="32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 Maximum Number (or Approximate Dollar Value) of Shares (or Units) that May Yet Be Purchased Under the Plans or Program</w:t>
            </w:r>
          </w:p>
        </w:tc>
        <w:tc>
          <w:tcPr>
            <w:tcW w:w="196" w:type="dxa"/>
            <w:tcBorders/>
            <w:shd w:fill="FFFFFF" w:val="clear"/>
            <w:vAlign w:val="center"/>
          </w:tcPr>
          <w:p>
            <w:pPr>
              <w:pStyle w:val="TableContents"/>
              <w:bidi w:val="0"/>
              <w:spacing w:before="0" w:after="283"/>
              <w:jc w:val="center"/>
              <w:rPr/>
            </w:pPr>
            <w:r>
              <w:rPr/>
              <w:t> </w:t>
            </w:r>
          </w:p>
        </w:tc>
      </w:tr>
      <w:tr>
        <w:trPr/>
        <w:tc>
          <w:tcPr>
            <w:tcW w:w="153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July 1 – July 31, 2023</w:t>
            </w:r>
          </w:p>
        </w:tc>
        <w:tc>
          <w:tcPr>
            <w:tcW w:w="23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59,911</w:t>
            </w:r>
          </w:p>
        </w:tc>
        <w:tc>
          <w:tcPr>
            <w:tcW w:w="146"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2"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9.78</w:t>
            </w:r>
          </w:p>
        </w:tc>
        <w:tc>
          <w:tcPr>
            <w:tcW w:w="146"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97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59,911</w:t>
            </w:r>
          </w:p>
        </w:tc>
        <w:tc>
          <w:tcPr>
            <w:tcW w:w="146"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25"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132,195,998</w:t>
            </w:r>
          </w:p>
        </w:tc>
        <w:tc>
          <w:tcPr>
            <w:tcW w:w="196" w:type="dxa"/>
            <w:tcBorders/>
            <w:shd w:fill="CCEEFF" w:val="clear"/>
            <w:vAlign w:val="center"/>
          </w:tcPr>
          <w:p>
            <w:pPr>
              <w:pStyle w:val="TableContents"/>
              <w:bidi w:val="0"/>
              <w:spacing w:before="0" w:after="283"/>
              <w:jc w:val="left"/>
              <w:rPr/>
            </w:pPr>
            <w:r>
              <w:rPr/>
              <w:t> </w:t>
            </w:r>
          </w:p>
        </w:tc>
      </w:tr>
      <w:tr>
        <w:trPr/>
        <w:tc>
          <w:tcPr>
            <w:tcW w:w="1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1 – August 31, 2023</w:t>
            </w:r>
          </w:p>
        </w:tc>
        <w:tc>
          <w:tcPr>
            <w:tcW w:w="23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19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7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132,195,998</w:t>
            </w:r>
          </w:p>
        </w:tc>
        <w:tc>
          <w:tcPr>
            <w:tcW w:w="196" w:type="dxa"/>
            <w:tcBorders/>
            <w:shd w:fill="FFFFFF" w:val="clear"/>
            <w:vAlign w:val="center"/>
          </w:tcPr>
          <w:p>
            <w:pPr>
              <w:pStyle w:val="TableContents"/>
              <w:bidi w:val="0"/>
              <w:spacing w:before="0" w:after="283"/>
              <w:jc w:val="left"/>
              <w:rPr/>
            </w:pPr>
            <w:r>
              <w:rPr/>
              <w:t> </w:t>
            </w:r>
          </w:p>
        </w:tc>
      </w:tr>
      <w:tr>
        <w:trPr/>
        <w:tc>
          <w:tcPr>
            <w:tcW w:w="153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1 – September 30, 2023</w:t>
            </w:r>
          </w:p>
        </w:tc>
        <w:tc>
          <w:tcPr>
            <w:tcW w:w="2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132,195,998</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132,195,998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80" w:after="283"/>
        <w:jc w:val="both"/>
        <w:rPr>
          <w:rFonts w:ascii="Times New Roman" w:hAnsi="Times New Roman"/>
          <w:b w:val="false"/>
          <w:color w:val="000000"/>
          <w:sz w:val="18"/>
        </w:rPr>
      </w:pPr>
      <w:r>
        <w:rPr>
          <w:rFonts w:ascii="Times New Roman" w:hAnsi="Times New Roman"/>
          <w:b w:val="false"/>
          <w:color w:val="000000"/>
          <w:sz w:val="18"/>
        </w:rPr>
        <w:t>During May 2023, our Board authorized a $150 million repurchase program.</w:t>
      </w:r>
    </w:p>
    <w:p>
      <w:pPr>
        <w:pStyle w:val="TextBody"/>
        <w:bidi w:val="0"/>
        <w:spacing w:before="120" w:after="283"/>
        <w:jc w:val="both"/>
        <w:rPr>
          <w:rFonts w:ascii="Times New Roman" w:hAnsi="Times New Roman"/>
          <w:b/>
          <w:color w:val="000000"/>
          <w:sz w:val="20"/>
          <w:u w:val="single"/>
        </w:rPr>
      </w:pPr>
      <w:bookmarkStart w:id="15" w:name="item_3_defaults_upon_senior_securities"/>
      <w:bookmarkEnd w:id="15"/>
      <w:r>
        <w:rPr>
          <w:rFonts w:ascii="Times New Roman" w:hAnsi="Times New Roman"/>
          <w:b/>
          <w:color w:val="000000"/>
          <w:sz w:val="20"/>
          <w:u w:val="single"/>
        </w:rPr>
        <w:t>Item 3. Defaults upon Senior Securities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u w:val="single"/>
        </w:rPr>
      </w:pPr>
      <w:bookmarkStart w:id="16" w:name="item_4_mine_safety_disclosures"/>
      <w:bookmarkEnd w:id="16"/>
      <w:r>
        <w:rPr>
          <w:rFonts w:ascii="Times New Roman" w:hAnsi="Times New Roman"/>
          <w:b/>
          <w:color w:val="000000"/>
          <w:sz w:val="20"/>
          <w:u w:val="single"/>
        </w:rPr>
        <w:t>Item 4. Mine Safety Disclosures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jc w:val="both"/>
        <w:rPr/>
      </w:pPr>
      <w:r>
        <w:rPr/>
        <w:t> </w:t>
      </w:r>
    </w:p>
    <w:p>
      <w:pPr>
        <w:pStyle w:val="TextBody"/>
        <w:bidi w:val="0"/>
        <w:jc w:val="both"/>
        <w:rPr>
          <w:rFonts w:ascii="Times New Roman" w:hAnsi="Times New Roman"/>
          <w:sz w:val="20"/>
        </w:rPr>
      </w:pPr>
      <w:bookmarkStart w:id="17" w:name="item_5_orinformation"/>
      <w:bookmarkEnd w:id="17"/>
      <w:r>
        <w:rPr>
          <w:rFonts w:ascii="Times New Roman" w:hAnsi="Times New Roman"/>
          <w:b/>
          <w:color w:val="000000"/>
          <w:sz w:val="20"/>
          <w:u w:val="single"/>
        </w:rPr>
        <w:t>Item 5. Other</w:t>
      </w:r>
      <w:r>
        <w:rPr>
          <w:rFonts w:ascii="Times New Roman" w:hAnsi="Times New Roman"/>
          <w:color w:val="000000"/>
          <w:sz w:val="20"/>
          <w:u w:val="single"/>
        </w:rPr>
        <w:t xml:space="preserve"> </w:t>
      </w:r>
      <w:r>
        <w:rPr>
          <w:rFonts w:ascii="Times New Roman" w:hAnsi="Times New Roman"/>
          <w:b/>
          <w:color w:val="000000"/>
          <w:sz w:val="20"/>
          <w:u w:val="single"/>
        </w:rPr>
        <w:t>Information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Adoption of 10b5-1 Trading Plans by Our Officers and Directors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During our fiscal quarter ended September 30, 2023, one of our directors (as defined in Rule 16a-1(f) under the Securities Exchange Act of 1934, as amended (the “Exchange Act”)) entered into a contract, instruction or written plan for the purchase or sale of our securities that is intended to satisfy the conditions specified in Rule 10b5-1(c) under the Exchange Act for an affirmative defense against liability for trading in securities on the basis of material nonpublic information. We refer to this contract, instruction, and written plan as a “Rule 10b5-1 trading plan.” We describe the material terms of this Rule 10b5-1 trading plan below.</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Barry H. Golsen, Member Board of Directors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September 14, 2023, Barry H. Golsen, a member of our board of directors, entered into a Rule 10b5-1 trading plan</w:t>
      </w:r>
      <w:r>
        <w:rPr>
          <w:rFonts w:ascii="Times New Roman" w:hAnsi="Times New Roman"/>
          <w:color w:val="000000"/>
          <w:sz w:val="20"/>
        </w:rPr>
        <w:t xml:space="preserve"> </w:t>
      </w:r>
      <w:r>
        <w:rPr>
          <w:rFonts w:ascii="Times New Roman" w:hAnsi="Times New Roman"/>
          <w:b w:val="false"/>
          <w:color w:val="000000"/>
          <w:sz w:val="20"/>
        </w:rPr>
        <w:t>that is intended to satisfy the affirmative defense of Rule 10b5-1(c) and provides that Mr. Golsen, acting through a broker, may sell up to an aggregate of 576,047</w:t>
      </w:r>
      <w:r>
        <w:rPr>
          <w:rFonts w:ascii="Times New Roman" w:hAnsi="Times New Roman"/>
          <w:color w:val="000000"/>
          <w:sz w:val="20"/>
        </w:rPr>
        <w:t xml:space="preserve"> </w:t>
      </w:r>
      <w:r>
        <w:rPr>
          <w:rFonts w:ascii="Times New Roman" w:hAnsi="Times New Roman"/>
          <w:b w:val="false"/>
          <w:color w:val="000000"/>
          <w:sz w:val="20"/>
        </w:rPr>
        <w:t>shares of our common stock, subject to adjustments for stock splits, stock combinations, stock dividends and other similar changes to our common stock in certain trust's which he is trustee over. The total vested common shares held by Mr. Golsen is 677,081. Sales of shares under the plan may only occur from December 15, 2023 to December 31, 2024. The plan is scheduled to terminate on December 31, 2024, subject to earlier termination upon the sale of all shares subject to the plan or the expiration of all sale orders under the plan, upon termination by Mr. Golsen or the broker, or as otherwise provided in the plan.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u w:val="single"/>
        </w:rPr>
      </w:pPr>
      <w:bookmarkStart w:id="18" w:name="item_6exhibits"/>
      <w:bookmarkEnd w:id="18"/>
      <w:r>
        <w:rPr>
          <w:rFonts w:ascii="Times New Roman" w:hAnsi="Times New Roman"/>
          <w:b/>
          <w:color w:val="000000"/>
          <w:sz w:val="20"/>
          <w:u w:val="single"/>
        </w:rPr>
        <w:t>Item 6. Exhibits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See “Index to Exhibits” on page 37.</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bookmarkStart w:id="19" w:name="item_5_or_information"/>
      <w:bookmarkStart w:id="20" w:name="index_item_6"/>
      <w:bookmarkEnd w:id="19"/>
      <w:bookmarkEnd w:id="20"/>
      <w:r>
        <w:rPr>
          <w:rFonts w:ascii="Times New Roman" w:hAnsi="Times New Roman"/>
          <w:b/>
          <w:color w:val="000000"/>
          <w:sz w:val="20"/>
          <w:u w:val="single"/>
        </w:rPr>
        <w:t>Index to Exhibits Item 6.</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30"/>
        <w:gridCol w:w="146"/>
        <w:gridCol w:w="5651"/>
        <w:gridCol w:w="146"/>
        <w:gridCol w:w="3432"/>
      </w:tblGrid>
      <w:tr>
        <w:trPr/>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32" w:type="dxa"/>
            <w:tcBorders/>
            <w:shd w:fill="FFFFFF" w:val="clear"/>
            <w:vAlign w:val="center"/>
          </w:tcPr>
          <w:p>
            <w:pPr>
              <w:pStyle w:val="TableContents"/>
              <w:bidi w:val="0"/>
              <w:spacing w:before="0" w:after="283"/>
              <w:jc w:val="left"/>
              <w:rPr>
                <w:sz w:val="4"/>
                <w:szCs w:val="4"/>
              </w:rPr>
            </w:pPr>
            <w:r>
              <w:rPr>
                <w:sz w:val="4"/>
                <w:szCs w:val="4"/>
              </w:rPr>
            </w:r>
          </w:p>
        </w:tc>
      </w:tr>
      <w:tr>
        <w:trPr/>
        <w:tc>
          <w:tcPr>
            <w:tcW w:w="83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3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the Following</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3(i).1</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Restated Certificate of Incorporation of LSB Industries, Inc., dated January 21, 1977, as amended August 27, 1987</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Exhibit 3(i).1 to the Company’s Form 10-K filed on February 28, 2013</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3(i).2</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Certificate of Amendment to the Restated Certificate of Incorporation of LSB Industries, dated September 23, 2021</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Exhibit 3(i).2 to the Company’s Registration Statement on Form S-3 filed on November 16, 2021</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3(ii)</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Second Amended and Restated Bylaws of LSB Industries, Inc., dated July 19, 2021</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Exhibit 3.1 to the Company’s Form 8-K filed July 20, 2021</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4.1</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Amended and Restated Section 382 Rights Agreement, dated as of August 22, 2023, between LSB Industries, Inc. and Computershare Trust Company, N.A., as rights agent</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40"/>
              <w:jc w:val="left"/>
              <w:rPr>
                <w:rFonts w:ascii="Times New Roman" w:hAnsi="Times New Roman"/>
                <w:b w:val="false"/>
                <w:color w:val="000000"/>
                <w:sz w:val="20"/>
              </w:rPr>
            </w:pPr>
            <w:r>
              <w:rPr>
                <w:rFonts w:ascii="Times New Roman" w:hAnsi="Times New Roman"/>
                <w:b w:val="false"/>
                <w:color w:val="000000"/>
                <w:sz w:val="20"/>
              </w:rPr>
              <w:t>Exhibit 4.1 to the Company’s Form 8-K filed August 25, 2023</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31.1(a)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1_1.htm">
              <w:r>
                <w:rPr>
                  <w:rStyle w:val="InternetLink"/>
                  <w:rFonts w:ascii="Times New Roman" w:hAnsi="Times New Roman"/>
                  <w:b w:val="false"/>
                  <w:color w:val="0000FF"/>
                  <w:sz w:val="20"/>
                  <w:u w:val="single"/>
                </w:rPr>
                <w:t>Certification of Mark T. Behrman, Chief Executive Officer, pursuant to Sarbanes-Oxley Act of 2002, Section 302</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31.2(a)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1_2.htm">
              <w:r>
                <w:rPr>
                  <w:rStyle w:val="InternetLink"/>
                  <w:rFonts w:ascii="Times New Roman" w:hAnsi="Times New Roman"/>
                  <w:b w:val="false"/>
                  <w:color w:val="0000FF"/>
                  <w:sz w:val="20"/>
                  <w:u w:val="single"/>
                </w:rPr>
                <w:t>Certification of Cheryl A. Maguire, Chief Financial Officer, pursuant to Sarbanes-Oxley Act of 2002, Section 302</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32.1(a)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2_1.htm">
              <w:r>
                <w:rPr>
                  <w:rStyle w:val="InternetLink"/>
                  <w:rFonts w:ascii="Times New Roman" w:hAnsi="Times New Roman"/>
                  <w:b w:val="false"/>
                  <w:color w:val="0000FF"/>
                  <w:sz w:val="20"/>
                  <w:u w:val="single"/>
                </w:rPr>
                <w:t>Certification of Mark T. Behrman, Chief Executive Officer, furnished pursuant to Sarbanes-Oxley Act of 2002, Section 906</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32.2(a)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hyperlink w:anchor="lxu-ex32_2.htm">
              <w:r>
                <w:rPr>
                  <w:rStyle w:val="InternetLink"/>
                  <w:rFonts w:ascii="Times New Roman" w:hAnsi="Times New Roman"/>
                  <w:b w:val="false"/>
                  <w:color w:val="0000FF"/>
                  <w:sz w:val="20"/>
                  <w:u w:val="single"/>
                </w:rPr>
                <w:t>Certification of Cheryl A. Maguire, Chief Financial Officer, furnished pursuant to Sarbanes-Oxley Act of 2002, Section 906</w:t>
              </w:r>
            </w:hyperlink>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Labels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104(a)</w:t>
            </w:r>
          </w:p>
        </w:tc>
        <w:tc>
          <w:tcPr>
            <w:tcW w:w="146" w:type="dxa"/>
            <w:tcBorders/>
            <w:vAlign w:val="center"/>
          </w:tcPr>
          <w:p>
            <w:pPr>
              <w:pStyle w:val="TableContents"/>
              <w:bidi w:val="0"/>
              <w:spacing w:before="0" w:after="283"/>
              <w:jc w:val="left"/>
              <w:rPr/>
            </w:pPr>
            <w:r>
              <w:rPr/>
              <w:t> </w:t>
            </w:r>
          </w:p>
        </w:tc>
        <w:tc>
          <w:tcPr>
            <w:tcW w:w="56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c>
          <w:tcPr>
            <w:tcW w:w="146"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Filed herewith or furnished herewith.</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1" w:name="signatures"/>
      <w:bookmarkEnd w:id="21"/>
      <w:r>
        <w:rPr>
          <w:rFonts w:ascii="Times New Roman" w:hAnsi="Times New Roman"/>
          <w:b/>
          <w:color w:val="000000"/>
          <w:sz w:val="20"/>
          <w:u w:val="single"/>
        </w:rPr>
        <w:t>SIGNATURES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Pursuant to the requirements of the Securities Exchange Act of 1934, as amended, the Company has caused the undersigned, duly authorized, to sign this report on its behalf on this 2</w:t>
      </w:r>
      <w:r>
        <w:rPr>
          <w:rFonts w:ascii="Times New Roman" w:hAnsi="Times New Roman"/>
          <w:b w:val="false"/>
          <w:color w:val="000000"/>
          <w:sz w:val="13"/>
        </w:rPr>
        <w:t>nd</w:t>
      </w:r>
      <w:r>
        <w:rPr>
          <w:rFonts w:ascii="Times New Roman" w:hAnsi="Times New Roman"/>
          <w:color w:val="000000"/>
          <w:sz w:val="20"/>
        </w:rPr>
        <w:t xml:space="preserve"> </w:t>
      </w:r>
      <w:r>
        <w:rPr>
          <w:rFonts w:ascii="Times New Roman" w:hAnsi="Times New Roman"/>
          <w:b w:val="false"/>
          <w:color w:val="000000"/>
          <w:sz w:val="20"/>
        </w:rPr>
        <w:t>day of November 2023.</w:t>
      </w:r>
    </w:p>
    <w:p>
      <w:pPr>
        <w:pStyle w:val="TextBody"/>
        <w:bidi w:val="0"/>
        <w:jc w:val="both"/>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LSB INDUSTRIES, INC.</w:t>
            </w:r>
          </w:p>
        </w:tc>
      </w:tr>
      <w:tr>
        <w:trPr/>
        <w:tc>
          <w:tcPr>
            <w:tcW w:w="4456" w:type="dxa"/>
            <w:tcBorders/>
            <w:vAlign w:val="center"/>
          </w:tcPr>
          <w:p>
            <w:pPr>
              <w:pStyle w:val="TableContents"/>
              <w:bidi w:val="0"/>
              <w:spacing w:before="0" w:after="283"/>
              <w:jc w:val="left"/>
              <w:rPr/>
            </w:pPr>
            <w:r>
              <w:rPr/>
              <w:t> </w:t>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Cheryl A. Maguire</w:t>
            </w:r>
          </w:p>
        </w:tc>
      </w:tr>
      <w:tr>
        <w:trPr/>
        <w:tc>
          <w:tcPr>
            <w:tcW w:w="44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Cheryl A. Maguire</w:t>
            </w:r>
          </w:p>
        </w:tc>
      </w:tr>
      <w:tr>
        <w:trPr/>
        <w:tc>
          <w:tcPr>
            <w:tcW w:w="44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tc>
      </w:tr>
      <w:tr>
        <w:trPr/>
        <w:tc>
          <w:tcPr>
            <w:tcW w:w="44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bookmarkStart w:id="22" w:name="lxu-ex31_1.htm"/>
      <w:bookmarkStart w:id="23" w:name="kslxu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 Mark T. Behrman, certify that: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Date: November 2, 2023</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Mark T. Behrman</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 T. Behrman</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and Director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lxu-ex31_2.htm"/>
      <w:bookmarkStart w:id="25" w:name="kslxu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 Cheryl A. Maguire, certify that: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Date: November 2, 2023</w:t>
      </w:r>
    </w:p>
    <w:p>
      <w:pPr>
        <w:pStyle w:val="TextBody"/>
        <w:bidi w:val="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Cheryl A. Maguire</w:t>
            </w:r>
          </w:p>
        </w:tc>
      </w:tr>
      <w:tr>
        <w:trPr/>
        <w:tc>
          <w:tcPr>
            <w:tcW w:w="23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Cheryl A. Maguire</w:t>
            </w:r>
          </w:p>
        </w:tc>
      </w:tr>
      <w:tr>
        <w:trPr/>
        <w:tc>
          <w:tcPr>
            <w:tcW w:w="23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Executive Vice President</w:t>
            </w:r>
          </w:p>
        </w:tc>
      </w:tr>
      <w:tr>
        <w:trPr/>
        <w:tc>
          <w:tcPr>
            <w:tcW w:w="23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lxu-ex32_1.htm"/>
      <w:bookmarkStart w:id="27" w:name="kslxu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CERTIFICATION PURSUANT TO</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 U.S.C. SECTION 1350</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AS ADOPTED PURSUANT TO</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SECTION 906 OF THE SARBANES-OXLEY ACT OF 2002</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connection with the Quarterly Report of LSB Industries, Inc. (“LSB”) on Form 10-Q for the period ended September 30, 2023 as filed with the Securities and Exchange Commission on the date hereof (the “Report”). I, Mark T. Behrman, President and Chief Executive Officer of LSB, certify pursuant to 18 U.S.C. §1350, as adopted pursuant to §906 of the Sarbanes-Oxley Act of 2002, that: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Mark T. Behrman</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 T. Behrman</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 and</w:t>
            </w:r>
          </w:p>
        </w:tc>
      </w:tr>
      <w:tr>
        <w:trPr/>
        <w:tc>
          <w:tcPr>
            <w:tcW w:w="29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Director</w:t>
            </w:r>
          </w:p>
        </w:tc>
      </w:tr>
    </w:tbl>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November 2, 2023</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lxu-ex32_2.htm"/>
      <w:bookmarkStart w:id="29" w:name="kslxu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CERTIFICATION PURSUANT TO</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 U.S.C. SECTION 1350</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AS ADOPTED PURSUANT TO</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SECTION 906 OF THE SARBANES-OXLEY ACT OF 2002</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connection with the Quarterly Report of LSB Industries, Inc. (“LSB”) on Form 10-Q for the period ended September 30, 2023 as filed with the Securities and Exchange Commission on the date hereof (the “Report”), I, Cheryl A. Maguire, Senior Vice President and Chief Financial Officer of LSB, certify pursuant to 18 U.S.C. §1350, as adopted pursuant to §906 of the Sarbanes-Oxley Act of 2002, that: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 (a) or 15 (d) of the Securities Exchange Act of 1934;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Cheryl A. Maguire</w:t>
            </w:r>
          </w:p>
        </w:tc>
      </w:tr>
      <w:tr>
        <w:trPr/>
        <w:tc>
          <w:tcPr>
            <w:tcW w:w="24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Cheryl A. Maguire</w:t>
            </w:r>
          </w:p>
        </w:tc>
      </w:tr>
      <w:tr>
        <w:trPr/>
        <w:tc>
          <w:tcPr>
            <w:tcW w:w="2431"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Executive Vice President</w:t>
            </w:r>
            <w:r>
              <w:rPr>
                <w:rFonts w:ascii="Times New Roman" w:hAnsi="Times New Roman"/>
                <w:color w:val="000000"/>
                <w:sz w:val="20"/>
              </w:rPr>
              <w:t xml:space="preserve"> </w:t>
            </w:r>
          </w:p>
        </w:tc>
      </w:tr>
      <w:tr>
        <w:trPr/>
        <w:tc>
          <w:tcPr>
            <w:tcW w:w="24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and Chief Financial Officer</w:t>
            </w:r>
          </w:p>
        </w:tc>
      </w:tr>
      <w:tr>
        <w:trPr/>
        <w:tc>
          <w:tcPr>
            <w:tcW w:w="24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November 2, 2023</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0714/000119312513084410/d447083dex3i1.htm" TargetMode="External"/><Relationship Id="rId3" Type="http://schemas.openxmlformats.org/officeDocument/2006/relationships/hyperlink" Target="https://www.sec.gov/Archives/edgar/data/0000060714/000119312521331386/d173096dex3i2.htm" TargetMode="External"/><Relationship Id="rId4" Type="http://schemas.openxmlformats.org/officeDocument/2006/relationships/hyperlink" Target="https://www.sec.gov/Archives/edgar/data/60714/000119312521219140/d189542dex31.htm" TargetMode="External"/><Relationship Id="rId5" Type="http://schemas.openxmlformats.org/officeDocument/2006/relationships/hyperlink" Target="https://www.sec.gov/Archives/edgar/data/60714/000095017023044575/lxu-ex4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21632</Words>
  <Characters>117202</Characters>
  <CharactersWithSpaces>140300</CharactersWithSpaces>
  <Paragraphs>6429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