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2013</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6"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88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79"/>
              </w:rPr>
              <w:t>to</w:t>
            </w:r>
          </w:p>
        </w:tc>
      </w:tr>
      <w:tr>
        <w:trPr>
          <w:trHeight w:val="397"/>
        </w:trPr>
        <w:tc>
          <w:tcPr>
            <w:tcW w:w="338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w w:val="98"/>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-264160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LSB Industries,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6980" w:type="dxa"/>
            <w:vAlign w:val="bottom"/>
          </w:tcPr>
          <w:p>
            <w:pPr>
              <w:jc w:val="center"/>
              <w:ind w:right="2484"/>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73-1015226</w:t>
            </w:r>
          </w:p>
        </w:tc>
      </w:tr>
      <w:tr>
        <w:trPr>
          <w:trHeight w:val="149"/>
        </w:trPr>
        <w:tc>
          <w:tcPr>
            <w:tcW w:w="6980" w:type="dxa"/>
            <w:vAlign w:val="bottom"/>
          </w:tcPr>
          <w:p>
            <w:pPr>
              <w:jc w:val="center"/>
              <w:ind w:right="2464"/>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 of</w:t>
            </w:r>
          </w:p>
        </w:tc>
        <w:tc>
          <w:tcPr>
            <w:tcW w:w="1500" w:type="dxa"/>
            <w:vAlign w:val="bottom"/>
          </w:tcPr>
          <w:p>
            <w:pPr>
              <w:jc w:val="center"/>
              <w:ind w:left="404"/>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6980" w:type="dxa"/>
            <w:vAlign w:val="bottom"/>
          </w:tcPr>
          <w:p>
            <w:pPr>
              <w:jc w:val="center"/>
              <w:ind w:right="2464"/>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1500" w:type="dxa"/>
            <w:vAlign w:val="bottom"/>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w w:val="97"/>
              </w:rPr>
              <w:t>Identification No.</w:t>
            </w:r>
          </w:p>
        </w:tc>
      </w:tr>
      <w:tr>
        <w:trPr>
          <w:trHeight w:val="416"/>
        </w:trPr>
        <w:tc>
          <w:tcPr>
            <w:tcW w:w="6980" w:type="dxa"/>
            <w:vAlign w:val="bottom"/>
          </w:tcPr>
          <w:p>
            <w:pPr>
              <w:jc w:val="center"/>
              <w:ind w:right="2484"/>
              <w:spacing w:after="0"/>
              <w:rPr>
                <w:sz w:val="20"/>
                <w:szCs w:val="20"/>
                <w:color w:val="auto"/>
              </w:rPr>
            </w:pPr>
            <w:r>
              <w:rPr>
                <w:rFonts w:ascii="Times New Roman" w:cs="Times New Roman" w:eastAsia="Times New Roman" w:hAnsi="Times New Roman"/>
                <w:sz w:val="18"/>
                <w:szCs w:val="18"/>
                <w:b w:val="1"/>
                <w:bCs w:val="1"/>
                <w:color w:val="auto"/>
                <w:w w:val="97"/>
              </w:rPr>
              <w:t>16 South Pennsylvania Avenue, Oklahoma City, Oklahoma</w:t>
            </w:r>
          </w:p>
        </w:tc>
        <w:tc>
          <w:tcPr>
            <w:tcW w:w="1500" w:type="dxa"/>
            <w:vAlign w:val="bottom"/>
          </w:tcPr>
          <w:p>
            <w:pPr>
              <w:jc w:val="right"/>
              <w:ind w:right="204"/>
              <w:spacing w:after="0"/>
              <w:rPr>
                <w:sz w:val="20"/>
                <w:szCs w:val="20"/>
                <w:color w:val="auto"/>
              </w:rPr>
            </w:pPr>
            <w:r>
              <w:rPr>
                <w:rFonts w:ascii="Times New Roman" w:cs="Times New Roman" w:eastAsia="Times New Roman" w:hAnsi="Times New Roman"/>
                <w:sz w:val="18"/>
                <w:szCs w:val="18"/>
                <w:b w:val="1"/>
                <w:bCs w:val="1"/>
                <w:color w:val="auto"/>
              </w:rPr>
              <w:t>73107</w:t>
            </w:r>
          </w:p>
        </w:tc>
      </w:tr>
      <w:tr>
        <w:trPr>
          <w:trHeight w:val="178"/>
        </w:trPr>
        <w:tc>
          <w:tcPr>
            <w:tcW w:w="6980" w:type="dxa"/>
            <w:vAlign w:val="bottom"/>
          </w:tcPr>
          <w:p>
            <w:pPr>
              <w:jc w:val="center"/>
              <w:ind w:right="2484"/>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1500" w:type="dxa"/>
            <w:vAlign w:val="bottom"/>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w w:val="96"/>
              </w:rPr>
              <w:t>Zip Code</w:t>
            </w:r>
          </w:p>
        </w:tc>
      </w:tr>
      <w:tr>
        <w:trPr>
          <w:trHeight w:val="348"/>
        </w:trPr>
        <w:tc>
          <w:tcPr>
            <w:tcW w:w="6980" w:type="dxa"/>
            <w:vAlign w:val="bottom"/>
          </w:tcPr>
          <w:p>
            <w:pPr>
              <w:jc w:val="right"/>
              <w:ind w:right="1324"/>
              <w:spacing w:after="0"/>
              <w:rPr>
                <w:sz w:val="20"/>
                <w:szCs w:val="20"/>
                <w:color w:val="auto"/>
              </w:rPr>
            </w:pPr>
            <w:r>
              <w:rPr>
                <w:rFonts w:ascii="Times New Roman" w:cs="Times New Roman" w:eastAsia="Times New Roman" w:hAnsi="Times New Roman"/>
                <w:sz w:val="18"/>
                <w:szCs w:val="18"/>
                <w:b w:val="1"/>
                <w:bCs w:val="1"/>
                <w:color w:val="auto"/>
              </w:rPr>
              <w:t>(405) 235-4546</w:t>
            </w:r>
          </w:p>
        </w:tc>
        <w:tc>
          <w:tcPr>
            <w:tcW w:w="1500" w:type="dxa"/>
            <w:vAlign w:val="bottom"/>
          </w:tcPr>
          <w:p>
            <w:pPr>
              <w:spacing w:after="0"/>
              <w:rPr>
                <w:sz w:val="24"/>
                <w:szCs w:val="24"/>
                <w:color w:val="auto"/>
              </w:rPr>
            </w:pPr>
          </w:p>
        </w:tc>
      </w:tr>
      <w:tr>
        <w:trPr>
          <w:trHeight w:val="178"/>
        </w:trPr>
        <w:tc>
          <w:tcPr>
            <w:tcW w:w="6980" w:type="dxa"/>
            <w:vAlign w:val="bottom"/>
          </w:tcPr>
          <w:p>
            <w:pPr>
              <w:jc w:val="center"/>
              <w:ind w:left="3024"/>
              <w:spacing w:after="0"/>
              <w:rPr>
                <w:sz w:val="20"/>
                <w:szCs w:val="20"/>
                <w:color w:val="auto"/>
              </w:rPr>
            </w:pPr>
            <w:r>
              <w:rPr>
                <w:rFonts w:ascii="Times New Roman" w:cs="Times New Roman" w:eastAsia="Times New Roman" w:hAnsi="Times New Roman"/>
                <w:sz w:val="14"/>
                <w:szCs w:val="14"/>
                <w:b w:val="1"/>
                <w:bCs w:val="1"/>
                <w:color w:val="auto"/>
                <w:w w:val="95"/>
              </w:rPr>
              <w:t>Registrant’s telephone number, including area code</w:t>
            </w:r>
          </w:p>
        </w:tc>
        <w:tc>
          <w:tcPr>
            <w:tcW w:w="1500" w:type="dxa"/>
            <w:vAlign w:val="bottom"/>
          </w:tcPr>
          <w:p>
            <w:pPr>
              <w:spacing w:after="0"/>
              <w:rPr>
                <w:sz w:val="15"/>
                <w:szCs w:val="15"/>
                <w:color w:val="auto"/>
              </w:rPr>
            </w:pPr>
          </w:p>
        </w:tc>
      </w:tr>
    </w:tbl>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both"/>
        <w:ind w:right="14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49" w:lineRule="exact"/>
        <w:rPr>
          <w:sz w:val="24"/>
          <w:szCs w:val="24"/>
          <w:color w:val="auto"/>
        </w:rPr>
      </w:pPr>
    </w:p>
    <w:p>
      <w:pPr>
        <w:ind w:right="8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49" w:lineRule="exact"/>
        <w:rPr>
          <w:sz w:val="24"/>
          <w:szCs w:val="24"/>
          <w:color w:val="auto"/>
        </w:rPr>
      </w:pPr>
    </w:p>
    <w:p>
      <w:pPr>
        <w:ind w:right="620"/>
        <w:spacing w:after="0" w:line="33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sectPr>
      </w:pP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26"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26"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7" w:lineRule="exact"/>
        <w:rPr>
          <w:sz w:val="24"/>
          <w:szCs w:val="24"/>
          <w:color w:val="auto"/>
        </w:rPr>
      </w:pPr>
    </w:p>
    <w:p>
      <w:pPr>
        <w:sectPr>
          <w:pgSz w:w="11900" w:h="16838" w:orient="portrait"/>
          <w:cols w:equalWidth="0" w:num="4">
            <w:col w:w="7300" w:space="180"/>
            <w:col w:w="140" w:space="100"/>
            <w:col w:w="260" w:space="160"/>
            <w:col w:w="3280"/>
          </w:cols>
          <w:pgMar w:left="240" w:top="226" w:right="239" w:bottom="1440" w:gutter="0" w:footer="0" w:header="0"/>
          <w:type w:val="continuous"/>
        </w:sect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number of shares outstanding of the Registrant’s voting common stock, as of October 31, 2013 was 22,519,503 shares, excluding 4,320,462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OF LSB INDUSTRIES,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480" w:type="dxa"/>
            <w:vAlign w:val="bottom"/>
            <w:gridSpan w:val="8"/>
            <w:vMerge w:val="restart"/>
          </w:tcPr>
          <w:p>
            <w:pPr>
              <w:jc w:val="center"/>
              <w:ind w:right="3980"/>
              <w:spacing w:after="0"/>
              <w:rPr>
                <w:rFonts w:ascii="Times New Roman" w:cs="Times New Roman" w:eastAsia="Times New Roman" w:hAnsi="Times New Roman"/>
                <w:sz w:val="18"/>
                <w:szCs w:val="18"/>
                <w:color w:val="0000EE"/>
                <w:w w:val="95"/>
              </w:rPr>
            </w:pPr>
            <w:hyperlink w:anchor="page3">
              <w:r>
                <w:rPr>
                  <w:rFonts w:ascii="Times New Roman" w:cs="Times New Roman" w:eastAsia="Times New Roman" w:hAnsi="Times New Roman"/>
                  <w:sz w:val="18"/>
                  <w:szCs w:val="18"/>
                  <w:color w:val="0000EE"/>
                  <w:w w:val="95"/>
                </w:rPr>
                <w:t>PART I – Financial Information</w:t>
              </w:r>
            </w:hyperlink>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7"/>
              </w:rPr>
              <w:t>Page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480" w:type="dxa"/>
            <w:vAlign w:val="bottom"/>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4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Financial Statements</w:t>
              </w:r>
            </w:hyperlink>
          </w:p>
        </w:tc>
        <w:tc>
          <w:tcPr>
            <w:tcW w:w="2440" w:type="dxa"/>
            <w:vAlign w:val="bottom"/>
            <w:gridSpan w:val="5"/>
          </w:tcPr>
          <w:p>
            <w:pPr>
              <w:spacing w:after="0"/>
              <w:rPr>
                <w:sz w:val="24"/>
                <w:szCs w:val="24"/>
                <w:color w:val="auto"/>
              </w:rPr>
            </w:pPr>
          </w:p>
        </w:tc>
        <w:tc>
          <w:tcPr>
            <w:tcW w:w="2220" w:type="dxa"/>
            <w:vAlign w:val="bottom"/>
            <w:tcBorders>
              <w:top w:val="single" w:sz="8" w:color="0000EE"/>
            </w:tcBorders>
            <w:gridSpan w:val="5"/>
          </w:tcPr>
          <w:p>
            <w:pPr>
              <w:spacing w:after="0"/>
              <w:rPr>
                <w:sz w:val="24"/>
                <w:szCs w:val="24"/>
                <w:color w:val="auto"/>
              </w:rPr>
            </w:pPr>
          </w:p>
        </w:tc>
        <w:tc>
          <w:tcPr>
            <w:tcW w:w="4120" w:type="dxa"/>
            <w:vAlign w:val="bottom"/>
            <w:gridSpan w:val="2"/>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Controls and Procedures</w:t>
              </w:r>
            </w:hyperlink>
          </w:p>
        </w:tc>
        <w:tc>
          <w:tcPr>
            <w:tcW w:w="8520" w:type="dxa"/>
            <w:vAlign w:val="bottom"/>
            <w:gridSpan w:val="11"/>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Special Note Regarding Forward-Looking Statements</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PART II – Other Information</w:t>
              </w:r>
            </w:hyperlink>
          </w:p>
        </w:tc>
        <w:tc>
          <w:tcPr>
            <w:tcW w:w="42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Legal Proceedings</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Risk Factors</w:t>
              </w:r>
            </w:hyperlink>
          </w:p>
        </w:tc>
        <w:tc>
          <w:tcPr>
            <w:tcW w:w="8960" w:type="dxa"/>
            <w:vAlign w:val="bottom"/>
            <w:gridSpan w:val="13"/>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0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Unregistered Sales of Equity Securities and Use of Proceeds</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Defaults Upon Senior Securities</w:t>
              </w:r>
            </w:hyperlink>
          </w:p>
        </w:tc>
        <w:tc>
          <w:tcPr>
            <w:tcW w:w="1960" w:type="dxa"/>
            <w:vAlign w:val="bottom"/>
            <w:tcBorders>
              <w:top w:val="single" w:sz="8" w:color="0000EE"/>
            </w:tcBorders>
            <w:gridSpan w:val="4"/>
          </w:tcPr>
          <w:p>
            <w:pPr>
              <w:spacing w:after="0"/>
              <w:rPr>
                <w:sz w:val="24"/>
                <w:szCs w:val="24"/>
                <w:color w:val="auto"/>
              </w:rPr>
            </w:pPr>
          </w:p>
        </w:tc>
        <w:tc>
          <w:tcPr>
            <w:tcW w:w="6020" w:type="dxa"/>
            <w:vAlign w:val="bottom"/>
            <w:gridSpan w:val="5"/>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6"/>
              </w:rPr>
            </w:pPr>
            <w:hyperlink w:anchor="page57">
              <w:r>
                <w:rPr>
                  <w:rFonts w:ascii="Times New Roman" w:cs="Times New Roman" w:eastAsia="Times New Roman" w:hAnsi="Times New Roman"/>
                  <w:sz w:val="18"/>
                  <w:szCs w:val="18"/>
                  <w:color w:val="0000EE"/>
                  <w:w w:val="96"/>
                </w:rPr>
                <w:t>Mining Safety Disclosures</w:t>
              </w:r>
            </w:hyperlink>
          </w:p>
        </w:tc>
        <w:tc>
          <w:tcPr>
            <w:tcW w:w="8380" w:type="dxa"/>
            <w:vAlign w:val="bottom"/>
            <w:gridSpan w:val="10"/>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Other Information</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6"/>
              </w:rPr>
            </w:pPr>
            <w:hyperlink w:anchor="page57">
              <w:r>
                <w:rPr>
                  <w:rFonts w:ascii="Times New Roman" w:cs="Times New Roman" w:eastAsia="Times New Roman" w:hAnsi="Times New Roman"/>
                  <w:sz w:val="18"/>
                  <w:szCs w:val="18"/>
                  <w:color w:val="0000EE"/>
                  <w:w w:val="96"/>
                </w:rPr>
                <w:t>Exhibits</w:t>
              </w:r>
            </w:hyperlink>
          </w:p>
        </w:tc>
        <w:tc>
          <w:tcPr>
            <w:tcW w:w="680" w:type="dxa"/>
            <w:vAlign w:val="bottom"/>
            <w:tcBorders>
              <w:top w:val="single" w:sz="8" w:color="0000EE"/>
            </w:tcBorders>
            <w:gridSpan w:val="2"/>
          </w:tcPr>
          <w:p>
            <w:pPr>
              <w:spacing w:after="0"/>
              <w:rPr>
                <w:sz w:val="24"/>
                <w:szCs w:val="24"/>
                <w:color w:val="auto"/>
              </w:rPr>
            </w:pPr>
          </w:p>
        </w:tc>
        <w:tc>
          <w:tcPr>
            <w:tcW w:w="8980" w:type="dxa"/>
            <w:vAlign w:val="bottom"/>
            <w:gridSpan w:val="14"/>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6060" w:type="dxa"/>
            <w:vAlign w:val="bottom"/>
            <w:gridSpan w:val="14"/>
          </w:tcPr>
          <w:p>
            <w:pPr>
              <w:ind w:left="48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at September 30, 2013 is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3"/>
              </w:rPr>
              <w:t>September 30,</w:t>
            </w:r>
          </w:p>
        </w:tc>
        <w:tc>
          <w:tcPr>
            <w:tcW w:w="4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2013</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ind w:left="500"/>
              <w:spacing w:after="0" w:line="142" w:lineRule="exact"/>
              <w:rPr>
                <w:sz w:val="20"/>
                <w:szCs w:val="20"/>
                <w:color w:val="auto"/>
              </w:rPr>
            </w:pPr>
            <w:r>
              <w:rPr>
                <w:rFonts w:ascii="Times New Roman" w:cs="Times New Roman" w:eastAsia="Times New Roman" w:hAnsi="Times New Roman"/>
                <w:sz w:val="14"/>
                <w:szCs w:val="14"/>
                <w:color w:val="auto"/>
                <w:w w:val="93"/>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40" w:type="dxa"/>
            <w:vAlign w:val="bottom"/>
            <w:gridSpan w:val="2"/>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139,653</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Finished goods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Work in progress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Raw materials</w:t>
            </w:r>
          </w:p>
        </w:tc>
        <w:tc>
          <w:tcPr>
            <w:tcW w:w="2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26,196</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Total inventories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58,393</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64,973</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Supplies, prepaid items and other:</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Prepaid insurance</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Precious metals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Supplies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Prepaid income taxes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supplies, prepaid items and other</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284,747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386,451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281,871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Noncurrent restricted investments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169,988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issuance costs, 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2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other assets</w:t>
            </w:r>
          </w:p>
        </w:tc>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299,959</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26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1,014,005</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576,612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at September 30, 2013 is 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3"/>
              </w:rPr>
              <w:t>September 30,</w:t>
            </w:r>
          </w:p>
        </w:tc>
        <w:tc>
          <w:tcPr>
            <w:tcW w:w="4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61"/>
        </w:trPr>
        <w:tc>
          <w:tcPr>
            <w:tcW w:w="9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2013</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r>
      <w:tr>
        <w:trPr>
          <w:trHeight w:val="142"/>
        </w:trPr>
        <w:tc>
          <w:tcPr>
            <w:tcW w:w="9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ind w:left="500"/>
              <w:spacing w:after="0" w:line="142" w:lineRule="exact"/>
              <w:rPr>
                <w:sz w:val="20"/>
                <w:szCs w:val="20"/>
                <w:color w:val="auto"/>
              </w:rPr>
            </w:pPr>
            <w:r>
              <w:rPr>
                <w:rFonts w:ascii="Times New Roman" w:cs="Times New Roman" w:eastAsia="Times New Roman" w:hAnsi="Times New Roman"/>
                <w:sz w:val="14"/>
                <w:szCs w:val="14"/>
                <w:color w:val="auto"/>
                <w:w w:val="93"/>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65,695</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68,333</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Short-term financing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34,698</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gain on insurance recoveries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140,330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117,083</w:t>
            </w:r>
          </w:p>
        </w:tc>
        <w:tc>
          <w:tcPr>
            <w:tcW w:w="100" w:type="dxa"/>
            <w:vAlign w:val="bottom"/>
          </w:tcPr>
          <w:p>
            <w:pPr>
              <w:spacing w:after="0"/>
              <w:rPr>
                <w:sz w:val="19"/>
                <w:szCs w:val="19"/>
                <w:color w:val="auto"/>
              </w:rPr>
            </w:pPr>
          </w:p>
        </w:tc>
      </w:tr>
      <w:tr>
        <w:trPr>
          <w:trHeight w:val="21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455,366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67,643</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accrued and other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16,369</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Series B 12% cumulative, convertible preferred stock, $100 par value; 20,000 shares issued and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Series D 6% cumulative, convertible Class C preferred stock, no par value; 1,000,000 shares issued and outstanding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r>
      <w:tr>
        <w:trPr>
          <w:trHeight w:val="202"/>
        </w:trPr>
        <w:tc>
          <w:tcPr>
            <w:tcW w:w="900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Common stock, $.10 par value; 75,000,000 shares authorized, 26,831,055 shares issued (26,731,360 at December 31,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9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19"/>
                <w:szCs w:val="19"/>
                <w:color w:val="auto"/>
              </w:rPr>
            </w:pPr>
          </w:p>
        </w:tc>
      </w:tr>
      <w:tr>
        <w:trPr>
          <w:trHeight w:val="217"/>
        </w:trPr>
        <w:tc>
          <w:tcPr>
            <w:tcW w:w="9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165,006</w:t>
            </w:r>
          </w:p>
        </w:tc>
        <w:tc>
          <w:tcPr>
            <w:tcW w:w="100" w:type="dxa"/>
            <w:vAlign w:val="bottom"/>
            <w:shd w:val="clear" w:color="auto" w:fill="CCEEFF"/>
          </w:tcPr>
          <w:p>
            <w:pPr>
              <w:spacing w:after="0"/>
              <w:rPr>
                <w:sz w:val="18"/>
                <w:szCs w:val="18"/>
                <w:color w:val="auto"/>
              </w:rPr>
            </w:pPr>
          </w:p>
        </w:tc>
      </w:tr>
      <w:tr>
        <w:trPr>
          <w:trHeight w:val="223"/>
        </w:trPr>
        <w:tc>
          <w:tcPr>
            <w:tcW w:w="9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229,511</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212,192</w:t>
            </w:r>
          </w:p>
        </w:tc>
        <w:tc>
          <w:tcPr>
            <w:tcW w:w="100" w:type="dxa"/>
            <w:vAlign w:val="bottom"/>
          </w:tcPr>
          <w:p>
            <w:pPr>
              <w:spacing w:after="0"/>
              <w:rPr>
                <w:sz w:val="19"/>
                <w:szCs w:val="19"/>
                <w:color w:val="auto"/>
              </w:rPr>
            </w:pPr>
          </w:p>
        </w:tc>
      </w:tr>
      <w:tr>
        <w:trPr>
          <w:trHeight w:val="216"/>
        </w:trPr>
        <w:tc>
          <w:tcPr>
            <w:tcW w:w="9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402,650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382,871</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Common stock, 4,320,462 shares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100" w:type="dxa"/>
            <w:vAlign w:val="bottom"/>
            <w:shd w:val="clear" w:color="auto" w:fill="CCEEFF"/>
          </w:tcPr>
          <w:p>
            <w:pPr>
              <w:spacing w:after="0"/>
              <w:rPr>
                <w:sz w:val="18"/>
                <w:szCs w:val="18"/>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374,276</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354,497</w:t>
            </w:r>
          </w:p>
        </w:tc>
        <w:tc>
          <w:tcPr>
            <w:tcW w:w="100" w:type="dxa"/>
            <w:vAlign w:val="bottom"/>
          </w:tcPr>
          <w:p>
            <w:pPr>
              <w:spacing w:after="0"/>
              <w:rPr>
                <w:sz w:val="20"/>
                <w:szCs w:val="20"/>
                <w:color w:val="auto"/>
              </w:rPr>
            </w:pPr>
          </w:p>
        </w:tc>
      </w:tr>
      <w:tr>
        <w:trPr>
          <w:trHeight w:val="216"/>
        </w:trPr>
        <w:tc>
          <w:tcPr>
            <w:tcW w:w="9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1,014,005</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576,612</w:t>
            </w:r>
          </w:p>
        </w:tc>
        <w:tc>
          <w:tcPr>
            <w:tcW w:w="100" w:type="dxa"/>
            <w:vAlign w:val="bottom"/>
            <w:shd w:val="clear" w:color="auto" w:fill="CCEEFF"/>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and Three Months Ended September 30,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color w:val="auto"/>
              </w:rPr>
              <w:t>Nine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color w:val="auto"/>
              </w:rPr>
              <w:t>Three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1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(In Thousands, Except Per Share Amounts)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530,252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581,894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177,350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182,374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417,262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438,528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128,441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149,187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112,990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143,366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48,909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74,685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65,988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(recoveries of) losses on accounts receivable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other expense (income),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Income from continuing operations before provisions for income taxes and equity in earnings of affiliate</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affiliate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Dividends on preferred stocks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17,319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46,744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10,260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6,708</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common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24"/>
              <w:spacing w:after="0"/>
              <w:rPr>
                <w:sz w:val="20"/>
                <w:szCs w:val="20"/>
                <w:color w:val="auto"/>
              </w:rPr>
            </w:pPr>
            <w:r>
              <w:rPr>
                <w:rFonts w:ascii="Times New Roman" w:cs="Times New Roman" w:eastAsia="Times New Roman" w:hAnsi="Times New Roman"/>
                <w:sz w:val="14"/>
                <w:szCs w:val="14"/>
                <w:color w:val="auto"/>
                <w:w w:val="97"/>
              </w:rPr>
              <w:t>Non-</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Common</w:t>
            </w:r>
          </w:p>
        </w:tc>
        <w:tc>
          <w:tcPr>
            <w:tcW w:w="3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Redeemable</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Common</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 in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6"/>
              </w:rPr>
              <w:t>Treasury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color w:val="auto"/>
                <w:w w:val="95"/>
              </w:rPr>
              <w:t>Preferred</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Stock Par</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Excess of</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8"/>
              </w:rPr>
              <w:t>Stock-</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Shares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4"/>
              <w:spacing w:after="0"/>
              <w:rPr>
                <w:sz w:val="20"/>
                <w:szCs w:val="20"/>
                <w:color w:val="auto"/>
              </w:rPr>
            </w:pPr>
            <w:r>
              <w:rPr>
                <w:rFonts w:ascii="Times New Roman" w:cs="Times New Roman" w:eastAsia="Times New Roman" w:hAnsi="Times New Roman"/>
                <w:sz w:val="14"/>
                <w:szCs w:val="14"/>
                <w:color w:val="auto"/>
                <w:w w:val="93"/>
              </w:rPr>
              <w:t>Stock</w:t>
            </w:r>
          </w:p>
        </w:tc>
        <w:tc>
          <w:tcPr>
            <w:tcW w:w="3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9"/>
              </w:rPr>
              <w:t>Value</w:t>
            </w:r>
          </w:p>
        </w:tc>
        <w:tc>
          <w:tcPr>
            <w:tcW w:w="3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Par Value</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Common</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$ 2,673</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$165,006</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$212,192</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(28,374)</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17,619</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on preferred stocks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1,184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855</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Excess income tax benefit associated with 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411</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$ 2,683</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167,456</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1"/>
              </w:rPr>
              <w:t>$ 229,511</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(28,374)</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374,276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8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rPr>
              <w:t>2013</w:t>
            </w:r>
          </w:p>
        </w:tc>
        <w:tc>
          <w:tcPr>
            <w:tcW w:w="240" w:type="dxa"/>
            <w:vAlign w:val="bottom"/>
          </w:tcPr>
          <w:p>
            <w:pPr>
              <w:spacing w:after="0"/>
              <w:rPr>
                <w:sz w:val="14"/>
                <w:szCs w:val="14"/>
                <w:color w:val="auto"/>
              </w:rPr>
            </w:pPr>
          </w:p>
        </w:tc>
        <w:tc>
          <w:tcPr>
            <w:tcW w:w="84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20" w:type="dxa"/>
            <w:vAlign w:val="bottom"/>
            <w:tcBorders>
              <w:top w:val="single" w:sz="8" w:color="auto"/>
            </w:tcBorders>
            <w:gridSpan w:val="4"/>
          </w:tcPr>
          <w:p>
            <w:pPr>
              <w:jc w:val="right"/>
              <w:ind w:right="412"/>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continuing operating activities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17,619</w:t>
            </w:r>
          </w:p>
        </w:tc>
        <w:tc>
          <w:tcPr>
            <w:tcW w:w="2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$ 47,044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continuing operating activities: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depletion and amortization of property, plant and equipment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2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provided (used) by changes in assets and liabilities (net of effects of discontinued operations):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receivable</w:t>
            </w:r>
          </w:p>
        </w:tc>
        <w:tc>
          <w:tcPr>
            <w:tcW w:w="2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Inventories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2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Prepaid and accrued income taxes</w:t>
            </w:r>
          </w:p>
        </w:tc>
        <w:tc>
          <w:tcPr>
            <w:tcW w:w="2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(9,459)</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supplies, prepaid items and other</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2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2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(7,141)</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Customer deposits</w:t>
            </w:r>
          </w:p>
        </w:tc>
        <w:tc>
          <w:tcPr>
            <w:tcW w:w="2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(3,693)</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gain on insurance recoveries</w:t>
            </w:r>
          </w:p>
        </w:tc>
        <w:tc>
          <w:tcPr>
            <w:tcW w:w="10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45,278</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continuing investing activities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2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(113,727)</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Acquisition of working interests in natural gas properties</w:t>
            </w:r>
          </w:p>
        </w:tc>
        <w:tc>
          <w:tcPr>
            <w:tcW w:w="2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(9,205)</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property insurance recoveries associated with property, plant and equipment</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0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Deposits of current and noncurrent restricted cash</w:t>
            </w:r>
          </w:p>
        </w:tc>
        <w:tc>
          <w:tcPr>
            <w:tcW w:w="2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(110,015)</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noncurrent restricted investments</w:t>
            </w:r>
          </w:p>
        </w:tc>
        <w:tc>
          <w:tcPr>
            <w:tcW w:w="2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(169,988)</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on contractual obligations—carbon credits</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(818)</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continuing investing activities</w:t>
            </w:r>
          </w:p>
        </w:tc>
        <w:tc>
          <w:tcPr>
            <w:tcW w:w="10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(378,643)</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(51,996)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2013 and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2013</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right"/>
              <w:ind w:right="373"/>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continuing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senior secured notes, net of pay off of secured term loan and fees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350,957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other long-term debt, net of fees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39,825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on other long-term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on short-term financing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revolving debt facility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on revolving debt facility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(209,238)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on loans secured by cash value of life insurance policies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Excess income tax benefit associated with stock-based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Acquisition of redeemable preferred stock</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Dividends paid on preferred stocks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(used) by continuing financing activities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375,143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of discontinued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cash flows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139,653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133,773</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income taxes, net of refunds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Insurance claims receivable associated with property, plant and equipment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 accounts payable and long-term debt associated with additions of property, plant and equipment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Long-term debt associated with additions of capitalized internal-use software and software development (included in other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Secured term loan extinguished</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66,563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Debt issuance costs incurred associated with senior secured notes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6,498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issuance costs written off associated with secured term loan</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Prepayment premium incurred associated with secured term loan</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Summary of Significant Accounting Policies</w:t>
      </w:r>
    </w:p>
    <w:p>
      <w:pPr>
        <w:spacing w:after="0" w:line="9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For a complete discussion of our significant accounting policies, refer to the notes to our audited consolidated financial statements included in our Form 10-K for the year ended December 31, 2012 (“2012 Form 10-K”), filed with the Securities and Exchange Commission (“SEC”) on February 28, 2013.</w:t>
      </w:r>
    </w:p>
    <w:p>
      <w:pPr>
        <w:spacing w:after="0" w:line="11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Basis of Consolidation and Presentation—</w:t>
      </w:r>
      <w:r>
        <w:rPr>
          <w:rFonts w:ascii="Times New Roman" w:cs="Times New Roman" w:eastAsia="Times New Roman" w:hAnsi="Times New Roman"/>
          <w:sz w:val="18"/>
          <w:szCs w:val="18"/>
          <w:color w:val="auto"/>
        </w:rPr>
        <w:t>LSB Industries, Inc. (“LSB”) and its subsidiaries (the “Company”, “We”, “Us”, or “Our”) are consolidated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accompanying condensed consolidated financial statements. We are involved in manufacturing and marketing operations. We are primarily engaged in the manufacture and sale of chemical products (the “Chemical Business”) and the manufacture and sale of geothermal and water source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Entities that are 20% to 50% owned and for which we have significant influence are accounted for on the equity method. All material intercompany accounts and transactions have been eliminated.</w:t>
      </w:r>
    </w:p>
    <w:p>
      <w:pPr>
        <w:spacing w:after="0" w:line="13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of the Company as of September 30, 2013 and for the nine and three-month periods ended September 30, 2013 and 2012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certain downtime events associated with our chemical facilities,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2012 Form 10-K.</w:t>
      </w:r>
    </w:p>
    <w:p>
      <w:pPr>
        <w:spacing w:after="0" w:line="134"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b w:val="1"/>
          <w:bCs w:val="1"/>
          <w:color w:val="auto"/>
        </w:rPr>
        <w:t>Reclassifications—</w:t>
      </w:r>
      <w:r>
        <w:rPr>
          <w:rFonts w:ascii="Times New Roman" w:cs="Times New Roman" w:eastAsia="Times New Roman" w:hAnsi="Times New Roman"/>
          <w:sz w:val="16"/>
          <w:szCs w:val="16"/>
          <w:color w:val="auto"/>
        </w:rPr>
        <w:t>Reclassifications have been made in our condensed consolidated balance sheet at December 31, 2012 to conform to our condensed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consolidated balance sheet at September 30, 2013, which reclassifications combined various current asset line items and combined various noncurrent other asset line items. These reclassifications did not impact the total amount of current assets or noncurrent other assets at December 31, 2012. In addition, reclassifications have been made in our condensed consolidated statement of cash flows for the nine months ended September 30, 2012 to conform to our condensed consolidated statement of cash flows for the nine months ended September 30, 2013, which reclassifications combined various operating activities line items. These reclassifications did not impact the total amount of net cash provided by continuing operating activities for the nine months ended September 30, 2012.</w:t>
      </w:r>
    </w:p>
    <w:p>
      <w:pPr>
        <w:spacing w:after="0" w:line="11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7"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Investments, which consist of highly liquid investments with original maturities of three months or less, are considered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At September, 30, 2013, the cash and cash equivalents balance exceeded the FDIC-insured limits by approximately $40 million. All of these cash balances were held by financial institutions within the U.S.</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Precious Metals—</w:t>
      </w:r>
      <w:r>
        <w:rPr>
          <w:rFonts w:ascii="Times New Roman" w:cs="Times New Roman" w:eastAsia="Times New Roman" w:hAnsi="Times New Roman"/>
          <w:sz w:val="18"/>
          <w:szCs w:val="18"/>
          <w:color w:val="auto"/>
        </w:rPr>
        <w:t>Precious metals are used as a catalyst in the Chemical Business manufacturing process. Precious metals are carried at cost, with cost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using the first-in, first-out (“FIFO”) basis. Because some of the catalyst consumed in the production process cannot be readily recovered and the amount and timing of recoveries are not predictable, we follow the practice of expensing precious metals as they are consumed. Occasionally, during major maintenance or capital projects, we may be able to perform procedures to recover precious metals (previously expensed) which have accumulated over time within the manufacturing equipment. Recoveries of precious metals are recognized at historical FIFO costs. When we accumulate precious metals in excess of our production requirements, we may sell a portion of the excess metals.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Summary of Significant Accounting Policies (continued)</w:t>
      </w:r>
    </w:p>
    <w:p>
      <w:pPr>
        <w:spacing w:after="0" w:line="15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Capitalized Interest—</w:t>
      </w:r>
      <w:r>
        <w:rPr>
          <w:rFonts w:ascii="Times New Roman" w:cs="Times New Roman" w:eastAsia="Times New Roman" w:hAnsi="Times New Roman"/>
          <w:sz w:val="18"/>
          <w:szCs w:val="18"/>
          <w:color w:val="auto"/>
        </w:rPr>
        <w:t>Interest cost on borrowings incurred during a significant construction or development project is capitalized primarily in property, plant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(“PP&amp;E”). Capitalized interest is added to the underlying asset and amortized over the estimated useful lives of the assets.</w:t>
      </w:r>
    </w:p>
    <w:p>
      <w:pPr>
        <w:spacing w:after="0" w:line="11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Noncurrent Restricted Cash—</w:t>
      </w:r>
      <w:r>
        <w:rPr>
          <w:rFonts w:ascii="Times New Roman" w:cs="Times New Roman" w:eastAsia="Times New Roman" w:hAnsi="Times New Roman"/>
          <w:sz w:val="18"/>
          <w:szCs w:val="18"/>
          <w:color w:val="auto"/>
        </w:rPr>
        <w:t>Noncurrent restricted cash consists of cash and cash equivalent balances that are designated by us for specific purposes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projects. All of these cash balances were held by financial institutions within the U.S.</w:t>
      </w:r>
    </w:p>
    <w:p>
      <w:pPr>
        <w:spacing w:after="0" w:line="11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Noncurrent Restricted Investments—</w:t>
      </w:r>
      <w:r>
        <w:rPr>
          <w:rFonts w:ascii="Times New Roman" w:cs="Times New Roman" w:eastAsia="Times New Roman" w:hAnsi="Times New Roman"/>
          <w:sz w:val="18"/>
          <w:szCs w:val="18"/>
          <w:color w:val="auto"/>
        </w:rPr>
        <w:t>Noncurrent restricted investments consist of investment balances that are designated by us for specific purposes relating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capital projects. At September 30, 2013, the balance includes investments of $130 million of U.S. Treasury bills with an original maturity of 13 weeks and $40 million of certificates of deposits with an original maturity no longer than approximately 26 weeks. The investments in these U.S. Treasury bills are classified as held-to-maturity and are carried at amortized cost, which approximates fair value. The investments in certificates of deposits are carried at cost, which approximates fair value. The investments in certificates of deposits exceeded the FDIC-insured limits by approximately $40 million. All of these investments were held by financial institutions within the U.S.</w:t>
      </w:r>
    </w:p>
    <w:p>
      <w:pPr>
        <w:spacing w:after="0" w:line="13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b w:val="1"/>
          <w:bCs w:val="1"/>
          <w:color w:val="auto"/>
        </w:rPr>
        <w:t>Debt Issuance Costs—</w:t>
      </w:r>
      <w:r>
        <w:rPr>
          <w:rFonts w:ascii="Times New Roman" w:cs="Times New Roman" w:eastAsia="Times New Roman" w:hAnsi="Times New Roman"/>
          <w:sz w:val="18"/>
          <w:szCs w:val="18"/>
          <w:color w:val="auto"/>
        </w:rPr>
        <w:t>Debt issuance costs are amortized over the term of the associated debt instrument. In general, if debt is extinguished prior to maturity,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debt issuance costs, if any, are written off and included in the gain or loss on extinguishment of debt.</w:t>
      </w:r>
    </w:p>
    <w:p>
      <w:pPr>
        <w:spacing w:after="0" w:line="116"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8"/>
          <w:szCs w:val="18"/>
          <w:b w:val="1"/>
          <w:bCs w:val="1"/>
          <w:color w:val="auto"/>
        </w:rPr>
        <w:t>Recognition of Insurance Recoveries—</w:t>
      </w:r>
      <w:r>
        <w:rPr>
          <w:rFonts w:ascii="Times New Roman" w:cs="Times New Roman" w:eastAsia="Times New Roman" w:hAnsi="Times New Roman"/>
          <w:sz w:val="18"/>
          <w:szCs w:val="18"/>
          <w:color w:val="auto"/>
        </w:rPr>
        <w:t>If an insurance claim relates to a recovery of our losses, we recognize the recovery when it is probable and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estimable. If our insurance claim relates to a contingent gain, we recognize the recovery when it is realized or realizable and earned. Amounts recoverable from our insurance carriers, if any, are included in accounts receivable.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Income Per Common Share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share:</w:t>
      </w:r>
    </w:p>
    <w:p>
      <w:pPr>
        <w:spacing w:after="0" w:line="1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color w:val="auto"/>
              </w:rPr>
              <w:t>Nine Months Ended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6"/>
          </w:tcPr>
          <w:p>
            <w:pPr>
              <w:ind w:left="52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color w:val="auto"/>
              </w:rPr>
              <w:t>2013</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2012</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color w:val="auto"/>
              </w:rPr>
              <w:t>2013</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17,619</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47,044</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10,260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Dividends on Series B Preferred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Dividends on Series D Preferred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dividends on preferred stocks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Numerator for basic net income per common share—net</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applicable to common stock</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10,260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880"/>
              <w:spacing w:after="0" w:line="203" w:lineRule="exact"/>
              <w:rPr>
                <w:sz w:val="20"/>
                <w:szCs w:val="20"/>
                <w:color w:val="auto"/>
              </w:rPr>
            </w:pPr>
            <w:r>
              <w:rPr>
                <w:rFonts w:ascii="Times New Roman" w:cs="Times New Roman" w:eastAsia="Times New Roman" w:hAnsi="Times New Roman"/>
                <w:sz w:val="18"/>
                <w:szCs w:val="18"/>
                <w:color w:val="auto"/>
              </w:rPr>
              <w:t>Dividends on preferred stocks assumed to be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converted, if dilutive</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Numerator for diluted net income per common share</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17,619</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Denominator for basic net income per common share—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weighted-average shares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22,446,557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3"/>
              </w:rPr>
              <w:t>22,346,112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3"/>
              </w:rPr>
              <w:t>22,477,974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22,373,731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Convertible preferred stocks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917,119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916,666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223,352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202,645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1,140,018</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1,182,084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1,119,311</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Denominator for diluted net income per common share—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adjusted weighted-average shares and assumed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conversions</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23,586,575</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23,528,196</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23,597,285</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23,551,738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weighted-average shares of securities were not included in the computation of diluted net income per common share as their effect would have been antidilutive:</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color w:val="auto"/>
                <w:w w:val="95"/>
              </w:rPr>
              <w:t>Nine Months Ended</w:t>
            </w:r>
          </w:p>
        </w:tc>
        <w:tc>
          <w:tcPr>
            <w:tcW w:w="16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w w:val="96"/>
              </w:rPr>
              <w:t>Three Months Ended</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6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166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4560" w:type="dxa"/>
            <w:vAlign w:val="bottom"/>
            <w:gridSpan w:val="2"/>
          </w:tcPr>
          <w:p>
            <w:pPr>
              <w:jc w:val="right"/>
              <w:ind w:right="126"/>
              <w:spacing w:after="0"/>
              <w:rPr>
                <w:sz w:val="20"/>
                <w:szCs w:val="20"/>
                <w:color w:val="auto"/>
              </w:rPr>
            </w:pPr>
            <w:r>
              <w:rPr>
                <w:rFonts w:ascii="Times New Roman" w:cs="Times New Roman" w:eastAsia="Times New Roman" w:hAnsi="Times New Roman"/>
                <w:sz w:val="14"/>
                <w:szCs w:val="14"/>
                <w:color w:val="auto"/>
              </w:rPr>
              <w:t>2013</w:t>
            </w:r>
          </w:p>
        </w:tc>
        <w:tc>
          <w:tcPr>
            <w:tcW w:w="92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2012</w:t>
            </w:r>
          </w:p>
        </w:tc>
        <w:tc>
          <w:tcPr>
            <w:tcW w:w="300" w:type="dxa"/>
            <w:vAlign w:val="bottom"/>
          </w:tcPr>
          <w:p>
            <w:pPr>
              <w:spacing w:after="0"/>
              <w:rPr>
                <w:sz w:val="14"/>
                <w:szCs w:val="14"/>
                <w:color w:val="auto"/>
              </w:rPr>
            </w:pPr>
          </w:p>
        </w:tc>
        <w:tc>
          <w:tcPr>
            <w:tcW w:w="64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2013</w:t>
            </w:r>
          </w:p>
        </w:tc>
        <w:tc>
          <w:tcPr>
            <w:tcW w:w="300" w:type="dxa"/>
            <w:vAlign w:val="bottom"/>
          </w:tcPr>
          <w:p>
            <w:pPr>
              <w:spacing w:after="0"/>
              <w:rPr>
                <w:sz w:val="14"/>
                <w:szCs w:val="14"/>
                <w:color w:val="auto"/>
              </w:rPr>
            </w:pPr>
          </w:p>
        </w:tc>
        <w:tc>
          <w:tcPr>
            <w:tcW w:w="620" w:type="dxa"/>
            <w:vAlign w:val="bottom"/>
          </w:tcPr>
          <w:p>
            <w:pPr>
              <w:jc w:val="right"/>
              <w:ind w:right="102"/>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9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254,000</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920" w:type="dxa"/>
            <w:vAlign w:val="bottom"/>
            <w:vMerge w:val="restart"/>
          </w:tcPr>
          <w:p>
            <w:pPr>
              <w:jc w:val="right"/>
              <w:ind w:right="1562"/>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5" w:right="5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Change in Accounting Estimate</w:t>
      </w:r>
    </w:p>
    <w:p>
      <w:pPr>
        <w:spacing w:after="0" w:line="9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As discussed in Note 13- Property and Business Interruption Insurance Claims and Recoveries, we have filed certain business interruption claims with our insurance carriers. For financial reporting purposes, management is required to make estimates and assumptions relating to our business interruption insurance claims and associated recoveries. These estimates and assumptions include determining the amount of extra expenses that have been incurred during the business interruption period and that are at least probable of approval by our insurance carriers for an insurance recovery. Based primarily on negotiations with our insurance carriers concerning our insurance claims, during the three months ended September 30, 2013, we changed our estimates and recognized a business interruption insurance recovery of approximately $2.6 million as a reduction of cost of sales associated with a change in accounting estimate. For three months ended September 30, 2013, the effect of this change in accounting estimate increased net income by $1.6 million (basic and diluted net income per share by $.07).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Accounts Receivable,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accounts receivables, net, consists of the following:</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September 30,</w:t>
            </w: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December 31,</w:t>
            </w:r>
          </w:p>
        </w:tc>
      </w:t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color w:val="auto"/>
              </w:rPr>
              <w:t>2013</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color w:val="auto"/>
              </w:rPr>
              <w:t>2012</w:t>
            </w:r>
          </w:p>
        </w:tc>
        <w:tc>
          <w:tcPr>
            <w:tcW w:w="120" w:type="dxa"/>
            <w:vAlign w:val="bottom"/>
          </w:tcPr>
          <w:p>
            <w:pPr>
              <w:spacing w:after="0"/>
              <w:rPr>
                <w:sz w:val="14"/>
                <w:szCs w:val="14"/>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4"/>
          </w:tcPr>
          <w:p>
            <w:pPr>
              <w:jc w:val="right"/>
              <w:ind w:right="38"/>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80,411</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CEEFF"/>
          </w:tcPr>
          <w:p>
            <w:pPr>
              <w:spacing w:after="0"/>
              <w:rPr>
                <w:sz w:val="18"/>
                <w:szCs w:val="18"/>
                <w:color w:val="auto"/>
              </w:rPr>
            </w:pPr>
          </w:p>
        </w:tc>
      </w:tr>
      <w:tr>
        <w:trPr>
          <w:trHeight w:val="222"/>
        </w:trPr>
        <w:tc>
          <w:tcPr>
            <w:tcW w:w="6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83,437</w:t>
            </w:r>
          </w:p>
        </w:tc>
        <w:tc>
          <w:tcPr>
            <w:tcW w:w="120" w:type="dxa"/>
            <w:vAlign w:val="bottom"/>
          </w:tcPr>
          <w:p>
            <w:pPr>
              <w:spacing w:after="0"/>
              <w:rPr>
                <w:sz w:val="19"/>
                <w:szCs w:val="19"/>
                <w:color w:val="auto"/>
              </w:rPr>
            </w:pPr>
          </w:p>
        </w:tc>
      </w:tr>
      <w:tr>
        <w:trPr>
          <w:trHeight w:val="21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w:t>
            </w:r>
          </w:p>
        </w:tc>
      </w:tr>
      <w:tr>
        <w:trPr>
          <w:trHeight w:val="223"/>
        </w:trPr>
        <w:tc>
          <w:tcPr>
            <w:tcW w:w="6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82,801</w:t>
            </w:r>
          </w:p>
        </w:tc>
        <w:tc>
          <w:tcPr>
            <w:tcW w:w="12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One of our subsidiaries, El Dorado Chemical Company (“EDC”), is party to an agreement with Bank of America, N.A. (the “Bank”) to sell our accounts receivables generated from product sales to a certain customer. We agreed to enter into this agreement as a courtesy to this customer. The term of this agreement matures in August 2014, with renewal options, but either party has an option to terminate the agreement pursuant to the terms of the agreement. In addition, we amended our sales agreement with the customer to offer extended payment terms under the condition that they pay an extended payment terms premium equal to the discount taken by the Bank when the accounts receivables are sold. Thus, there is no gain or loss from the sale of these receivables to the Bank. We have no continuing involvement or risks associated with the transferred accounts receivable. Pursuant to the terms of the agreement, EDC is to receive payment from the Bank no later than one business day after the Bank’s acceptance of EDC’s offer to sell the accounts receivables. As of September 30, 2013, EDC has been paid by the Bank for the accounts receivables sold to the Bank. We account for these transfers as sales under ASC 860 – Transfers and Servicing.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Inventories</w:t>
      </w:r>
    </w:p>
    <w:p>
      <w:pPr>
        <w:spacing w:after="0" w:line="92"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At September 30, 2013 and December 31, 2012, inventory reserves for certain slow-moving inventory items (Climate Control products) were $1,577,000 and $1,818,000, respectively. In addition, because cost exceeded the net realizable value, inventory reserves for certain nitrogen-based inventories provided by our Chemical Business were $1,831,000 and $975,000 at September 30, 2013 and December 31, 2012,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inventory reserves are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6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color w:val="auto"/>
              </w:rPr>
              <w:t>Nine Months Ended</w:t>
            </w:r>
          </w:p>
        </w:tc>
        <w:tc>
          <w:tcPr>
            <w:tcW w:w="180" w:type="dxa"/>
            <w:vAlign w:val="bottom"/>
          </w:tcPr>
          <w:p>
            <w:pPr>
              <w:spacing w:after="0"/>
              <w:rPr>
                <w:sz w:val="13"/>
                <w:szCs w:val="13"/>
                <w:color w:val="auto"/>
              </w:rPr>
            </w:pPr>
          </w:p>
        </w:tc>
        <w:tc>
          <w:tcPr>
            <w:tcW w:w="150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49"/>
        </w:trPr>
        <w:tc>
          <w:tcPr>
            <w:tcW w:w="7200" w:type="dxa"/>
            <w:vAlign w:val="bottom"/>
          </w:tcPr>
          <w:p>
            <w:pPr>
              <w:spacing w:after="0"/>
              <w:rPr>
                <w:sz w:val="12"/>
                <w:szCs w:val="12"/>
                <w:color w:val="auto"/>
              </w:rPr>
            </w:pPr>
          </w:p>
        </w:tc>
        <w:tc>
          <w:tcPr>
            <w:tcW w:w="1620" w:type="dxa"/>
            <w:vAlign w:val="bottom"/>
            <w:gridSpan w:val="5"/>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2"/>
                <w:szCs w:val="12"/>
                <w:color w:val="auto"/>
              </w:rPr>
            </w:pPr>
          </w:p>
        </w:tc>
        <w:tc>
          <w:tcPr>
            <w:tcW w:w="1500" w:type="dxa"/>
            <w:vAlign w:val="bottom"/>
            <w:gridSpan w:val="5"/>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September 30,</w:t>
            </w:r>
          </w:p>
        </w:tc>
      </w:tr>
      <w:tr>
        <w:trPr>
          <w:trHeight w:val="161"/>
        </w:trPr>
        <w:tc>
          <w:tcPr>
            <w:tcW w:w="7200" w:type="dxa"/>
            <w:vAlign w:val="bottom"/>
          </w:tcPr>
          <w:p>
            <w:pPr>
              <w:spacing w:after="0"/>
              <w:rPr>
                <w:sz w:val="14"/>
                <w:szCs w:val="14"/>
                <w:color w:val="auto"/>
              </w:rPr>
            </w:pPr>
          </w:p>
        </w:tc>
        <w:tc>
          <w:tcPr>
            <w:tcW w:w="5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color w:val="auto"/>
              </w:rPr>
              <w:t>2013</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2012</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2013</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5"/>
          </w:tcPr>
          <w:p>
            <w:pPr>
              <w:jc w:val="right"/>
              <w:ind w:right="50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$2,793</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$1,783</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$2,509</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$1,737</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Provisions for losses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2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337</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899</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and disposals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3,408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3,408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2,027</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losses is included in cost of sales in the accompanying condensed consolidated statements of income.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Current and Noncurrent Accrued and Other Liabilities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and noncurrent accrued and other liabilities consist of the following:</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260" w:type="dxa"/>
            <w:vAlign w:val="bottom"/>
            <w:gridSpan w:val="3"/>
          </w:tcPr>
          <w:p>
            <w:pPr>
              <w:ind w:left="1460"/>
              <w:spacing w:after="0"/>
              <w:rPr>
                <w:sz w:val="20"/>
                <w:szCs w:val="20"/>
                <w:color w:val="auto"/>
              </w:rPr>
            </w:pPr>
            <w:r>
              <w:rPr>
                <w:rFonts w:ascii="Times New Roman" w:cs="Times New Roman" w:eastAsia="Times New Roman" w:hAnsi="Times New Roman"/>
                <w:sz w:val="14"/>
                <w:szCs w:val="14"/>
                <w:color w:val="auto"/>
                <w:w w:val="96"/>
              </w:rPr>
              <w:t>September 30,</w:t>
            </w:r>
          </w:p>
        </w:tc>
        <w:tc>
          <w:tcPr>
            <w:tcW w:w="1500" w:type="dxa"/>
            <w:vAlign w:val="bottom"/>
            <w:gridSpan w:val="4"/>
          </w:tcPr>
          <w:p>
            <w:pPr>
              <w:ind w:left="640"/>
              <w:spacing w:after="0"/>
              <w:rPr>
                <w:sz w:val="20"/>
                <w:szCs w:val="20"/>
                <w:color w:val="auto"/>
              </w:rPr>
            </w:pPr>
            <w:r>
              <w:rPr>
                <w:rFonts w:ascii="Times New Roman" w:cs="Times New Roman" w:eastAsia="Times New Roman" w:hAnsi="Times New Roman"/>
                <w:sz w:val="14"/>
                <w:szCs w:val="14"/>
                <w:color w:val="auto"/>
              </w:rPr>
              <w:t>December 31,</w:t>
            </w: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2013</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on extended warranty contracts</w:t>
            </w:r>
          </w:p>
        </w:tc>
        <w:tc>
          <w:tcPr>
            <w:tcW w:w="16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costs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21,710</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Less noncurrent portion</w:t>
            </w:r>
          </w:p>
        </w:tc>
        <w:tc>
          <w:tcPr>
            <w:tcW w:w="1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accrued and other liabilities</w:t>
            </w:r>
          </w:p>
        </w:tc>
        <w:tc>
          <w:tcPr>
            <w:tcW w:w="16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36,148</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Accrued Warranty Costs</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Climate Control Business sells equipment that has an expected life, under normal circumstances and use, that extends over several years. As such, we provide warranties after equipment shipment/start-up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product warranty obligation (accrued warranty costs) are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0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color w:val="auto"/>
              </w:rPr>
              <w:t>Nine Months Ended</w:t>
            </w:r>
          </w:p>
        </w:tc>
        <w:tc>
          <w:tcPr>
            <w:tcW w:w="17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49"/>
        </w:trPr>
        <w:tc>
          <w:tcPr>
            <w:tcW w:w="6720" w:type="dxa"/>
            <w:vAlign w:val="bottom"/>
          </w:tcPr>
          <w:p>
            <w:pPr>
              <w:spacing w:after="0"/>
              <w:rPr>
                <w:sz w:val="12"/>
                <w:szCs w:val="12"/>
                <w:color w:val="auto"/>
              </w:rPr>
            </w:pPr>
          </w:p>
        </w:tc>
        <w:tc>
          <w:tcPr>
            <w:tcW w:w="2080" w:type="dxa"/>
            <w:vAlign w:val="bottom"/>
            <w:gridSpan w:val="5"/>
          </w:tcPr>
          <w:p>
            <w:pPr>
              <w:jc w:val="right"/>
              <w:ind w:right="90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700" w:type="dxa"/>
            <w:vAlign w:val="bottom"/>
            <w:gridSpan w:val="5"/>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September 30,</w:t>
            </w:r>
          </w:p>
        </w:tc>
      </w:tr>
      <w:tr>
        <w:trPr>
          <w:trHeight w:val="161"/>
        </w:trPr>
        <w:tc>
          <w:tcPr>
            <w:tcW w:w="6720" w:type="dxa"/>
            <w:vAlign w:val="bottom"/>
          </w:tcPr>
          <w:p>
            <w:pPr>
              <w:spacing w:after="0"/>
              <w:rPr>
                <w:sz w:val="14"/>
                <w:szCs w:val="14"/>
                <w:color w:val="auto"/>
              </w:rPr>
            </w:pPr>
          </w:p>
        </w:tc>
        <w:tc>
          <w:tcPr>
            <w:tcW w:w="5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color w:val="auto"/>
              </w:rPr>
              <w:t>2013</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4"/>
                <w:szCs w:val="14"/>
                <w:color w:val="auto"/>
              </w:rPr>
              <w:t>2012</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color w:val="auto"/>
              </w:rPr>
              <w:t>2013</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r>
      <w:tr>
        <w:trPr>
          <w:trHeight w:val="142"/>
        </w:trPr>
        <w:tc>
          <w:tcPr>
            <w:tcW w:w="6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4"/>
          </w:tcPr>
          <w:p>
            <w:pPr>
              <w:jc w:val="right"/>
              <w:ind w:right="66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$ 6,172</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$ 5,370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$ 6,944</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$ 6,078</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Amounts charged to costs and 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6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5,062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1,718</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incurred</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(4,820)</w:t>
            </w: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(4,356)</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(1,581)</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(1,720)</w:t>
            </w: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$ 7,212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$ 6,076</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$ 7,212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$ 6,076</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Asset Retirement Obligations</w:t>
      </w:r>
    </w:p>
    <w:p>
      <w:pPr>
        <w:spacing w:after="0" w:line="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Currently, we have various requirements relating to the disposal of wastewater generated at certain of our Chemical Business facilities.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(“ARO”).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In addition, our Chemical Business owns working interests in certain natural gas properties. We recognized AROs associated with the obligation to plug and abandon wells when the natural gas reserves in the wells are depleted. At September 30, 2013 and December 31, 2012, our accrued liability for AROs was $187,000 and $154,000, respectively.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Long-Term Debt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debt consists of the following:</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3"/>
              </w:rPr>
              <w:t>September 30,</w:t>
            </w:r>
          </w:p>
        </w:tc>
        <w:tc>
          <w:tcPr>
            <w:tcW w:w="1520" w:type="dxa"/>
            <w:vAlign w:val="bottom"/>
            <w:gridSpan w:val="4"/>
          </w:tcPr>
          <w:p>
            <w:pPr>
              <w:ind w:left="660"/>
              <w:spacing w:after="0"/>
              <w:rPr>
                <w:sz w:val="20"/>
                <w:szCs w:val="20"/>
                <w:color w:val="auto"/>
              </w:rPr>
            </w:pPr>
            <w:r>
              <w:rPr>
                <w:rFonts w:ascii="Times New Roman" w:cs="Times New Roman" w:eastAsia="Times New Roman" w:hAnsi="Times New Roman"/>
                <w:sz w:val="14"/>
                <w:szCs w:val="14"/>
                <w:color w:val="auto"/>
              </w:rPr>
              <w:t>December 31,</w:t>
            </w:r>
          </w:p>
        </w:tc>
      </w:t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2013</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right"/>
              <w:ind w:right="18"/>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Revolver Loan (A)</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Notes (B)</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Promissory Note (C)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Secured Term Loan (B)</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68,438</w:t>
            </w:r>
          </w:p>
        </w:tc>
        <w:tc>
          <w:tcPr>
            <w:tcW w:w="100" w:type="dxa"/>
            <w:vAlign w:val="bottom"/>
          </w:tcPr>
          <w:p>
            <w:pPr>
              <w:spacing w:after="0"/>
              <w:rPr>
                <w:sz w:val="18"/>
                <w:szCs w:val="18"/>
                <w:color w:val="auto"/>
              </w:rPr>
            </w:pPr>
          </w:p>
        </w:tc>
      </w:tr>
      <w:tr>
        <w:trPr>
          <w:trHeight w:val="202"/>
        </w:trPr>
        <w:tc>
          <w:tcPr>
            <w:tcW w:w="63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Other, with a current weighted-average interest rate of 4.75%, most of which is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secured primarily by machinery, equipment and real estate</w:t>
            </w: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6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00" w:type="dxa"/>
            <w:vAlign w:val="bottom"/>
            <w:shd w:val="clear" w:color="auto" w:fill="CCEEFF"/>
          </w:tcPr>
          <w:p>
            <w:pPr>
              <w:spacing w:after="0"/>
              <w:rPr>
                <w:sz w:val="20"/>
                <w:szCs w:val="20"/>
                <w:color w:val="auto"/>
              </w:rPr>
            </w:pPr>
          </w:p>
        </w:tc>
      </w:tr>
      <w:tr>
        <w:trPr>
          <w:trHeight w:val="222"/>
        </w:trPr>
        <w:tc>
          <w:tcPr>
            <w:tcW w:w="6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467,533</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72,441</w:t>
            </w:r>
          </w:p>
        </w:tc>
        <w:tc>
          <w:tcPr>
            <w:tcW w:w="100" w:type="dxa"/>
            <w:vAlign w:val="bottom"/>
          </w:tcPr>
          <w:p>
            <w:pPr>
              <w:spacing w:after="0"/>
              <w:rPr>
                <w:sz w:val="19"/>
                <w:szCs w:val="19"/>
                <w:color w:val="auto"/>
              </w:rPr>
            </w:pPr>
          </w:p>
        </w:tc>
      </w:tr>
      <w:tr>
        <w:trPr>
          <w:trHeight w:val="217"/>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due after one year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455,366</w:t>
            </w:r>
          </w:p>
        </w:tc>
        <w:tc>
          <w:tcPr>
            <w:tcW w:w="6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67,643</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8"/>
        <w:spacing w:after="0" w:line="253" w:lineRule="auto"/>
        <w:tabs>
          <w:tab w:leader="none" w:pos="28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wholly-owned subsidiary, ThermaClime, L.L.C. (“ThermaClime”) and certain of its wholly-owned subsidiaries (the “Borrowers”), are parties to a senior secured revolving credit facility (the “Working Capital Revolver Loan”). On July, 31, 2013, we entered into an amendment to the Working Capital Revolver Loan, which amends our existing senior secured revolving credit facility (the “Amended Working Capital Revolver”). The Amended Working Capital Revolver Loan became effective concurrently with the closing of the issuance of Senior Secured Notes discussed in (B) below. Upon the Amended Working Capital Revolver Loan becoming effective, the principal amount that ThermaClime and its subsidiaries may borrow on a revolving basis increased from up to $50.0 million to up to $100.0 million, based on specific percentages of eligible accounts receivable and inventories and permits the Senior Secured Notes and the guarantees to be secured on a first-priority basis by the Priority Collateral and on a second-priority basis by the certain collateral securing the Amended Working Capital Revolver Loan and provides that the Amended Working Capital Revolver Loan be secured on a second-priority basis by the Priority Collateral as discussed in (B) below. The Amended Working Capital Revolver Loan will mature on April 13, 2018.</w:t>
      </w:r>
    </w:p>
    <w:p>
      <w:pPr>
        <w:spacing w:after="0" w:line="14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 Amended Working Capital Revolver Loan accrues interest at a base rate (generally equivalent to the prime rate) plus 0.50% if borrowing availability is greater than $25.0 million, otherwise plus 0.75% or, at our option, accrues interest at LIBOR plus 1.50% if borrowing availability is greater than $25.0 million, otherwise LIBOR plus 1.75%. At September 30, 2013, the interest rate was 3.75% based on LIBOR. Interest is paid monthly, if applicable.</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Amended Working Capital Revolver Loan provides for up to $15.0 million of letters of credit. All letters of credit outstanding reduce availability under the Amended Working Capital Revolver Loan. As of September 30, 2013, the amount available for borrowing under the Amended Working Capital Revolver Loan was approximately $63.3 million. Under the Amended Working Capital Revolver Loan, the lender also requires the Borrowers to pay a letter of credit fee equal to 1% per annum of the undrawn amount of all outstanding letters of credit, an unused line fee equal to .25% per annum for the excess amount available under the Amended Working Capital Revolver Loan not drawn and various other audit, appraisal and valuation charges.</w:t>
      </w:r>
    </w:p>
    <w:p>
      <w:pPr>
        <w:spacing w:after="0" w:line="13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lender has the ability to, upon an event of default, as defined, terminate the Amended Working Capital Revolver Loan and make the balance outstanding, if any, due and payable in full. The terms of the Amended Working Capital Revolver Loan provided that ThermaClime could prepay a term loan agreement (the “Secured Term Loan”) as discussed in (B) below.</w:t>
      </w:r>
    </w:p>
    <w:p>
      <w:pPr>
        <w:spacing w:after="0" w:line="1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Amended Working Capital Revolver Loan requires ThermaClime to meet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 month basis and as defined in the agreement. The Amended Working Capital Revolver Loan contains covenants that, among other things, limit the Borrowers’ (which does not include LSB) ability, without consent of the lender and with certain exceptions, to:</w:t>
      </w:r>
    </w:p>
    <w:p>
      <w:pPr>
        <w:spacing w:after="0" w:line="58"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sell or otherwise dispose of our assets;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corporate changes or changes to our business activities;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material acquisitions;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Long-Term Debt (continued)</w:t>
      </w:r>
    </w:p>
    <w:p>
      <w:pPr>
        <w:spacing w:after="0" w:line="160"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other restricted payments, including, without limitation, investments;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certain indebtedness;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affiliate transactions;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and distributions to LSB;</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consolidations or other forms of recapitalization;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assets.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Amended Working Capital Revolver Loan allows the Borrowers and subsidiaries under the Senior Secured Notes to guarantee those notes. So long as no default or event of default has occurred and is continuing or would result therefrom, ThermaClime may make distributions and pay dividends to LSB in amounts necessary to permit LSB to make required payments of principal and payments of scheduled interest under the Senior Secured Notes, in each case not more than five business days prior to the date such payments are due and not in excess of the actual amounts due. The ability of ThermaClime and its wholly-owned subsidiaries to pay other dividends and to make other distributions to LSB or ThermaClime’s parent, Consolidated Industries Corp. (“Consolidated Industries”), is restricted by certain covenants contained in the Amended Working Capital Revolver Loan, which prohibits ThermaClime from transferring other funds to LSB in the form of cash dividends or other distributions, except for the following (so long as no default or event of default has occurred, is continuing or would result therefrom):</w:t>
      </w:r>
    </w:p>
    <w:p>
      <w:pPr>
        <w:spacing w:after="0" w:line="57" w:lineRule="exact"/>
        <w:rPr>
          <w:sz w:val="20"/>
          <w:szCs w:val="20"/>
          <w:color w:val="auto"/>
        </w:rPr>
      </w:pPr>
    </w:p>
    <w:p>
      <w:pPr>
        <w:ind w:left="90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not to exceed $7.5 million annually under a certain management agreement between LSB and ThermaClime, provided certain conditions are met;</w:t>
      </w:r>
    </w:p>
    <w:p>
      <w:pPr>
        <w:spacing w:after="0" w:line="38" w:lineRule="exact"/>
        <w:rPr>
          <w:rFonts w:ascii="Times New Roman" w:cs="Times New Roman" w:eastAsia="Times New Roman" w:hAnsi="Times New Roman"/>
          <w:sz w:val="18"/>
          <w:szCs w:val="18"/>
          <w:color w:val="auto"/>
        </w:rPr>
      </w:pPr>
    </w:p>
    <w:p>
      <w:pPr>
        <w:ind w:left="900" w:right="20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costs and expenses incurred by LSB that are directly allocable to ThermaClime or its subsidiaries for LSB’s provision of services under a certain services agreement;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income taxes that ThermaClime would be required to pay if they were not consolidated with LSB; and</w:t>
      </w:r>
    </w:p>
    <w:p>
      <w:pPr>
        <w:spacing w:after="0" w:line="90"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not to exceed 50% of ThermaClime’s consolidated net income during each fiscal year determined in accordance with GAAP, plus income taxes paid to LSB during such fiscal year within the previous bullet above.</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So long as both immediately before and after giving effect to any of the following, excess availability as defined by the Amended Working Capital Revolver Loan is equal to or greater than the greater of (x) 20% of the maximum revolver commitment or (y) $20 million, the Amended Working Capital Revolver will allow each of the Borrowers under the Amended Working Capital Revolver Loan to make:</w:t>
      </w:r>
    </w:p>
    <w:p>
      <w:pPr>
        <w:spacing w:after="0" w:line="51"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or other investments in, LSB in an aggregate amount exceeding $5.0 million at any time outstanding;</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and pay dividends with respect to amounts in excess of $0.5 million during each fiscal year to Consolidated Industries or to LSB or to any subsidiary of Consolidated Industries that is not also a subsidiary of ThermaClime;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joint ventures in an aggregate amount not exceeding $35.0 million;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an aggregate amount not exceeding $50.0 million at any one time outstanding.</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Amended Working Capital Revolver Loan includes customary events of default, including events of default relating to nonpayment of principal and other amounts owing under the Amended Working Capital Revolver Loan from time to time, any material misstatement or misrepresentation and breaches of representations and warranties made, violations of covenants, cross-payment default to indebtedness in excess of $0.1 million, cross-acceleration to indebtedness in excess of $0.1 million, bankruptcy and insolvency events, certain unsatisfied judgments, certain liens, and certain assertions of, or actual invalidity of, certain loan documents.</w:t>
      </w:r>
    </w:p>
    <w:p>
      <w:pPr>
        <w:spacing w:after="0" w:line="139" w:lineRule="exact"/>
        <w:rPr>
          <w:sz w:val="20"/>
          <w:szCs w:val="20"/>
          <w:color w:val="auto"/>
        </w:rPr>
      </w:pPr>
    </w:p>
    <w:p>
      <w:pPr>
        <w:ind w:firstLine="8"/>
        <w:spacing w:after="0" w:line="256" w:lineRule="auto"/>
        <w:tabs>
          <w:tab w:leader="none" w:pos="27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7, 2013, LSB sold $425 million aggregate principal amount of the 7.75% Senior Secured Notes due 2019 (the “Senior Secured Notes”) in a 144A transaction pursuant to the exemptions from the registration requirements of the Securities Act of 1933, as amended (the “Act”). The Senior Secured Notes are eligible for resale by the investors under Rule144A under the Act. LSB received net proceeds of approximately $351 million, after the payoff of the Secured Term Loan (discussed below), commissions and fees. In connection with the closing, LSB entered into an indenture (the “Indenture”) with UMB Bank, as trustee, governing the Senior Secured Notes and as collateral agent, and will receive customary compensation from us for such services.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Long-Term Debt (continued)</w:t>
      </w:r>
    </w:p>
    <w:p>
      <w:pPr>
        <w:spacing w:after="0" w:line="16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Senior Secured Notes bear interest at the rate of 7.75% per year and mature on August 1, 2019. Interest is to be paid semiannually, beginning on February 1, 2014.</w:t>
      </w:r>
    </w:p>
    <w:p>
      <w:pPr>
        <w:spacing w:after="0" w:line="12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Senior Secured Notes are general senior secured obligations of LSB. The Senior Secured Notes are jointly and severally and fully and unconditionally guaranteed by all of LSB’s current subsidiaries, with all of the guarantees, except two, being senior secured guarantees and two being senior unsecured guarantees. The Senior Secured Notes will rank equally in right of payment to all of LSB and the guarantors’ existing and future senior secured debt, including the Amended Working Capital Revolver Loan discussed below, and will be senior in right of payment to all of LSB and the guarantors’ future subordinated indebtedness. LSB does not have independent assets or operations.</w:t>
      </w:r>
    </w:p>
    <w:p>
      <w:pPr>
        <w:spacing w:after="0" w:line="13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Those subsidiaries that provided guarantees of the Senior Secured Notes will be released from such guarantees upon the occurrence of certain events, including the following:</w:t>
      </w:r>
    </w:p>
    <w:p>
      <w:pPr>
        <w:spacing w:after="0" w:line="39"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guarantor as an unrestricted subsidiary;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release or discharge of any guarantee or indebtedness that resulted in the creation of the guarantee of the Senior Secured Notes by such guarantor;</w:t>
      </w:r>
    </w:p>
    <w:p>
      <w:pPr>
        <w:spacing w:after="0" w:line="113" w:lineRule="exact"/>
        <w:rPr>
          <w:rFonts w:ascii="Times New Roman" w:cs="Times New Roman" w:eastAsia="Times New Roman" w:hAnsi="Times New Roman"/>
          <w:sz w:val="16"/>
          <w:szCs w:val="16"/>
          <w:color w:val="auto"/>
        </w:rPr>
      </w:pPr>
    </w:p>
    <w:p>
      <w:pPr>
        <w:ind w:left="900" w:right="2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including by way of merger or otherwise, of its capital stock or of all or substantially all of the assets, of such guarantor; or</w:t>
      </w:r>
    </w:p>
    <w:p>
      <w:pPr>
        <w:spacing w:after="0" w:line="38" w:lineRule="exact"/>
        <w:rPr>
          <w:rFonts w:ascii="Times New Roman" w:cs="Times New Roman" w:eastAsia="Times New Roman" w:hAnsi="Times New Roman"/>
          <w:sz w:val="18"/>
          <w:szCs w:val="18"/>
          <w:color w:val="auto"/>
        </w:rPr>
      </w:pPr>
    </w:p>
    <w:p>
      <w:pPr>
        <w:ind w:left="900" w:right="54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LSB’s exercise of its legal defeasance option or its covenant defeasance option as described in the Indenture with LSB’s obligations under the Indenture discharged in accordance with the Indenture.</w:t>
      </w:r>
    </w:p>
    <w:p>
      <w:pPr>
        <w:spacing w:after="0" w:line="120"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The Senior Secured Notes will be effectively senior to all existing and future unsecured debt of LSB and the guarantors to the extent of the value of the property and assets subject to liens (“Collateral”) and will be effectively senior to all existing and future obligations under the Amended Working Capital Revolver Loan and other debt to the extent of the value of the certain collateral (“Priority Collateral”).</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Senior Secured Notes will be secured on a first-priority basis by the Priority Collateral owned by LSB and the guarantors (other than the two unsecured guarantors) and on a second-priority basis by the certain collateral securing the Amended Working Capital Revolver Loan owned by LSB and the guarantors (other than the two unsecured guarantors), in each case subject to certain liens permitted under the Indenture. The Senior Secured Notes will be equal in priority as to the Priority Collateral owned by LSB and the guarantors with respect to any obligations under any equally ranked lien obligations subsequently incurred. At September 30, 2013, the carrying value of the assets secured on a first-priority basis was approximately $272 million and the carrying value of the assets secured on a second-priority basis was approximately $213 million.</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Senior Secured Notes will be effectively subordinated to all of LSB and the guarantors’ existing and future obligations under the Amended Working Capital Revolver Loan and other debt to the extent of the value of the certain collateral securing such debt and to any of LSB and the guarantors’ existing and future indebtedness that is secured by liens that are not part of the Collateral. The Senior Secured Notes will be structurally subordinated to all of the existing and future indebtedness, preferred stock obligations and other liabilities, including trade payables, of our subsidiaries that do not guarantee the Senior Secured Notes in the future.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Long-Term Debt (continued)</w:t>
      </w:r>
    </w:p>
    <w:p>
      <w:pPr>
        <w:spacing w:after="0" w:line="160"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Except under certain conditions, the Senior Secured Notes are not redeemable before August 1, 2016. On or after such date, LSB may redeem the Senior Secured Notes at its option, in whole or in part, upon not less than 30 nor more than 60 days notice, at the following redemption prices (expressed as percentages of the principal amount thereof), plus accrued and unpaid interest to the redemption date (subject to the right of holders of record on the relevant record date to receive interest due on the relevant interest payment date), if redeemed during the twelve-month period commencing on August 1st of the year set forth below:</w:t>
      </w:r>
    </w:p>
    <w:p>
      <w:pPr>
        <w:spacing w:after="0" w:line="14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66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4"/>
              </w:rPr>
              <w:t>Percentage</w:t>
            </w:r>
          </w:p>
        </w:tc>
        <w:tc>
          <w:tcPr>
            <w:tcW w:w="0" w:type="dxa"/>
            <w:vAlign w:val="bottom"/>
          </w:tcPr>
          <w:p>
            <w:pPr>
              <w:spacing w:after="0"/>
              <w:rPr>
                <w:sz w:val="1"/>
                <w:szCs w:val="1"/>
                <w:color w:val="auto"/>
              </w:rPr>
            </w:pPr>
          </w:p>
        </w:tc>
      </w:tr>
      <w:tr>
        <w:trPr>
          <w:trHeight w:val="20"/>
        </w:trPr>
        <w:tc>
          <w:tcPr>
            <w:tcW w:w="6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103.875%</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101.938%</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and thereafter</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Upon the occurrence of a change of control, as defined in the Indenture, each holder of the Senior Secured Notes will have the right to require that LSB purchase all or a portion of such holder’s notes at a purchase price equal to 101% of the principal amount thereof plus accrued and unpaid interest, if any, to the date of purchase (subject to the right of holders of record on the relevant record date to receive interest due on the relevant interest payment 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contains covenants that, among other things, limit LSB’s ability, with certain exceptions and as defined in the Indenture, to:</w:t>
      </w:r>
    </w:p>
    <w:p>
      <w:pPr>
        <w:spacing w:after="0" w:line="90"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LSB’ common and preferred stocks;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certain indebtedness;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sell or otherwise dispose of our assets;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consolidations or other forms of recapitalization;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affiliate transactions.</w:t>
      </w:r>
    </w:p>
    <w:p>
      <w:pPr>
        <w:spacing w:after="0" w:line="171"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As discussed above, approximately $67.2 million of the proceeds from Senior Secured Notes was used to pay all outstanding borrowings, including the prepayment premium, under the Secured Term Loan. As a result of the payoff of the Secured Term Loan, we incurred a loss on extinguishment of debt of $1.2 million, consisting of the prepayment premium and writing off unamortized debt issuance costs.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conjunction with the Senior Secured Notes, we entered into an amendment to the Working Capital Revolver Loan as discussed in (A) above.</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Senior Secured Notes, LSB entered into a Registration Rights Agreement (the “Registration Rights Agreement”). Pursuant to the Registration Rights Agreement, we have agreed to use our reasonable best efforts to file with the SEC a registration statement (“Registration Statement”) on an appropriate form with respect to a registered offer to exchange the notes for new notes with terms substantially identical in all material respects to the notes, cause the Registration Statement to be declared effective under the Securities Act, and complete the exchange within 180 days after the effective date of such Registration Statement. We are also obligated to update the Registration Statement by filing a post-effective amendment. If the exchange offer is not completed on or prior to the expiration of 365 days from August 7, 2013 (the date of closing) and under certain other conditions, the annual interest rate on the notes will be increased by (i) 0.25% (or approximately $3,000 per day) for the first 90 day period immediately following such default and (ii) an additional 0.25% with respect to each subsequent 90 day period, in each case until and including the date such default ends, up to a maximum increase of 1.00% (or approximately $12,000 per day).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Long-Term Debt (continued)</w:t>
      </w:r>
    </w:p>
    <w:p>
      <w:pPr>
        <w:spacing w:after="0" w:line="160" w:lineRule="exact"/>
        <w:rPr>
          <w:sz w:val="20"/>
          <w:szCs w:val="20"/>
          <w:color w:val="auto"/>
        </w:rPr>
      </w:pPr>
    </w:p>
    <w:p>
      <w:pPr>
        <w:ind w:firstLine="8"/>
        <w:spacing w:after="0" w:line="254" w:lineRule="auto"/>
        <w:tabs>
          <w:tab w:leader="none" w:pos="28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 2013, Zena Energy L.L.C. (“Zena”), a subsidiary within our Chemical Business, entered into a loan (the “Secured Promissory Note”) with a lender in the original principal amount of $35 million. The Secured Promissory Note follows the original acquisition by Zena of working interests (“Working Interests”) in certain natural gas properties during October 2012. The proceeds of the Secured Promissory Note effectively financed $35 million of the approximately $50 million purchase price of the Working Interests previously paid out of LSB’s working capital. The proceeds of the Secured Promissory Note are being used for general working capital purposes. The Secured Promissory Note matures on February 1, 2016. Principal and interest are payable monthly based on a five-year amortization at a defined LIBOR rate plus 300 basis points (but not below 3.00% per annum) with a final balloon payment of $15.3 million. The interest rate at September 30, 2013 was 3.26%. The loan is secured by the Working Interests and related properties and proceeds.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Commitments and Contingencies</w:t>
      </w:r>
    </w:p>
    <w:p>
      <w:pPr>
        <w:spacing w:after="0" w:line="9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Purchase and Sales Commitments—</w:t>
      </w:r>
      <w:r>
        <w:rPr>
          <w:rFonts w:ascii="Times New Roman" w:cs="Times New Roman" w:eastAsia="Times New Roman" w:hAnsi="Times New Roman"/>
          <w:sz w:val="18"/>
          <w:szCs w:val="18"/>
          <w:color w:val="auto"/>
        </w:rPr>
        <w:t>During the nine months ended September 30, 2013, amendments were made to the following significant purchase and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w:t>
      </w:r>
    </w:p>
    <w:p>
      <w:pPr>
        <w:spacing w:after="0" w:line="1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Ammonium nitrate supply agreement—Pursuant to a long-term cost-plus supply agreement, EDC sells to a customer a significant annual volume of industrial grade ammonium nitrate (“AN”) produced at our chemical production facility located in El Dorado, Arkansas (the “El Dorado Facility”). In April 2013, this agreement was amended to update and correct the specification of AN solution to be manufactured by EDC. The amendment also modified the required notice of termination from two years to one year.</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Bayer Agreement—Subsidiaries within our Chemical Business, El Dorado Nitric Company and its subsidiaries (“EDN”) and EDC, are party to an agreement (the “Bayer Agreement”) with Bayer Material Science LLC (“Bayer”). EDN operates Bayer’s nitric acid plant (the “Baytown Facility”) located within Bayer’s chemical manufacturing complex. Under the terms of the Bayer Agreement, Bayer purchases from EDN all of Bayer’s requirements for nitric acid for use in Bayer’s chemical manufacturing complex located in Baytown, Texas that provides a pass-through of certain costs plus a profit. In addition, EDN is responsible for the maintenance and operation of the Baytown Facility. If there is a change in control of EDN, Bayer has the right to terminate the Bayer Agreement upon payment of certain fees to EDN. In June 2013, the Bayer Agreement was amended, dated effective July 1, 2014, to extend the term of the agreement for an additional seven years, beginning July 1, 2014. The amendment also provides incentives to EDN for meeting certain safety, environmental, and reliability thresholds.</w:t>
      </w:r>
    </w:p>
    <w:p>
      <w:pPr>
        <w:spacing w:after="0" w:line="1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Capital Project Commitments—</w:t>
      </w:r>
      <w:r>
        <w:rPr>
          <w:rFonts w:ascii="Times New Roman" w:cs="Times New Roman" w:eastAsia="Times New Roman" w:hAnsi="Times New Roman"/>
          <w:sz w:val="18"/>
          <w:szCs w:val="18"/>
          <w:color w:val="auto"/>
        </w:rPr>
        <w:t>During November 2012, EDC entered into an agreement with Weatherly Inc. for the licensing, engineering, and procurement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 manufacturing equipment for a new 65% strength nitric acid plant to be constructed at the El Dorado Facility. In addition, EDC plans to construct a separate nitric acid concentrator. The estimated construction cost for this project is approximately $120 million, of which $35.9 million has been incurred and capitalized at September 30, 2013.</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Using a portion of the net proceeds from the sale of the Senior Secured Notes, we are proceeding with the design, engineering, and construction of an ammonia plant at the El Dorado Facility. During August 2013, a subsidiary of EDC entered into an agreement with SAIC Constructors, LLC to engineer and construct the ammonia plant and certain support facilities. The estimated construction cost for this project ranges from $250 million to $300 million, of which $29.8 million has been incurred and capitalized at September 30, 2013.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r>
        <w:rPr>
          <w:rFonts w:ascii="Times New Roman" w:cs="Times New Roman" w:eastAsia="Times New Roman" w:hAnsi="Times New Roman"/>
          <w:sz w:val="18"/>
          <w:szCs w:val="18"/>
          <w:color w:val="auto"/>
        </w:rPr>
        <w:t>Following is a summary of certain legal matters involving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Environmental Matters</w:t>
      </w:r>
    </w:p>
    <w:p>
      <w:pPr>
        <w:spacing w:after="0" w:line="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operations are subject to numerous environmental laws (“Environmental Laws”) and to other federal, state and local laws regarding health and safety matters (“Health Laws”). In particular, the manufacture, production and distribution of products by our Chemical Business are activities that entail environmental and safety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relating to our Chemical Business have in the past resulted, and could in the future result, in compliance expenses, cleanup costs, penalties or other liabilities relating to the handling, manufacture, use, emission, discharge or disposal of</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Commitments and Contingencies (continued)</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effluents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 working interest and compliance with Environmental and Health Laws is controlled by others, with our Chemical Business being responsible for its proportionate share of the costs involved. As of September 30, 2013, our accrued liabilities for environmental matters totaled $1,150,000 relating primarily to matters discussed below. It is reasonably possible that a change in the estimate of our liability could occur in the near term. Also see discussion in Note 8 – Asset Retirement Obligations.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Discharge Water Matters</w:t>
      </w:r>
    </w:p>
    <w:p>
      <w:pPr>
        <w:spacing w:after="0" w:line="92"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Each of our chemical manufacturing facilities generates process wastewater, which may include cooling tower and boiler water quality control streams, contact storm water (rain water inside the facility area that picks up contaminants) and miscellaneous spills and leaks from process equipment. The process water discharge, storm-water runoff and miscellaneous spills and leaks are governed by various permits generally issued by the respective state environmental agencies as authorized by the United States Environmental Protection Agency (“EPA”), subject to oversight by the EPA. These permits limit the type and amount of effluents that can be discharged and controls the method of such discharge. The following are discharge water matters in relation to the respective permits.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El Dorado Facility is subject to a state National Pollutant Discharge Elimination System (“NPDES”) discharge water permit issued by the Arkansas Department of Environmental Quality (“ADEQ”). The El Dorado Facility is currently operating under an NPDES discharge water permit, which became effective in 2004 (“2004 NPDES permit”). In November 2010, a preliminary draft of a discharge water permit renewal for the El Dorado Facility, which contains more restrictive limits, was issued by the ADEQ.</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EDC believes that the El Dorado Facility has generally demonstrated its ability to comply with applicable ammonia and nitrate permit limits, but has, from time to time, had difficulty demonstrating consistent compliance with the more restrictive dissolved minerals permit levels. As part of the El Dorado Facility’s long-term compliance plan, EDC has pursued a rulemaking and permit modification with the ADEQ as to the discharge requirements relating to its dissolved minerals. The ADEQ approved a rule change, but the EPA formally disapproved the rule change. In October 2011, EDC filed a lawsuit against the EPA in the United States District Court, El Dorado, Arkansas, appealing the EPA’s decision disapproving the rule change. In March 2013, the District Court affirmed the EPA’s decision. EDC has appealed the District Court’s decision. We do not believe this matter regarding meeting the permit requirements as to the dissolved minerals will continue to be an issue now that the pipeline discussed below is operational.</w:t>
      </w:r>
    </w:p>
    <w:p>
      <w:pPr>
        <w:spacing w:after="0" w:line="1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2012, EDC settled an Administrative Complaint issued by the EPA, and thereafter handled by the United States Department of Justice (“DOJ”), relating to certain alleged violations of EDC’s 2004 NPDES permit. Initially the Administrative Complaint sought a penalty of $124,000 for alleged violations through December 31, 2010, but was settled by EDC for $100,000 and the EPA/DOJ indicated that any alleged violations from and after January 1, 2011, would be addressed at a later date. Thereafter, the DOJ advised that some action would be taken for alleged violations occurring after December 31, 2010. As of the date of this report, no action has been filed by the DOJ. The cost (or range of costs) cannot currently be reasonably estimated regarding this matter. Therefore, no liability has been established at September 30, 2013.</w:t>
      </w:r>
    </w:p>
    <w:p>
      <w:pPr>
        <w:spacing w:after="0" w:line="13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6"/>
          <w:szCs w:val="16"/>
          <w:color w:val="auto"/>
        </w:rPr>
        <w:t>The City of El Dorado, Arkansas (the “City”) has constructed a pipeline for disposal of wastewater generated by the City and by certain companies in the El Dorado area. EDC and other companies in the El Dorado area entered into a funding agreement and operating agreement with the City, pursuant to which each party agreed to contribute to the cost of construction and the annual operating costs of the pipeline for the right to use the pipeline to dispose its wastewater. EDC has funded a portion of the construction of the pipeline that is owned by the City because it believes that it will enable EDC to comply with water discharge permit limits under current and foreseeable regulations. EDC’s share of the funding for the capital cost in connection with the construction of the pipeline was approximately $4.0 million, of which costs have been incurred and capitalized as of September 30, 2013. The City completed the construction of the pipeline during the third quarter of 2013, and EDC began utilizing the pipeline during September 2013. EDC is contractually obligated to pay a portion of the operating costs of the pipeline, which portion is estimated to be $100,000 to $150,000 annually. The initial term of the operating agreement is through December 2053.</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Commitments and Contingencies (continued)</w:t>
      </w:r>
    </w:p>
    <w:p>
      <w:pPr>
        <w:spacing w:after="0" w:line="16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September 30, 2013, in connection with this matter.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Air Matters</w:t>
      </w:r>
    </w:p>
    <w:p>
      <w:pPr>
        <w:spacing w:after="0" w:line="9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connection with a national enforcement initiative, the EPA has sent information requests to most, if not all, of the operators of nitric acid plants in the United States, including our El Dorado Facility, our chemical production facility located in Cherokee, Alabama (the “Cherokee Facility”) and the Baytown Facility operated by our subsidiary, EDN, under Section 114 of the Clean Air Act as to construction and modification activities at each of these facilities over a period of years. These information requests were to enable the EPA to determine whether these facilities are in compliance with certain provisions of the Clean Air Act. If the EPA were successful in establishing that any of our chemical facilities were in violation of the Clean Air Act, the EPA could assess civil penalties of up to $27,500 per day and require the facility to retrofit with the “best available control technology.”</w:t>
      </w:r>
    </w:p>
    <w:p>
      <w:pPr>
        <w:spacing w:after="0" w:line="139"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During the second quarter of 2013, we negotiated an oral global agreement in principle with the EPA/DOJ to settle this matter, although a few issues are still being negotiated. Settlement of this matter is subject to the parties entering into definitive settlement agreements and consent decrees and such being finalized after the notice and comment period. The proposed oral agreement in principle provides, among other things, the following:</w:t>
      </w:r>
    </w:p>
    <w:p>
      <w:pPr>
        <w:spacing w:after="0" w:line="51" w:lineRule="exact"/>
        <w:rPr>
          <w:sz w:val="20"/>
          <w:szCs w:val="20"/>
          <w:color w:val="auto"/>
        </w:rPr>
      </w:pPr>
    </w:p>
    <w:p>
      <w:pPr>
        <w:ind w:left="900" w:right="20" w:hanging="325"/>
        <w:spacing w:after="0" w:line="25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Chemical Business’ nitric acid plants are to achieve certain emission rates within a certain time period for each plant. In order to achieve these emission rates, six of our Chemical Business’ eight nitric acid plants will require additional pollution control technology equipment to achieve the emission rates agreed upon. We have already completed necessary modifications at two of our Chemical Business’ existing nitric acid plants. The cost of the necessary pollution control equipment is estimated to range from $2.0 million to $3.0 million for each of the remaining six nitric acid plants;</w:t>
      </w:r>
    </w:p>
    <w:p>
      <w:pPr>
        <w:spacing w:after="0" w:line="57" w:lineRule="exact"/>
        <w:rPr>
          <w:rFonts w:ascii="Times New Roman" w:cs="Times New Roman" w:eastAsia="Times New Roman" w:hAnsi="Times New Roman"/>
          <w:sz w:val="18"/>
          <w:szCs w:val="18"/>
          <w:color w:val="auto"/>
        </w:rPr>
      </w:pPr>
    </w:p>
    <w:p>
      <w:pPr>
        <w:ind w:left="900" w:right="120" w:hanging="325"/>
        <w:spacing w:after="0" w:line="26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Chemical Business will provide a reforestation mitigation project that is unrelated to our emissions or activities and will not be located at one of our plant sites, which we estimate will cost approximately $150,000 and have included this amount in our accrued liabilities for environmental matters discussed above; and</w:t>
      </w:r>
    </w:p>
    <w:p>
      <w:pPr>
        <w:spacing w:after="0" w:line="51"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will be paid by our Chemical Business in the amount of $725,000 (which includes the $100,000 civil penalty to the ODEQ discussed below), which amount is included in our accrued liabilities for environmental matters discussed above.</w:t>
      </w:r>
    </w:p>
    <w:p>
      <w:pPr>
        <w:spacing w:after="0" w:line="120"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6"/>
          <w:szCs w:val="16"/>
          <w:color w:val="auto"/>
        </w:rPr>
        <w:t>One of our subsidiaries, Pryor Chemical Company (“PCC”), within our Chemical Business, has been advised that the Oklahoma Department of Environmental Quality (“ODEQ”) is conducting an investigation into whether the chemical production facility located in Pryor, Oklahoma (the “Pryor Facility”) was in compliance with certain rules and regulations of the ODEQ and whether PCC’s reports of certain air emissions relating primarily to 2011 were intentionally reported incorrectly to the ODEQ. Pursuant to the request of the ODEQ, PCC has submitted information and a report to the ODEQ as to the reports filed by the Pryor Facility relating to the air emissions in question and has and continues to cooperate with the ODEQ in connection with this investigation. However, on February 20, 2013, investigators with the ODEQ obtained documents from the Pryor Facility in connection with this investigation pursuant to a search warrant and interviewed several employees at the facility. As of September 30, 2013, we are not aware of any recommendations made or to be made by the ODEQ with respect to formal legal action to be taken or recommended as a result of this ongoing investigation.</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Commitments and Contingencies (continued)</w:t>
      </w:r>
    </w:p>
    <w:p>
      <w:pPr>
        <w:spacing w:after="0" w:line="16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By letter dated April 19, 2013 (the “letter”), ODEQ, based on its inspection of our Pryor Facility conducted in December 2012, identified fourteen issues of alleged non-compliance and concern from the evaluation relating to federal and state air quality regulations, some of which were the subject of the ongoing investigation by ODEQ described above. ODEQ requested that PCC submit to ODEQ certain additional records regarding air emissions, calculations demonstrating compliance with certain air emissions, and a compliance plan providing for remedial measures for certain alleged noncompliance matters. ODEQ has advised PCC that compliance with such requests may allow PCC to avoid receipt of a notice of violation. PCC engaged in discussions with ODEQ to resolve all matters identified in the letter. Subsequently, a settlement was reached to resolve the allegations identified in the letter. Three of the violations were already resolved through the global settlement with the EPA/DOJ discussed above, and ODEQ agreed to resolve the remaining eleven violations by PCC paying a civil penalty for $100,000 (which amount is included in the $725,000 civil penalty discussed above) with the settlement being addressed as an addition to the global settlement discussed above. This settlement is unrelated to the pending ODEQ investigation at the Pryor Facility described above, which remains ongoing to our knowledge.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Environmental Matters</w:t>
      </w:r>
    </w:p>
    <w:p>
      <w:pPr>
        <w:spacing w:after="0" w:line="92"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In 2002, two subsidiaries within our Chemical Business sold substantially all of their operating assets relating to a Kansas chemical facility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11"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The successor (“Chevron”) of a prior owner of the Hallowell Facility has agreed in writing, on a nonbinding basis and within certain other limitations, to pay and has been paying one-half of the costs of the interim measures relating to this matter as approved by the Kansas Department of Environmental Quality, subject to reallocation.</w:t>
      </w:r>
    </w:p>
    <w:p>
      <w:pPr>
        <w:spacing w:after="0" w:line="132" w:lineRule="exact"/>
        <w:rPr>
          <w:sz w:val="20"/>
          <w:szCs w:val="20"/>
          <w:color w:val="auto"/>
        </w:rPr>
      </w:pPr>
    </w:p>
    <w:p>
      <w:pPr>
        <w:jc w:val="both"/>
        <w:ind w:right="480"/>
        <w:spacing w:after="0" w:line="262" w:lineRule="auto"/>
        <w:rPr>
          <w:sz w:val="20"/>
          <w:szCs w:val="20"/>
          <w:color w:val="auto"/>
        </w:rPr>
      </w:pPr>
      <w:r>
        <w:rPr>
          <w:rFonts w:ascii="Times New Roman" w:cs="Times New Roman" w:eastAsia="Times New Roman" w:hAnsi="Times New Roman"/>
          <w:sz w:val="18"/>
          <w:szCs w:val="18"/>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w:t>
      </w:r>
    </w:p>
    <w:p>
      <w:pPr>
        <w:spacing w:after="0" w:line="13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during 2010, the Kansas Department of Health and Environment (“KDHE”) notified our subsidiary and Chevron that the Hallowell Facility has been referred to the KDHE’s Natural Resources Trustee, who is to consider and recommend restoration, replacement and/or whether to seek compensation. KDHE will consider the recommendations in its evaluation. Currently, it is unknown what damages the KDHE would claim, if any. The ultimate required remediation, if any, is unknown.</w:t>
      </w:r>
    </w:p>
    <w:p>
      <w:pPr>
        <w:spacing w:after="0" w:line="136"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The nature and extent of a portion of the requirements are not currently defined, and the associated costs (or range of costs) are not currently reasonably estimable.</w:t>
      </w:r>
    </w:p>
    <w:p>
      <w:pPr>
        <w:spacing w:after="0" w:line="120"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Our allocable portion of the total estimated liability related to the Hallowell Facility has been established in connection with this matter and is included in our accrued liabilities for environmental matters discussed above. The estimated amount is not discounted to its present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Other Pending, Threatened or Settled Litigation</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April 2013, an explosion and fire occurred at the West Fertilizer Co. (“West Fertilizer”), located in West, Texas, causing death, bodily injury and substantial property damage. West Fertilizer is not owned or controlled by us, but West Fertilizer had been a customer of EDC, purchasing ammonium nitrate (“AN”) from EDC from time to time. LSB and EDC have received letters from counsel purporting to represent subrogated insurance carriers, personal injury claimants and persons who suffered property damages informing them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Other manufacturers of AN also supplied AN to West Fertilizer. The lawsuits that have been filed name West Fertilizer and another supplier of AN as defendants, but neither EDC nor LSB have been named in any of these suits. EDC does not believe that its product was in storage at West Fertilizer at the time of the explosion.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Commitments and Contingencies (continued)</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EDC has retained a firm specializing in cause and origin investigations, with particular experience with fertilizer facilities, to assist EDC in its own investigation. LSB and EDC have placed its liability insurance carrier on notice of this matter, which policies have aggregate limits of general liability totaling $100 million, with a self-insured retention of $250,000. As of September 30, 2013, no liability has been established in connection with this matter, but we have incurred professional fees of $168,000 being applied against our self-insured retention amount.</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Claims and Legal Actions</w:t>
      </w:r>
    </w:p>
    <w:p>
      <w:pPr>
        <w:spacing w:after="0" w:line="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September 30, 2013, our accrued general liability insurance claims were $205,000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Derivatives, Hedges, Financial Instruments and Carbon Credits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two classes of contracts that are accounted for on a fair value basis, which are commodities futures/forward contracts (“commodities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Bayer. The assets for carbon credits are accounted for on a fair value basis as discussed below. Also, the contractual obligations to give the related proceeds to Bayer are accounted for on a fair value basis (as discussed below) unless we enter into a firm sales commitment to sell the carbon credits. The valuations of these assets and liabilities were determined based on quoted market prices or, in instances where market quotes are not available, other valuation techniques or models used to estimate fair values.</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valuations of contracts classified as Level 1 are based on quoted prices in active markets for identical contracts, when applicable. The valuations of contracts classified as Level 2 are based on quoted prices for similar contracts and valuation inputs other than quoted prices that are observable for these contracts. At September 30, 2013 and December 31, 2012, the valuations of contracts classified as Level 2 related to interest rate swap contracts. For interest rate swap contracts, we utilize valuation software and market data from a third-party provider. These contracts are valued using a discounted cash flow model that calculates the present value of future cash flows pursuant to the terms of the contracts and using market information for forward interest-rate yield curves. At September 30, 2013, the valuation inputs included the contractual weighted-average pay rate of 3.23% and the estimated market weighted-average receive rate of 0.57%. No valuation input adjustments were considered necessary relating to nonperformance risk for the contracts.</w:t>
      </w:r>
    </w:p>
    <w:p>
      <w:pPr>
        <w:spacing w:after="0" w:line="141"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The valuations of assets and liabilities classified as Level 3 are based on prices or valuation techniques that require inputs that are both unobservable and significant to the overall fair value measurement. At September 30, 2013 and December 31, 2012, the valuations ($1.00 and $0.50 per carbon credit, respectively) of the carbon credits and the contractual obligations associated with these carbon credits are classified as Level 3 and are based on the range of ask/bid prices obtained from a broker adjusted downward due to minimal market volume activity.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Commodities Contracts</w:t>
      </w:r>
    </w:p>
    <w:p>
      <w:pPr>
        <w:spacing w:after="0" w:line="90"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auto"/>
        </w:rPr>
        <w:t>Raw materials for use in our manufacturing processes include copper used by our Climate Control Business and anhydrous ammonia and natural gas used by our Chemical Business. As part of our raw material price risk management, we periodically enter into futures/forward contracts for these materials, which contracts may be required to be accounted for on a mark-to-market basis. At September 30, 2013, we did not have any futures/forward copper contracts requiring mark-to-market accounting. At December 31, 2012, our futures/forward copper contracts were for 625,000 pounds of copper through May 2013 at a weighted-average cost of $3.53 per pound. At September 30, 2013 and December 31, 2012, we did not have any futures/forward natural gas contracts requiring mark-to-market accounting. The cash flows relating to these contracts are included in cash flows from continuing operating activities, when applicable.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Derivatives, Hedges, Financial Instruments and Carbon Credits (continued)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Rate Contracts</w:t>
      </w:r>
    </w:p>
    <w:p>
      <w:pPr>
        <w:spacing w:after="0" w:line="9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part of our interest rate risk management, we periodically purchase and/or enter into various interest rate contracts. In February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 During the nine months ended September 30, 2013 and 2012, no cash flows occurred relating to the purchase or sale of interest rate contracts. The cash flows associated with the interest rate swap payments are included in cash flows from continuing operating activities.</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Carbon Credits and Associated Contractual Obligation</w:t>
      </w:r>
    </w:p>
    <w:p>
      <w:pPr>
        <w:spacing w:after="0" w:line="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Periodically, we are issued carbon credits by the Climate Action Reserve in relation to a greenhouse gas reduction project (“Project”) performed at the Baytown Facility. Pursuant to the terms of the agreement with Bayer, a certain portion of the carbon credits are to be used to recover the costs of the Project, and any balance thereafter to be allocated between Bayer and EDN. We have no obligation to reimburse Bayer for its costs associated with the Project, except through the transfer or sale of the carbon credits when such credits are issued to us. The carbon credits are accounted for on a fair value basis, and the contractual obligations associated with these carbon credits are also accounted for on a fair value basis (unless we enter into a firm sales commitment to sell the carbon credits). At September 30, 2013, we had approximately 625,000 carbon credits (a minimal amount at December 31, 2012), all of which were subject to contractual obligations. The cash flows associated with the carbon credits and the associated contractual obligations are included in cash flows from continuing investing activities, when applicable.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our assets and liabilities that are measured at fair value on a recurring basis at September 30, 2013 and 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Fair Value Measurements at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color w:val="auto"/>
              </w:rPr>
              <w:t>September 30, 2013 Using</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w w:val="93"/>
              </w:rPr>
              <w:t>Quoted Prices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color w:val="auto"/>
                <w:w w:val="96"/>
              </w:rPr>
              <w:t>in Active</w:t>
            </w:r>
          </w:p>
        </w:tc>
        <w:tc>
          <w:tcPr>
            <w:tcW w:w="520" w:type="dxa"/>
            <w:vAlign w:val="bottom"/>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7"/>
              </w:rPr>
              <w:t>Significant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color w:val="auto"/>
                <w:w w:val="93"/>
              </w:rPr>
              <w:t>Total Fair</w:t>
            </w:r>
          </w:p>
        </w:tc>
        <w:tc>
          <w:tcPr>
            <w:tcW w:w="5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Markets for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Significant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3"/>
              </w:rPr>
              <w:t>Total Fair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color w:val="auto"/>
                <w:w w:val="94"/>
              </w:rPr>
              <w:t>Value At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color w:val="auto"/>
                <w:w w:val="97"/>
              </w:rPr>
              <w:t>Identical</w:t>
            </w:r>
          </w:p>
        </w:tc>
        <w:tc>
          <w:tcPr>
            <w:tcW w:w="520" w:type="dxa"/>
            <w:vAlign w:val="bottom"/>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w w:val="94"/>
              </w:rPr>
              <w:t>Observable</w:t>
            </w: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w w:val="95"/>
              </w:rPr>
              <w:t>Unobservable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3"/>
              </w:rPr>
              <w:t>Value at</w:t>
            </w: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w w:val="93"/>
              </w:rPr>
              <w:t>September 30,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color w:val="auto"/>
                <w:w w:val="92"/>
              </w:rPr>
              <w:t>Assets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w w:val="97"/>
              </w:rPr>
              <w:t>Inputs</w:t>
            </w:r>
          </w:p>
        </w:tc>
        <w:tc>
          <w:tcPr>
            <w:tcW w:w="120" w:type="dxa"/>
            <w:vAlign w:val="bottom"/>
          </w:tcPr>
          <w:p>
            <w:pPr>
              <w:spacing w:after="0"/>
              <w:rPr>
                <w:sz w:val="12"/>
                <w:szCs w:val="12"/>
                <w:color w:val="auto"/>
              </w:rPr>
            </w:pPr>
          </w:p>
        </w:tc>
        <w:tc>
          <w:tcPr>
            <w:tcW w:w="6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color w:val="auto"/>
                <w:w w:val="97"/>
              </w:rPr>
              <w:t>Inputs</w:t>
            </w:r>
          </w:p>
        </w:tc>
        <w:tc>
          <w:tcPr>
            <w:tcW w:w="5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61"/>
        </w:trPr>
        <w:tc>
          <w:tcPr>
            <w:tcW w:w="5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w w:val="99"/>
              </w:rPr>
              <w:t>2013</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42"/>
              <w:spacing w:after="0"/>
              <w:rPr>
                <w:sz w:val="20"/>
                <w:szCs w:val="20"/>
                <w:color w:val="auto"/>
              </w:rPr>
            </w:pPr>
            <w:r>
              <w:rPr>
                <w:rFonts w:ascii="Times New Roman" w:cs="Times New Roman" w:eastAsia="Times New Roman" w:hAnsi="Times New Roman"/>
                <w:sz w:val="14"/>
                <w:szCs w:val="14"/>
                <w:color w:val="auto"/>
                <w:w w:val="96"/>
              </w:rPr>
              <w:t>(Level 1)</w:t>
            </w:r>
          </w:p>
        </w:tc>
        <w:tc>
          <w:tcPr>
            <w:tcW w:w="520" w:type="dxa"/>
            <w:vAlign w:val="bottom"/>
          </w:tcPr>
          <w:p>
            <w:pPr>
              <w:spacing w:after="0"/>
              <w:rPr>
                <w:sz w:val="14"/>
                <w:szCs w:val="14"/>
                <w:color w:val="auto"/>
              </w:rPr>
            </w:pPr>
          </w:p>
        </w:tc>
        <w:tc>
          <w:tcPr>
            <w:tcW w:w="11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w w:val="96"/>
              </w:rPr>
              <w:t>(Level 2)</w:t>
            </w:r>
          </w:p>
        </w:tc>
        <w:tc>
          <w:tcPr>
            <w:tcW w:w="12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4"/>
                <w:szCs w:val="14"/>
                <w:color w:val="auto"/>
                <w:w w:val="96"/>
              </w:rPr>
              <w:t>(Level 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w w:val="9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center"/>
              <w:ind w:right="20"/>
              <w:spacing w:after="0" w:line="142" w:lineRule="exact"/>
              <w:rPr>
                <w:sz w:val="20"/>
                <w:szCs w:val="20"/>
                <w:color w:val="auto"/>
              </w:rPr>
            </w:pPr>
            <w:r>
              <w:rPr>
                <w:rFonts w:ascii="Times New Roman" w:cs="Times New Roman" w:eastAsia="Times New Roman" w:hAnsi="Times New Roman"/>
                <w:sz w:val="14"/>
                <w:szCs w:val="14"/>
                <w:color w:val="auto"/>
                <w:w w:val="96"/>
              </w:rPr>
              <w:t>(In Thousands)</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Assets—Supplies, prepaid items and other: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Commodities contracts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Carbon credits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625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center"/>
              <w:ind w:left="57"/>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625</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Liabilities—Current and noncurrent accrued and other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Contractual obligations -carbon credits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625</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8"/>
              </w:rPr>
              <w:t>1,374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center"/>
              <w:ind w:left="37"/>
              <w:spacing w:after="0"/>
              <w:rPr>
                <w:sz w:val="20"/>
                <w:szCs w:val="20"/>
                <w:color w:val="auto"/>
              </w:rPr>
            </w:pPr>
            <w:r>
              <w:rPr>
                <w:rFonts w:ascii="Times New Roman" w:cs="Times New Roman" w:eastAsia="Times New Roman" w:hAnsi="Times New Roman"/>
                <w:sz w:val="18"/>
                <w:szCs w:val="18"/>
                <w:color w:val="auto"/>
                <w:w w:val="98"/>
              </w:rPr>
              <w:t>1,374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625</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Derivatives, Hedges, Financial Instruments and Carbon Credits (continued)</w:t>
      </w:r>
    </w:p>
    <w:p>
      <w:pPr>
        <w:spacing w:after="0" w:line="16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None of our assets or liabilities measured at fair value on a recurring basis transferred between Level 1 and Level 2 classifications for the periods presented below. In addition, the following is a reconciliation of the beginning and ending balances for assets and liabilities measured at fair value on a recurring basis using significant unobservable inputs (Level 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left="197"/>
              <w:spacing w:after="0"/>
              <w:rPr>
                <w:sz w:val="20"/>
                <w:szCs w:val="20"/>
                <w:color w:val="auto"/>
              </w:rPr>
            </w:pPr>
            <w:r>
              <w:rPr>
                <w:rFonts w:ascii="Times New Roman" w:cs="Times New Roman" w:eastAsia="Times New Roman" w:hAnsi="Times New Roman"/>
                <w:sz w:val="14"/>
                <w:szCs w:val="14"/>
                <w:color w:val="auto"/>
                <w:w w:val="98"/>
              </w:rPr>
              <w:t>Assets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color w:val="auto"/>
                <w:w w:val="95"/>
              </w:rPr>
              <w:t>Liabilities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left="197"/>
              <w:spacing w:after="0"/>
              <w:rPr>
                <w:sz w:val="20"/>
                <w:szCs w:val="20"/>
                <w:color w:val="auto"/>
              </w:rPr>
            </w:pPr>
            <w:r>
              <w:rPr>
                <w:rFonts w:ascii="Times New Roman" w:cs="Times New Roman" w:eastAsia="Times New Roman" w:hAnsi="Times New Roman"/>
                <w:sz w:val="14"/>
                <w:szCs w:val="14"/>
                <w:color w:val="auto"/>
                <w:w w:val="98"/>
              </w:rPr>
              <w:t>Assets</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auto"/>
                <w:w w:val="95"/>
              </w:rPr>
              <w:t>Liabilities</w:t>
            </w: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220" w:type="dxa"/>
            <w:vAlign w:val="bottom"/>
            <w:tcBorders>
              <w:top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4"/>
                <w:szCs w:val="14"/>
                <w:color w:val="auto"/>
                <w:w w:val="95"/>
              </w:rPr>
              <w:t>Nine Months Ended</w:t>
            </w:r>
          </w:p>
        </w:tc>
        <w:tc>
          <w:tcPr>
            <w:tcW w:w="260" w:type="dxa"/>
            <w:vAlign w:val="bottom"/>
          </w:tcPr>
          <w:p>
            <w:pPr>
              <w:spacing w:after="0"/>
              <w:rPr>
                <w:sz w:val="11"/>
                <w:szCs w:val="11"/>
                <w:color w:val="auto"/>
              </w:rPr>
            </w:pPr>
          </w:p>
        </w:tc>
        <w:tc>
          <w:tcPr>
            <w:tcW w:w="1220" w:type="dxa"/>
            <w:vAlign w:val="bottom"/>
            <w:tcBorders>
              <w:top w:val="single" w:sz="8" w:color="auto"/>
            </w:tcBorders>
            <w:gridSpan w:val="6"/>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Nine Months Ended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Borders>
              <w:top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280" w:type="dxa"/>
            <w:vAlign w:val="bottom"/>
          </w:tcPr>
          <w:p>
            <w:pPr>
              <w:spacing w:after="0"/>
              <w:rPr>
                <w:sz w:val="11"/>
                <w:szCs w:val="11"/>
                <w:color w:val="auto"/>
              </w:rPr>
            </w:pPr>
          </w:p>
        </w:tc>
        <w:tc>
          <w:tcPr>
            <w:tcW w:w="1300" w:type="dxa"/>
            <w:vAlign w:val="bottom"/>
            <w:tcBorders>
              <w:top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4"/>
                <w:szCs w:val="14"/>
                <w:color w:val="auto"/>
                <w:w w:val="96"/>
              </w:rPr>
              <w:t>Three Months Ended</w:t>
            </w:r>
          </w:p>
        </w:tc>
        <w:tc>
          <w:tcPr>
            <w:tcW w:w="10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w w:val="96"/>
              </w:rPr>
              <w:t>September 30,</w:t>
            </w:r>
          </w:p>
        </w:tc>
        <w:tc>
          <w:tcPr>
            <w:tcW w:w="100" w:type="dxa"/>
            <w:vAlign w:val="bottom"/>
          </w:tcPr>
          <w:p>
            <w:pPr>
              <w:spacing w:after="0"/>
              <w:rPr>
                <w:sz w:val="14"/>
                <w:szCs w:val="14"/>
                <w:color w:val="auto"/>
              </w:rPr>
            </w:pPr>
          </w:p>
        </w:tc>
        <w:tc>
          <w:tcPr>
            <w:tcW w:w="130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color w:val="auto"/>
                <w:w w:val="96"/>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w w:val="96"/>
              </w:rPr>
              <w:t>September 30,</w:t>
            </w:r>
          </w:p>
        </w:tc>
        <w:tc>
          <w:tcPr>
            <w:tcW w:w="14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auto"/>
                <w:w w:val="96"/>
              </w:rPr>
              <w:t>September 30,</w:t>
            </w: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2013</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2012</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w w:val="92"/>
              </w:rPr>
              <w:t>2012</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2013</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2012</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color w:val="auto"/>
              </w:rPr>
              <w:t>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w w:val="92"/>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5"/>
          </w:tcPr>
          <w:p>
            <w:pPr>
              <w:ind w:left="16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625</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(625)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Level 3</w:t>
            </w:r>
          </w:p>
        </w:tc>
        <w:tc>
          <w:tcPr>
            <w:tcW w:w="8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 realized and unrealized gains (losses) included in earnings</w:t>
            </w:r>
          </w:p>
        </w:tc>
        <w:tc>
          <w:tcPr>
            <w:tcW w:w="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546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248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(546)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248</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Issuances</w:t>
            </w:r>
          </w:p>
        </w:tc>
        <w:tc>
          <w:tcPr>
            <w:tcW w:w="8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625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224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(625)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625</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224</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(625)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and unrealized net gains (losses) included in earnings and the income statement classifications are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w w:val="95"/>
              </w:rPr>
              <w:t>Nine Months Ended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color w:val="auto"/>
                <w:w w:val="96"/>
              </w:rPr>
              <w:t>Three Months Ended</w:t>
            </w: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w w:val="85"/>
              </w:rPr>
              <w:t>2013</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color w:val="auto"/>
                <w:w w:val="92"/>
              </w:rPr>
              <w:t>2012</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w w:val="9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jc w:val="right"/>
              <w:ind w:right="74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gains (losses) included in earnings: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sales—Commodities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sales—Foreign exchange contracts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income—Carbon credits</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expense—Contractual obligations relating to carbon credits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expense—Interest rate contracts</w:t>
            </w: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w w:val="95"/>
              </w:rPr>
              <w:t>Nine Months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color w:val="auto"/>
                <w:w w:val="96"/>
              </w:rPr>
              <w:t>Three Months Ended</w:t>
            </w: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6"/>
              </w:rPr>
              <w:t>September 30,</w:t>
            </w: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w w:val="85"/>
              </w:rPr>
              <w:t>2013</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color w:val="auto"/>
                <w:w w:val="92"/>
              </w:rPr>
              <w:t>2012</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w w:val="9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jc w:val="right"/>
              <w:ind w:right="74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gains (losses) relating to contracts still held at period end:</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sales—Commodities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income—Carbon credits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expense—Contractual obligations relating to carbon credits</w:t>
            </w: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expense—Interest rate contracts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2"/>
        </w:trPr>
        <w:tc>
          <w:tcPr>
            <w:tcW w:w="7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Derivatives, Hedges, Financial Instruments and Carbon Credits (continued)</w:t>
      </w:r>
    </w:p>
    <w:p>
      <w:pPr>
        <w:spacing w:after="0" w:line="1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At September 30, 2013 and December 31, 2012, we did not have any financial instruments with fair values significantly different from their carrying amounts, except for the Senior Secured Notes. At September 30, 2013, the estimated fair value of the Senior Secured Notes exceeded the carrying value by approximately $17 million. The valuation is classified as Level 2 and is based on the range of ask/bid prices (103.5 to 104.5) for these notes but are currently traded in a limited and low volume market since these notes have not yet been registered. The valuations of our other long-term debt agreements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Income Taxes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income taxes are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60" w:type="dxa"/>
            <w:vAlign w:val="bottom"/>
            <w:gridSpan w:val="3"/>
          </w:tcPr>
          <w:p>
            <w:pPr>
              <w:jc w:val="right"/>
              <w:ind w:right="117"/>
              <w:spacing w:after="0"/>
              <w:rPr>
                <w:sz w:val="20"/>
                <w:szCs w:val="20"/>
                <w:color w:val="auto"/>
              </w:rPr>
            </w:pPr>
            <w:r>
              <w:rPr>
                <w:rFonts w:ascii="Times New Roman" w:cs="Times New Roman" w:eastAsia="Times New Roman" w:hAnsi="Times New Roman"/>
                <w:sz w:val="14"/>
                <w:szCs w:val="14"/>
                <w:color w:val="auto"/>
              </w:rPr>
              <w:t>Nine Months Ended</w:t>
            </w:r>
          </w:p>
        </w:tc>
        <w:tc>
          <w:tcPr>
            <w:tcW w:w="380" w:type="dxa"/>
            <w:vAlign w:val="bottom"/>
          </w:tcPr>
          <w:p>
            <w:pPr>
              <w:spacing w:after="0"/>
              <w:rPr>
                <w:sz w:val="13"/>
                <w:szCs w:val="13"/>
                <w:color w:val="auto"/>
              </w:rPr>
            </w:pPr>
          </w:p>
        </w:tc>
        <w:tc>
          <w:tcPr>
            <w:tcW w:w="150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60" w:type="dxa"/>
            <w:vAlign w:val="bottom"/>
            <w:gridSpan w:val="3"/>
          </w:tcPr>
          <w:p>
            <w:pPr>
              <w:jc w:val="right"/>
              <w:ind w:right="257"/>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380" w:type="dxa"/>
            <w:vAlign w:val="bottom"/>
          </w:tcPr>
          <w:p>
            <w:pPr>
              <w:spacing w:after="0"/>
              <w:rPr>
                <w:sz w:val="12"/>
                <w:szCs w:val="12"/>
                <w:color w:val="auto"/>
              </w:rPr>
            </w:pPr>
          </w:p>
        </w:tc>
        <w:tc>
          <w:tcPr>
            <w:tcW w:w="1500" w:type="dxa"/>
            <w:vAlign w:val="bottom"/>
            <w:gridSpan w:val="5"/>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September 30,</w:t>
            </w: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6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2013</w:t>
            </w:r>
          </w:p>
        </w:tc>
        <w:tc>
          <w:tcPr>
            <w:tcW w:w="36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2012</w:t>
            </w:r>
          </w:p>
        </w:tc>
        <w:tc>
          <w:tcPr>
            <w:tcW w:w="88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color w:val="auto"/>
              </w:rPr>
              <w:t>2013</w:t>
            </w:r>
          </w:p>
        </w:tc>
        <w:tc>
          <w:tcPr>
            <w:tcW w:w="200" w:type="dxa"/>
            <w:vAlign w:val="bottom"/>
          </w:tcPr>
          <w:p>
            <w:pPr>
              <w:spacing w:after="0"/>
              <w:rPr>
                <w:sz w:val="14"/>
                <w:szCs w:val="14"/>
                <w:color w:val="auto"/>
              </w:rPr>
            </w:pP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52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28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$21,405</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$2,216</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$3,964</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2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r>
      <w:tr>
        <w:trPr>
          <w:trHeight w:val="230"/>
        </w:trPr>
        <w:tc>
          <w:tcPr>
            <w:tcW w:w="20" w:type="dxa"/>
            <w:vAlign w:val="bottom"/>
          </w:tcPr>
          <w:p>
            <w:pPr>
              <w:spacing w:after="0"/>
              <w:rPr>
                <w:sz w:val="20"/>
                <w:szCs w:val="20"/>
                <w:color w:val="auto"/>
              </w:rPr>
            </w:pPr>
          </w:p>
        </w:tc>
        <w:tc>
          <w:tcPr>
            <w:tcW w:w="5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w:t>
            </w:r>
          </w:p>
        </w:tc>
        <w:tc>
          <w:tcPr>
            <w:tcW w:w="19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25,317</w:t>
            </w:r>
          </w:p>
        </w:tc>
        <w:tc>
          <w:tcPr>
            <w:tcW w:w="3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28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5,536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3,256</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(664)</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2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20" w:type="dxa"/>
            <w:vAlign w:val="bottom"/>
          </w:tcPr>
          <w:p>
            <w:pPr>
              <w:spacing w:after="0"/>
              <w:rPr>
                <w:sz w:val="20"/>
                <w:szCs w:val="20"/>
                <w:color w:val="auto"/>
              </w:rPr>
            </w:pPr>
          </w:p>
        </w:tc>
        <w:tc>
          <w:tcPr>
            <w:tcW w:w="5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Deferred</w:t>
            </w:r>
          </w:p>
        </w:tc>
        <w:tc>
          <w:tcPr>
            <w:tcW w:w="19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3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Provisions for income taxes</w:t>
            </w:r>
          </w:p>
        </w:tc>
        <w:tc>
          <w:tcPr>
            <w:tcW w:w="2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9,967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27,110</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6,345</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3,857</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nine and three months ended September 30, 2013 and 2012, the current provisions for federal income taxes shown above includes regular federal income tax after the consideration of permanent and temporary differences between income for GAAP and tax purposes, including the benefit related to the retroactive tax relief for certain tax provisions that expired in 2012 as discussed below. For the nine and three months ended September 30, 2013 and 2012, the current provisions for state income taxes shown above includes regular state income tax and provisions for uncertain state income tax positions.</w:t>
      </w:r>
    </w:p>
    <w:p>
      <w:pPr>
        <w:spacing w:after="0" w:line="13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annual estimated effective tax rate for 2013 includes the impact of permanent tax differences, such as the domestic manufacturer’s deduction, the advanced energy credit and other permanent items. In connection with the American Taxpayer Relief Act of 2012 that was signed into law in January 2013, we recorded a one-time benefit of approximately $0.5 million related to the retroactive tax relief for certain tax provisions that expired in 2012. Because the legislation was signed into law after December 31, 2012, the retroactive effects of the law reduced the current provision for the nine months ended September 30, 2013 and impacted the estimated effective tax rate for 2013.</w:t>
      </w:r>
    </w:p>
    <w:p>
      <w:pPr>
        <w:spacing w:after="0" w:line="13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tax provision for the nine months ended September 30, 2013 and 2012 was approximately $10.0 million (38% of pre-tax income, excluding the impact of the 2012 retroactive tax benefits) and $27.1 million (36% of pre-tax income), respectively.</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LSB and certain of its subsidiaries file income tax returns in the U.S. federal jurisdiction and various state jurisdictions. With few exceptions, the 2010-2012 years remain open for all purposes of examination by the U.S. Internal Revenue Service (“IRS”) and other major tax jurisdictions. We are under examination by the IRS for the tax years 2008-2010. As of September 30, 2013, the IRS has proposed certain adjustments, which we are protesting. We anticipate that the adjustments, if any, will not result in a material change to our financial position, results of operations and cash flows.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right="5480"/>
        <w:spacing w:after="0" w:line="34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13: Property and Business Interruption Insurance Claims and Recoveries </w:t>
      </w:r>
      <w:r>
        <w:rPr>
          <w:rFonts w:ascii="Times New Roman" w:cs="Times New Roman" w:eastAsia="Times New Roman" w:hAnsi="Times New Roman"/>
          <w:sz w:val="18"/>
          <w:szCs w:val="18"/>
          <w:b w:val="1"/>
          <w:bCs w:val="1"/>
          <w:color w:val="auto"/>
        </w:rPr>
        <w:t>El Dorado Facility</w:t>
      </w:r>
    </w:p>
    <w:p>
      <w:pPr>
        <w:spacing w:after="0" w:line="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On May 15, 2012, the El Dorado Facility suffered significant damage when a reactor in its 98% strength nitric acid plant (“DSN plant”) exploded. No employees or individuals in the surrounding area were seriously injured as a result of the explosion. In addition, several other plants and infrastructure within the El Dorado Facility sustained various degrees of damage. Our insurance policy provided for repair or replacement cost coverage relating to property damage with a $1.0 million deductible and provided for business interruption coverage for certain lost profits and extra expense with a 30-day waiting period. As a result of this event, a notice of insurance claims for property damage and business interruption was filed with the insurance carriers. The engineering firm representing our insurance carriers determined that the DSN plant was not destroyed by the explosion and was repairable. However, we have concluded that due to the extensive damage, the DSN plant should not be repaired but should be replaced with a new 65% strength nitric acid plant and a separate nitric acid concentrator.</w:t>
      </w:r>
    </w:p>
    <w:p>
      <w:pPr>
        <w:spacing w:after="0" w:line="11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Based upon our assessment that it was probable that the amount of coverage for property damages would exceed our property loss deductible, the net book value of the damaged property and other recoverable costs incurred through September 30, 2013, we recorded an insurance claim receivable relating to this event, which offset the loss on disposal of the damaged property and certain repairs and clean-up costs incurred (“recoverable costs”).</w:t>
      </w:r>
    </w:p>
    <w:p>
      <w:pPr>
        <w:spacing w:after="0" w:line="132" w:lineRule="exact"/>
        <w:rPr>
          <w:sz w:val="20"/>
          <w:szCs w:val="20"/>
          <w:color w:val="auto"/>
        </w:rPr>
      </w:pPr>
    </w:p>
    <w:p>
      <w:pPr>
        <w:jc w:val="both"/>
        <w:ind w:right="100"/>
        <w:spacing w:after="0" w:line="301" w:lineRule="auto"/>
        <w:rPr>
          <w:sz w:val="20"/>
          <w:szCs w:val="20"/>
          <w:color w:val="auto"/>
        </w:rPr>
      </w:pPr>
      <w:r>
        <w:rPr>
          <w:rFonts w:ascii="Times New Roman" w:cs="Times New Roman" w:eastAsia="Times New Roman" w:hAnsi="Times New Roman"/>
          <w:sz w:val="16"/>
          <w:szCs w:val="16"/>
          <w:color w:val="auto"/>
        </w:rPr>
        <w:t>As of September 30, 2013, our insurance carriers approved and funded unallocated payments totaling $60 million. We received correspondence associated with the $40 million received in 2013, which stated that our insurance carriers are still investigating the circumstances surrounding this event (including the cause of this event, scope of our losses and support for our claim) under a reservation of rights. For financial reporting purposes, we allocated $48 million to our property insurance claim and $12 million to our business interruption claim primarily based on negotiations with our insurance carriers concerning our claims.</w:t>
      </w:r>
    </w:p>
    <w:p>
      <w:pPr>
        <w:spacing w:after="0" w:line="103" w:lineRule="exact"/>
        <w:rPr>
          <w:sz w:val="20"/>
          <w:szCs w:val="20"/>
          <w:color w:val="auto"/>
        </w:rPr>
      </w:pPr>
    </w:p>
    <w:p>
      <w:pPr>
        <w:jc w:val="both"/>
        <w:ind w:right="200"/>
        <w:spacing w:after="0" w:line="310" w:lineRule="auto"/>
        <w:rPr>
          <w:sz w:val="20"/>
          <w:szCs w:val="20"/>
          <w:color w:val="auto"/>
        </w:rPr>
      </w:pPr>
      <w:r>
        <w:rPr>
          <w:rFonts w:ascii="Times New Roman" w:cs="Times New Roman" w:eastAsia="Times New Roman" w:hAnsi="Times New Roman"/>
          <w:sz w:val="16"/>
          <w:szCs w:val="16"/>
          <w:color w:val="auto"/>
        </w:rPr>
        <w:t>The $48 million allocated to the property insurance claim was partially applied against the recoverable costs totaling $24.6 million. The insurance recovery in excess of the recoverable costs of $23.4 million was deferred (included in deferred gain on insurance recoveries at September 30, 2013) since it is considered a gain contingency. The deferred portion of this recovery, and any additional recoveries, will be recognized if, and when, realized or realizable and earned.</w:t>
      </w:r>
    </w:p>
    <w:p>
      <w:pPr>
        <w:spacing w:after="0" w:line="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insurance recovery of $12 million allocated to the business interruption claim was applied against recoverable costs (primarily relating to additional expenses associated with purchased product sold to our customers while certain of our nitric and sulfuric acid plants were being repaired) totaling $12.7 million as a reduction to cost of sales ($7.3 million during the fourth quarter of 2012, $0.7 million during the first quarter of 2013, $0.5 million during the second quarter of 2013, and $4.2 million during the third quarter of 2013). The recoverable costs in excess of the insurance recovery of $0.7 million was included in accounts receivable at September 30, 2013 since this amount relates to recoverable costs, which we were able to conclude that it was at least probable (for financial reporting purposes) that these costs would be approved. See additional information regarding the conclusion of insurance claims relating to this event discussed under Note 17—Subsequent Events.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Cherokee Facility</w:t>
      </w:r>
    </w:p>
    <w:p>
      <w:pPr>
        <w:spacing w:after="0" w:line="9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November 13, 2012, a pipe ruptured within our Cherokee Facility causing damage primarily to the heat exchanger portion of its ammonia plant. No serious injuries or environmental impact resulted from the pipe rupture. As a result of the damage, the Cherokee Facility could only produce, on a limited basis, nitric acid and AN solution from purchased ammonia until the repairs were completed. Our insurance policy provides, for the policy period covering this claim, for repair or replacement cost coverage relating to property damage with a $2.5 million deductible and provides for business interruption coverage for certain lost profits and extra expense with a 30-day waiting period. As a result of this event, a notice of insurance claims for property damage and business interruption was filed with the insurance carriers.</w:t>
      </w:r>
    </w:p>
    <w:p>
      <w:pPr>
        <w:spacing w:after="0" w:line="13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Based upon our assessment that it was probable that the amount of coverage for property damages would exceed our property loss deductible, the net book value of the damaged property and other recoverable costs incurred, we recorded an insurance claim receivable relating to this event, which offset the loss on the disposal of the damaged property and other recoverable costs incurred.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Property and Business Interruption Insurance Claims and Recoveries (continued)</w:t>
      </w:r>
    </w:p>
    <w:p>
      <w:pPr>
        <w:spacing w:after="0" w:line="16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As of September 30, 2013, our insurance carriers approved and funded payments relating to our business interruption claim totaling $15 million. We received correspondence associated with the approval of these payments, which stated that our insurance carriers are still investigating the circumstances surrounding this event (including the cause of this event, scope of our losses and support for our claim) under a reservation of rights.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business interruption insurance recovery of $15 million was applied against recoverable costs (primarily relating to additional expenses associated with purchased product sold or used in products sold to our customers while our facility was being repaired) totaling $13 million as a reduction to cost of sales ($10.1 million during the first quarter of 2013 and $2.9 million during the second quarter of 2013). The insurance recovery in excess of recoverable costs of $2.0 million was deferred (included in deferred gain on insurance recoveries at September 30, 2013) since a portion of this amount relates to recoverable costs, which we were unable to conclude that it was at least probable (for financial reporting purposes) that these costs would be approved and a portion of this amount relates to lost profits, which is considered a gain contingency. The deferred portion of this recovery, and any additional recoveries, will be recognized if, and when, realized or realizable and earned.</w:t>
      </w:r>
    </w:p>
    <w:p>
      <w:pPr>
        <w:spacing w:after="0" w:line="141"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As of September 30, 2013, the balance of the insurance claim receivable, included in accounts receivable, relating to this event was $1.9 million, consisting of recoverable costs associated with our property insurance claim.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possible that the actual future development of the insurance claims discussed above could be different from our current allocations and estimates.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Other Expense, Other Income and Non-Operating Other Expense (Income), net</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6"/>
          </w:tcPr>
          <w:p>
            <w:pPr>
              <w:jc w:val="right"/>
              <w:ind w:right="378"/>
              <w:spacing w:after="0"/>
              <w:rPr>
                <w:sz w:val="20"/>
                <w:szCs w:val="20"/>
                <w:color w:val="auto"/>
              </w:rPr>
            </w:pPr>
            <w:r>
              <w:rPr>
                <w:rFonts w:ascii="Times New Roman" w:cs="Times New Roman" w:eastAsia="Times New Roman" w:hAnsi="Times New Roman"/>
                <w:sz w:val="14"/>
                <w:szCs w:val="14"/>
                <w:color w:val="auto"/>
              </w:rPr>
              <w:t>Nine Months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6"/>
          </w:tcPr>
          <w:p>
            <w:pPr>
              <w:jc w:val="right"/>
              <w:ind w:right="538"/>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w w:val="92"/>
              </w:rPr>
              <w:t>2013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w w:val="99"/>
              </w:rPr>
              <w:t>2012</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w w:val="92"/>
              </w:rPr>
              <w:t>2013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right"/>
              <w:ind w:right="236"/>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Dismantle and demolition expense (1)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2,364</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center"/>
              <w:ind w:right="138"/>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Miscellaneous penalties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38"/>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Losses on sales and disposals of property and equipment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Realized and unrealized losses on contractual obligations associated with carbon credits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Miscellaneous expense (2)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4,707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3"/>
              </w:rPr>
              <w:t>1,106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951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Realized and unrealized gains on carbon credits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248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Settlements of litigation and potential litigation (3)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38"/>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Gains (losses) on sales and disposals of property and equipment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38"/>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Miscellaneous income (2)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837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Non-operating other expense (income),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Miscellaneous income (2)</w:t>
            </w:r>
          </w:p>
        </w:tc>
        <w:tc>
          <w:tcPr>
            <w:tcW w:w="100" w:type="dxa"/>
            <w:vAlign w:val="bottom"/>
          </w:tcPr>
          <w:p>
            <w:pPr>
              <w:spacing w:after="0"/>
              <w:rPr>
                <w:sz w:val="18"/>
                <w:szCs w:val="18"/>
                <w:color w:val="auto"/>
              </w:rPr>
            </w:pPr>
          </w:p>
        </w:tc>
        <w:tc>
          <w:tcPr>
            <w:tcW w:w="6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Miscellaneous expense (2)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2"/>
        </w:trPr>
        <w:tc>
          <w:tcPr>
            <w:tcW w:w="69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non-operating other expense (income),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(270</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Other Expense, Other Income and Non-Operating Other Expense (Income), net (continued)</w:t>
      </w:r>
    </w:p>
    <w:p>
      <w:pPr>
        <w:spacing w:after="0" w:line="160" w:lineRule="exact"/>
        <w:rPr>
          <w:sz w:val="20"/>
          <w:szCs w:val="20"/>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relates to the dismantling and demolition of certain plant and equipment at our chemical facilities.</w:t>
      </w:r>
    </w:p>
    <w:p>
      <w:pPr>
        <w:spacing w:after="0" w:line="2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numerous unrelated transactions, none of which are individually significant requiring separate disclosure.</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relates primarily to a settlement reached associated with a class action insurance brokerage antitrust litigation.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Segment Information</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color w:val="auto"/>
              </w:rPr>
              <w:t>Nine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6"/>
          </w:tcPr>
          <w:p>
            <w:pPr>
              <w:jc w:val="right"/>
              <w:ind w:right="72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6"/>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rPr>
              <w:t>2013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rPr>
              <w:t>2012</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rPr>
              <w:t>2013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right"/>
              <w:ind w:right="395"/>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Chemical (1)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303,017</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372,551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104,199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110,212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217,490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198,286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67,982</w:t>
            </w:r>
          </w:p>
        </w:tc>
        <w:tc>
          <w:tcPr>
            <w:tcW w:w="0" w:type="dxa"/>
            <w:vAlign w:val="bottom"/>
          </w:tcPr>
          <w:p>
            <w:pPr>
              <w:spacing w:after="0"/>
              <w:rPr>
                <w:sz w:val="1"/>
                <w:szCs w:val="1"/>
                <w:color w:val="auto"/>
              </w:rPr>
            </w:pPr>
          </w:p>
        </w:tc>
      </w:tr>
      <w:tr>
        <w:trPr>
          <w:trHeight w:val="223"/>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530,252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581,894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177,350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182,374</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 (2)</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Chemical (1) (3)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78,789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24,610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11,291</w:t>
            </w: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20,457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112,990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143,366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Chemical (1) (3)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6,856</w:t>
            </w:r>
          </w:p>
        </w:tc>
        <w:tc>
          <w:tcPr>
            <w:tcW w:w="0" w:type="dxa"/>
            <w:vAlign w:val="bottom"/>
          </w:tcPr>
          <w:p>
            <w:pPr>
              <w:spacing w:after="0"/>
              <w:rPr>
                <w:sz w:val="1"/>
                <w:szCs w:val="1"/>
                <w:color w:val="auto"/>
              </w:rPr>
            </w:pPr>
          </w:p>
        </w:tc>
      </w:tr>
      <w:tr>
        <w:trPr>
          <w:trHeight w:val="223"/>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 corporate expenses and other business operations, net (5)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other expense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Chemical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Climate Control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 and other business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Provisions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affiliate-Climate Control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line="254"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nine months of 2013, our Chemical Business experienced downtime at the Cherokee, El Dorado and Pryor Facilities resulting in lost production and significant adverse effect on operating results. During the first nine months of 2012, our Chemical Business also experienced downtime at the El Dorado and Pryor Facilities that adversely affected operating results. Also see Note 13—Property and Business Interruption Insurance Claims and Recoveries.</w:t>
      </w:r>
    </w:p>
    <w:p>
      <w:pPr>
        <w:ind w:left="580" w:right="140" w:hanging="572"/>
        <w:spacing w:after="0" w:line="250" w:lineRule="auto"/>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by business segment represents net sales less cost of sales. Gross profit classified as “Other” relates to the sales of industrial machinery and related components.</w:t>
      </w: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and three months ended September 30, 2013, our Chemical Business recognized a recovery of precious metals of $4.6 million.</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Segment Information (continued)</w:t>
      </w:r>
    </w:p>
    <w:p>
      <w:pPr>
        <w:spacing w:after="0" w:line="160" w:lineRule="exact"/>
        <w:rPr>
          <w:sz w:val="20"/>
          <w:szCs w:val="20"/>
          <w:color w:val="auto"/>
        </w:rPr>
      </w:pPr>
    </w:p>
    <w:p>
      <w:pPr>
        <w:ind w:left="580" w:hanging="572"/>
        <w:spacing w:after="0" w:line="253"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operating decision makers use operating income by business segment for purposes of making decisions, which include resource allocations and performance evaluations. Operating income by business segment represents gross profit by business segment less selling, general and administrative expense (“SG&amp;A”) incurred by each business segment plus other income and other expense earned/incurred by each business segment before general corporate expenses and other business operations, net. General corporate expenses and other business operations, net, consist of unallocated portions of gross profit, SG&amp;A, other income and other expense.</w:t>
      </w:r>
    </w:p>
    <w:p>
      <w:pPr>
        <w:spacing w:after="0" w:line="1" w:lineRule="exact"/>
        <w:rPr>
          <w:rFonts w:ascii="Times New Roman" w:cs="Times New Roman" w:eastAsia="Times New Roman" w:hAnsi="Times New Roman"/>
          <w:sz w:val="18"/>
          <w:szCs w:val="18"/>
          <w:color w:val="auto"/>
        </w:rPr>
      </w:pPr>
    </w:p>
    <w:p>
      <w:pPr>
        <w:ind w:left="580" w:right="500" w:hanging="572"/>
        <w:spacing w:after="0" w:line="323"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included are not allocated to our Climate Control and Chemical Businesses since these items are not included in the operating results reviewed by our chief operating decision makers for purposes of making decisions as discussed above. A detail of these amounts are as follows:</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color w:val="auto"/>
              </w:rPr>
              <w:t>Nine Months Ended</w:t>
            </w:r>
          </w:p>
        </w:tc>
        <w:tc>
          <w:tcPr>
            <w:tcW w:w="180" w:type="dxa"/>
            <w:vAlign w:val="bottom"/>
          </w:tcPr>
          <w:p>
            <w:pPr>
              <w:spacing w:after="0"/>
              <w:rPr>
                <w:sz w:val="13"/>
                <w:szCs w:val="13"/>
                <w:color w:val="auto"/>
              </w:rPr>
            </w:pPr>
          </w:p>
        </w:tc>
        <w:tc>
          <w:tcPr>
            <w:tcW w:w="16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2"/>
                <w:szCs w:val="12"/>
                <w:color w:val="auto"/>
              </w:rPr>
            </w:pPr>
          </w:p>
        </w:tc>
        <w:tc>
          <w:tcPr>
            <w:tcW w:w="1600" w:type="dxa"/>
            <w:vAlign w:val="bottom"/>
            <w:gridSpan w:val="5"/>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8"/>
              <w:spacing w:after="0"/>
              <w:rPr>
                <w:sz w:val="20"/>
                <w:szCs w:val="20"/>
                <w:color w:val="auto"/>
              </w:rPr>
            </w:pPr>
            <w:r>
              <w:rPr>
                <w:rFonts w:ascii="Times New Roman" w:cs="Times New Roman" w:eastAsia="Times New Roman" w:hAnsi="Times New Roman"/>
                <w:sz w:val="14"/>
                <w:szCs w:val="14"/>
                <w:color w:val="auto"/>
              </w:rPr>
              <w:t>2013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2012</w:t>
            </w:r>
          </w:p>
        </w:tc>
        <w:tc>
          <w:tcPr>
            <w:tcW w:w="220" w:type="dxa"/>
            <w:vAlign w:val="bottom"/>
          </w:tcPr>
          <w:p>
            <w:pPr>
              <w:spacing w:after="0"/>
              <w:rPr>
                <w:sz w:val="14"/>
                <w:szCs w:val="14"/>
                <w:color w:val="auto"/>
              </w:rPr>
            </w:pPr>
          </w:p>
        </w:tc>
        <w:tc>
          <w:tcPr>
            <w:tcW w:w="72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color w:val="auto"/>
              </w:rPr>
              <w:t>2013</w:t>
            </w:r>
          </w:p>
        </w:tc>
        <w:tc>
          <w:tcPr>
            <w:tcW w:w="240" w:type="dxa"/>
            <w:vAlign w:val="bottom"/>
          </w:tcPr>
          <w:p>
            <w:pPr>
              <w:spacing w:after="0"/>
              <w:rPr>
                <w:sz w:val="14"/>
                <w:szCs w:val="14"/>
                <w:color w:val="auto"/>
              </w:rPr>
            </w:pPr>
          </w:p>
        </w:tc>
        <w:tc>
          <w:tcPr>
            <w:tcW w:w="7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jc w:val="right"/>
              <w:ind w:right="302"/>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profit-Other</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$ 1,131</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Personnel costs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(7,829)</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(2,331)</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Professional fees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(3,250)</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(1,226)</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All other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(2,639)</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(652)</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22"/>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1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(13,382)</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(13,718)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(4,209)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corporate expenses and other business operations, net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(9,736)</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(3,084)</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60" w:firstLine="8"/>
        <w:spacing w:after="0" w:line="462" w:lineRule="auto"/>
        <w:tabs>
          <w:tab w:leader="none" w:pos="5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and three months ended September 30, 2013, interest expense is net of capitalized interest of $2.1 million and $1.2 million, respectively. Information about our total assets by business segment is as follows:</w:t>
      </w:r>
    </w:p>
    <w:tbl>
      <w:tblPr>
        <w:tblLayout w:type="fixed"/>
        <w:tblInd w:w="1380" w:type="dxa"/>
        <w:tblCellMar>
          <w:top w:w="0" w:type="dxa"/>
          <w:left w:w="0" w:type="dxa"/>
          <w:bottom w:w="0" w:type="dxa"/>
          <w:right w:w="0" w:type="dxa"/>
        </w:tblCellMar>
      </w:tblPr>
      <w:tr>
        <w:trPr>
          <w:trHeight w:val="150"/>
        </w:trPr>
        <w:tc>
          <w:tcPr>
            <w:tcW w:w="6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w w:val="93"/>
              </w:rPr>
              <w:t>September 30,</w:t>
            </w:r>
          </w:p>
        </w:tc>
        <w:tc>
          <w:tcPr>
            <w:tcW w:w="1380" w:type="dxa"/>
            <w:vAlign w:val="bottom"/>
            <w:gridSpan w:val="4"/>
          </w:tcPr>
          <w:p>
            <w:pPr>
              <w:ind w:left="520"/>
              <w:spacing w:after="0" w:line="150" w:lineRule="exact"/>
              <w:rPr>
                <w:sz w:val="20"/>
                <w:szCs w:val="20"/>
                <w:color w:val="auto"/>
              </w:rPr>
            </w:pPr>
            <w:r>
              <w:rPr>
                <w:rFonts w:ascii="Times New Roman" w:cs="Times New Roman" w:eastAsia="Times New Roman" w:hAnsi="Times New Roman"/>
                <w:sz w:val="14"/>
                <w:szCs w:val="14"/>
                <w:color w:val="auto"/>
              </w:rPr>
              <w:t>December 31,</w:t>
            </w:r>
          </w:p>
        </w:tc>
      </w:t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color w:val="auto"/>
              </w:rPr>
              <w:t>2013</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806,315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394,479</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Climate Control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152,635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139,526</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assets and other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55,055</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42,607</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1,014,005</w:t>
            </w:r>
          </w:p>
        </w:tc>
        <w:tc>
          <w:tcPr>
            <w:tcW w:w="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576,612</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Related Party Transactions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Golsen Group</w:t>
      </w:r>
    </w:p>
    <w:p>
      <w:pPr>
        <w:spacing w:after="0" w:line="9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March 2012, we paid dividends totaling $300,000 on our Series B Preferred and our Series D Preferred. In March 2013, we declared and subsequently paid dividends totaling $300,000 on our Series B Preferred and our Series D Preferred. The Series B Preferred and Series D Preferred are non-redeemable preferred stocks issued in 1986 and 2001, respectively, of which all outstanding shares are owned by Jack E. Golsen (“Golsen”), our Chairman of the Board and Chief Executive Officer, members of his immediate family (spouse and children), including Barry H. Golsen, our Vice Chairman and President, Steven J. Golsen, a Director and Chief Operating Officer of our Climate Control Business, entities owned by them and trusts for which they possess voting or dispositive power as trustee (together, the “Golsen Group”).</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455" w:right="2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Related Party Transactions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New Director</w:t>
      </w:r>
    </w:p>
    <w:p>
      <w:pPr>
        <w:spacing w:after="0" w:line="9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On March 15, 2013, our Board of Directors appointed Mr. Lance Benham as a new member of our Board of Directors. Mr. Benham’s appointment fills the board vacancy resulting from the passing of Mr. Horace Rhodes in January 2013. At the 2013 annual meeting of stockholders held in May, Mr. Benham was elected to serve with the class of directors having a term that will expire in 2016. In January 2013, Mr. Benham retired as Senior Vice President of SAIC Energy, Environment &amp; Infrastructure, LLC (“SAIC Energy”), a subsidiary of Science Applications International Corporation (“SAIC”). There are no arrangements or understandings between Mr. Benham and any other person pursuant to which Mr. Benham was appointed as a director of LSB. During 2012, we incurred approximately $127,000 with SAIC Energy for engineering services relating to our chemical facilities. During the first nine months of 2013, we incurred approximately $5,734,000 with SAIC Energy for engineering services and deconstruction services relating to our chemical facilities. In August 2013, we negotiated an Engineering Procurement and Construction Agreement with SAIC Constructors, LLC, a subsidiary of SAIC, to engineer and construct the ammonia plant and certain support facilities. We expect SAIC Constructor’s fees in connection with this agreement to be approximately $22 million.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17: Subsequent Events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Conclusion of Insurance Claims—El Dorado Facility </w:t>
      </w:r>
      <w:r>
        <w:rPr>
          <w:rFonts w:ascii="Times New Roman" w:cs="Times New Roman" w:eastAsia="Times New Roman" w:hAnsi="Times New Roman"/>
          <w:sz w:val="16"/>
          <w:szCs w:val="16"/>
          <w:color w:val="auto"/>
        </w:rPr>
        <w:t>As discussed in Note 13—Property and Business Interruption Claims and Recoveries, we filed insurance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claims for property damage and business interruption losses in connection with the May 15, 2012, explosion of a reactor in the 98% strength nitric acid plant 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El Dorado Facility. Effective October 23, 2013, we settled these claims with our insurance carriers for the aggregate amount of $113 million, comprised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 million previously paid to us and $53 million to be paid to us within 30 days from October 23, 2013. When realized, an insurance recovery of approximately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million (including $23 million deferred gain at September 30, 2013) will be recognized as income associated with this settlement.</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92"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The following Management’s Discussion and Analysis of Financial Condition and Results of Operations (“MD&amp;A”) should be read in conjunction with a review of the other Items included in this Form 10-Q including our September 30, 2013 condensed consolidated financial statements included elsewhere in this report. Certain statements contained in this MD&amp;A may be deemed to be forward-looking statements. See “Special Note Regarding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LSB Industries, Inc. (“LSB”) is a manufacturing and marketing company operating through our subsidiaries. LSB and its wholly owned subsidiaries (the “Company”, “We”, “Us”, or “Our”) own the following core businesses:</w:t>
      </w:r>
    </w:p>
    <w:p>
      <w:pPr>
        <w:spacing w:after="0" w:line="39" w:lineRule="exact"/>
        <w:rPr>
          <w:sz w:val="20"/>
          <w:szCs w:val="20"/>
          <w:color w:val="auto"/>
        </w:rPr>
      </w:pPr>
    </w:p>
    <w:p>
      <w:pPr>
        <w:ind w:left="900" w:hanging="325"/>
        <w:spacing w:after="0" w:line="25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Chemical Business manufactures and sells nitrogen-based chemical products produced from four facilities located in El Dorado, Arkansas; Cherokee, Alabama; Pryor, Oklahoma; and Baytown, Texas for the agricultural, industrial and mining markets. Our products include high purity and commercial grade anhydrous ammonia for industrial and agricultural applications, industrial and fertilizer grade AN, urea ammonium nitrate (“UAN”), sulfuric acids, nitric acids in various concentrations, nitrogen solutions, diesel exhaust fluid and various other products. For the first nine months of 2013, approximately 57% of our consolidated net sales relates to the Chemical Business compared to 64% for the first nine months of 2012.</w:t>
      </w:r>
    </w:p>
    <w:p>
      <w:pPr>
        <w:spacing w:after="0" w:line="58" w:lineRule="exact"/>
        <w:rPr>
          <w:rFonts w:ascii="Times New Roman" w:cs="Times New Roman" w:eastAsia="Times New Roman" w:hAnsi="Times New Roman"/>
          <w:sz w:val="18"/>
          <w:szCs w:val="18"/>
          <w:color w:val="auto"/>
        </w:rPr>
      </w:pPr>
    </w:p>
    <w:p>
      <w:pPr>
        <w:ind w:left="900" w:right="20" w:hanging="325"/>
        <w:spacing w:after="0" w:line="25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Control Business manufactures and sells a broad range of HVAC products in the niche markets we serve consisting of geothermal and water source heat pumps, hydronic fan coils, large custom air handlers, modular geothermal and other chillers and other related products used to control the environment in commercial/institutional and residential new building construction, renovation of existing buildings and replacement of existing systems. Our Climate Control Business manufactures and distributes its products from seven facilities located in Oklahoma City, Oklahoma. For the first nine months of 2013, approximately 41% of our consolidated net sales relates to the Climate Control Business compared to 34% for the first nine months of 2012.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Issuance of Senior Secured Notes and Intended Use of Proceeds</w:t>
      </w:r>
    </w:p>
    <w:p>
      <w:pPr>
        <w:spacing w:after="0" w:line="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As discussed below under “Liquidity and Capital Resources,” on August 7, 2013, LSB sold $425 million aggregate principal amount of the 7.75% Senior Secured Notes due 2019 (the “Senior Secured Notes”) in a private placement.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LSB has used or intends to use the proceeds, net of commissions and fees, from the sale of the Senior Secured Notes, as follows:</w:t>
      </w:r>
    </w:p>
    <w:p>
      <w:pPr>
        <w:spacing w:after="0" w:line="90" w:lineRule="exact"/>
        <w:rPr>
          <w:sz w:val="20"/>
          <w:szCs w:val="20"/>
          <w:color w:val="auto"/>
        </w:rPr>
      </w:pPr>
    </w:p>
    <w:p>
      <w:pPr>
        <w:ind w:left="900" w:right="540" w:hanging="325"/>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$67.2 million was used to pay all outstanding borrowings, including the prepayment penalty, under a term loan agreement (the “Secured Term Loan”); and</w:t>
      </w:r>
    </w:p>
    <w:p>
      <w:pPr>
        <w:spacing w:after="0" w:line="38" w:lineRule="exact"/>
        <w:rPr>
          <w:rFonts w:ascii="Times New Roman" w:cs="Times New Roman" w:eastAsia="Times New Roman" w:hAnsi="Times New Roman"/>
          <w:sz w:val="18"/>
          <w:szCs w:val="18"/>
          <w:color w:val="auto"/>
        </w:rPr>
      </w:pPr>
    </w:p>
    <w:p>
      <w:pPr>
        <w:ind w:left="900" w:right="80" w:hanging="325"/>
        <w:spacing w:after="0" w:line="26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is being used for general corporate purposes, including the construction of an ammonia plant, nitric acid plant, and concentrator at the El Dorado Facility; improvement of reliability, mechanical integrity, and safety at our chemical facilities; and the development of our acquired natural gas leaseholds during the next three years.</w:t>
      </w:r>
    </w:p>
    <w:p>
      <w:pPr>
        <w:spacing w:after="0" w:line="13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Using a portion of the net proceeds from the sale of the Senior Secured Notes, we are proceeding with the design, engineering, and construction of an ammonia plant at the El Dorado Facility. The estimated construction cost for this project ranges from $250 million to $300 million, of which $29.8 million has been incurred and capitalized at September 30, 2013 as discussed below under “Liquidity and Capital Resources—Capital Expenditures”. We have filed for permits with the Arkansas Department of Environmental Quality (“ADEQ”) and the United States Environmental Protection Agency (“EPA”) for the construction of the ammonia plant, the 65% strength nitric acid plant, and the 98% concentrator.</w:t>
      </w:r>
    </w:p>
    <w:p>
      <w:pPr>
        <w:spacing w:after="0" w:line="139"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Pending application of proceeds discussed above, the net proceeds from the Senior Secured Notes are currently invested in highly rated money market funds, certificates of deposit and U.S. Treasury bills.</w:t>
      </w:r>
    </w:p>
    <w:p>
      <w:pPr>
        <w:spacing w:after="0" w:line="12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Senior Secured Notes are jointly and severally and fully and unconditionally guaranteed by all of LSB’s subsidiaries and are collateralized with a substantial portion of LSB and its subsidiaries assets, except the guarantees by Zena Energy L.L.C. (“Zena”) and El Dorado Nitric Company and its subsidiaries (“EDN”) are not secured by any of Zena or EDN’s assets.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In conjunction with the Senior Secured Notes, we entered into an amendment to the Working Capital Revolver Loan as discussed below under “Liquidity and Capital Resources”.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Economic Conditions</w:t>
      </w:r>
    </w:p>
    <w:p>
      <w:pPr>
        <w:spacing w:after="0" w:line="9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Since our two core business segments serve several diverse markets, we consider fundamentals for each market individually as we evaluate economic conditions. From a macro standpoint, we believe the U.S. economy is poised for modest growth, based upon certain economic reports, including the Conference Board Composite Index of Leading Indicators.</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Chemical Business—Our Chemical Business’ primary markets are agricultural, industrial and mining. During the first nine months of 2013, sales were $303.0 million or 19% lower than the first nine months of 2012. Due primarily to the significant downtime at certain of our chemical facilities, as discussed below under “Downtime at Certain Chemical Facilities and Related Programs,” the corresponding impact on production, sales (in volumes and dollars) were lower in all three of our primary markets compared to the same period in 2012.</w:t>
      </w:r>
    </w:p>
    <w:p>
      <w:pPr>
        <w:spacing w:after="0" w:line="13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In normal circumstances, our agricultural sales volumes and prices depend upon the supply of and the demand for fertilizer, which in turn depends on the market fundamentals for crops including corn, wheat, cotton and forage. Nitrogen fertilizer prices are currently lower than the same time a year ago, due to significant increase in urea being exported by China, along with projections of high corn and wheat production compared to a year ago. Based on the USDA’s Crop Production and World Demand Estimates reports, the updated production figures for corn and wheat would be a new record for the U.S. Notwithstanding the current conditions, the fundamentals continue to be positive for nitrogen fertilizer products we produce and sell and gross margins, although lower, are still strong. However, the fertilizer outlook could change if there are unanticipated changes in domestic fertilizer production capacity, acres planted of crops requiring fertilizer, unfavorable weather conditions or continued low selling prices and continuation of imported urea. Our industrial acids sales volume is dependent upon general economic conditions primarily in the housing, automotive, and paper industries. According to the American Chemical Council, the outlook for these three sectors is generally positive. Our sales prices vary with the market price of our feedstock cost of ammonia or sulfur as applicable in our pricing arrangements with customers. Our mining sales volume is being impacted by lower customer demand for industrial grade AN, which we believe is due to higher coal inventories and natural gas being a more attractive alternative feedstock than coal for utility companies. As reported by the U.S. Department of Energy, during 2013, coal production was down in nearly every coal producing region compared to the same period in 2012.</w:t>
      </w:r>
    </w:p>
    <w:p>
      <w:pPr>
        <w:spacing w:after="0" w:line="3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use natural gas to produce anhydrous ammonia in two of our four facilities, which ammonia is used to produce nitrogen fertilizer and industrial products, and sold in its original form. We also produce agricultural grade and industrial grade AN from purchased ammonia, which cost is significantly higher than producing it from natural gas, resulting in a cost disadvantage compared to nitrogen fertilizers and industrial AN producers that produce from natural gas. Using a portion of the net proceeds from the sale of the Senior Secured Notes, we are proceeding with the design, engineering and construction of an ammonia plant at the El Dorado Facility.</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Climate Control Business—Sales for the first nine months of 2013 were $217.5 million, or 10% higher than the same period in 2012, including a 15% increase in hydronic fan coil sales and a 12% increase in geothermal and water source heat pump sales (both increases were associated with a higher number of units shipped, unit pricing and product mix) partially offset by a 6% decrease in other HVAC sales. From a market sector perspective, the sales increase was due to a 12% improvement in commercial/institutional product sales, whereas sales of residential products were flat. The improvement in commercial/institutional sales in the first nine months is primarily due to higher new construction activity in those sectors, which resulted in higher customer order intake in the current and preceding periods for our commercial/institutional products for most of our product lines. For the first nine months of 2013, order levels of our products increased in both residential products and commercial/institutional products, up 2% and 1%, respectively. Information available from the McGraw-Hill Construction Market forecast indicates that construction activity for the markets we serve in the commercial/institutional sector are expected to increase in aggregate during 2013 although still significantly below pre-recession levels. The McGraw-Hill Construction Market forecast has also indicated construction growth in the single-family residential sector for 2013, also remaining significantly below pre-recession levels.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for the Third Quarter of 2013</w:t>
      </w:r>
    </w:p>
    <w:p>
      <w:pPr>
        <w:spacing w:after="0" w:line="9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Our consolidated net sales for the third quarter of 2013 were $177.4 million, a decrease of $5.0 million compared to the same period of 2012. The sales decrease included a decrease of $6.0 million in our Chemical Business, partially offset by an increase of $1.9 million in our Climate Control Business.</w:t>
      </w:r>
    </w:p>
    <w:p>
      <w:pPr>
        <w:spacing w:after="0" w:line="120"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Our consolidated operating income was $23.1 million for the third quarter of 2013, an increase of $11.3 million compared to the same period of 2012. The increase in operating income included an increase of $10.2 million in our Chemical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resulting effective income tax rate for the third quarter of 2013 was approximately 38% compared to 36% for the same period in 2012.</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Chemical Business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Chemical Business operates four chemical facilities. The Cherokee and Pryor Facilities produce anhydrous ammonia and nitrogen products from natural gas delivered by pipeline but can also receive supplemental anhydrous ammonia by other modes of delivery. The El Dorado and Baytown Facilities produce nitrogen products from anhydrous ammonia delivered by pipeline. As discussed above, we are proceeding with the plan to construct an anhydrous ammonia plant at the El Dorado Facility, subject to receiving the required permits.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Chemical Business sales for the third quarter of 2013 were $104.2 million, a decrease of $6.0 million compared to the same period of 2012, which includes a $14.5 million decrease in mining products sales, a $6.3 million decrease in industrial acids and other products sales partially offset by a $13.4 million increase in agricultural products sales.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change in sales (volume and dollars) for the third quarter of 2013 compared to the third quarter of 2012 is as follows (excluding natural gas):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9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color w:val="auto"/>
              </w:rPr>
              <w:t>Percentage Change of</w:t>
            </w:r>
          </w:p>
        </w:tc>
      </w:tr>
      <w:tr>
        <w:trPr>
          <w:trHeight w:val="161"/>
        </w:trPr>
        <w:tc>
          <w:tcPr>
            <w:tcW w:w="6700" w:type="dxa"/>
            <w:vAlign w:val="bottom"/>
          </w:tcPr>
          <w:p>
            <w:pPr>
              <w:spacing w:after="0"/>
              <w:rPr>
                <w:sz w:val="14"/>
                <w:szCs w:val="14"/>
                <w:color w:val="auto"/>
              </w:rPr>
            </w:pPr>
          </w:p>
        </w:tc>
        <w:tc>
          <w:tcPr>
            <w:tcW w:w="122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w w:val="92"/>
              </w:rPr>
              <w:t>Tons</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Dollars</w:t>
            </w: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Chemical products:</w:t>
            </w: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Agricultural</w:t>
            </w:r>
          </w:p>
        </w:tc>
        <w:tc>
          <w:tcPr>
            <w:tcW w:w="12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Industrial acids and other</w:t>
            </w:r>
          </w:p>
        </w:tc>
        <w:tc>
          <w:tcPr>
            <w:tcW w:w="12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Mining</w:t>
            </w: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weighted-average change</w:t>
            </w:r>
          </w:p>
        </w:tc>
        <w:tc>
          <w:tcPr>
            <w:tcW w:w="12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bl>
    <w:p>
      <w:pPr>
        <w:spacing w:after="0" w:line="148"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Our agricultural sales increased primarily due to the improved production of ammonia and UAN at our Cherokee and Pryor Facilities partially offset by lower sales prices for agricultural products.</w:t>
      </w:r>
    </w:p>
    <w:p>
      <w:pPr>
        <w:spacing w:after="0" w:line="120"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auto"/>
        </w:rPr>
        <w:t>Industrial acids sales increased as all of our plants at the El Dorado Facility were in operation compared to the same period in 2012 when the remaining acid plants were being repaired. The decrease in sales dollars was primarily due to lower feedstock cost of ammonia in our pricing agreements with certain customers.</w:t>
      </w:r>
    </w:p>
    <w:p>
      <w:pPr>
        <w:spacing w:after="0" w:line="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decrease in mining sales volume is primarily due to lower customer demand for industrial grade AN in the U.S. and customers favoring lower cost suppliers utilizing natural gas-based product economics compared to purchased ammonia at the El Dorado Facility. However, a portion of the mining sales decline did not impact gross profit due to a certain supply agreement with a customer that includes a contractual obligation to purchase a minimum quantity and allows us to recover our costs plus a profit irrespective of the volume of products sold.</w:t>
      </w:r>
    </w:p>
    <w:p>
      <w:pPr>
        <w:spacing w:after="0" w:line="136"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Our primary raw material feedstocks (anhydrous ammonia and natural gas) are commodities subject to significant price fluctuations. Generally, we purchase at prices in effect at the time of delivery; however, periodically, we enter into contracts to purchase natural gas for anticipated production needs, for which contract prices will vary from the spot market prices. In addition, our Chemical Business owns working interests in certain natural gas properties. Management considers these working interests as an economic hedge against the potential rise in natural gas prices in the future for a portion of our future natural gas production requirements. During the third quarter of 2013, the average prices for those commodities compared to the third quarter of 2012 were as follows:</w:t>
      </w:r>
    </w:p>
    <w:p>
      <w:pPr>
        <w:spacing w:after="0" w:line="15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80" w:type="dxa"/>
            <w:vAlign w:val="bottom"/>
            <w:gridSpan w:val="2"/>
          </w:tcPr>
          <w:p>
            <w:pPr>
              <w:jc w:val="center"/>
              <w:ind w:left="592"/>
              <w:spacing w:after="0"/>
              <w:rPr>
                <w:sz w:val="20"/>
                <w:szCs w:val="20"/>
                <w:color w:val="auto"/>
              </w:rPr>
            </w:pPr>
            <w:r>
              <w:rPr>
                <w:rFonts w:ascii="Times New Roman" w:cs="Times New Roman" w:eastAsia="Times New Roman" w:hAnsi="Times New Roman"/>
                <w:sz w:val="14"/>
                <w:szCs w:val="14"/>
                <w:color w:val="auto"/>
                <w:w w:val="92"/>
              </w:rPr>
              <w:t>2013</w:t>
            </w:r>
          </w:p>
        </w:tc>
        <w:tc>
          <w:tcPr>
            <w:tcW w:w="920" w:type="dxa"/>
            <w:vAlign w:val="bottom"/>
            <w:gridSpan w:val="2"/>
          </w:tcPr>
          <w:p>
            <w:pPr>
              <w:jc w:val="center"/>
              <w:ind w:left="432"/>
              <w:spacing w:after="0"/>
              <w:rPr>
                <w:sz w:val="20"/>
                <w:szCs w:val="20"/>
                <w:color w:val="auto"/>
              </w:rPr>
            </w:pPr>
            <w:r>
              <w:rPr>
                <w:rFonts w:ascii="Times New Roman" w:cs="Times New Roman" w:eastAsia="Times New Roman" w:hAnsi="Times New Roman"/>
                <w:sz w:val="14"/>
                <w:szCs w:val="14"/>
                <w:color w:val="auto"/>
                <w:w w:val="92"/>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average price per MMBtu based upon Henry Hub pipeline pricing point</w:t>
            </w:r>
          </w:p>
        </w:tc>
        <w:tc>
          <w:tcPr>
            <w:tcW w:w="6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3.55</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Ammonia average price based upon low Tampa price per metric ton</w:t>
            </w: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$ 488</w:t>
            </w:r>
          </w:p>
        </w:tc>
        <w:tc>
          <w:tcPr>
            <w:tcW w:w="5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jc w:val="right"/>
              <w:ind w:right="2072"/>
              <w:spacing w:after="0"/>
              <w:rPr>
                <w:sz w:val="20"/>
                <w:szCs w:val="20"/>
                <w:color w:val="auto"/>
              </w:rPr>
            </w:pPr>
            <w:r>
              <w:rPr>
                <w:rFonts w:ascii="Times New Roman" w:cs="Times New Roman" w:eastAsia="Times New Roman" w:hAnsi="Times New Roman"/>
                <w:sz w:val="18"/>
                <w:szCs w:val="18"/>
                <w:color w:val="auto"/>
              </w:rPr>
              <w:t>33</w:t>
            </w: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Most of our Chemical Business sales in the industrial and mining markets were pursuant to sales contracts and/or pricing arrangements on terms that include the cost of raw material feedstock as a pass through component in the sales price. Our Chemical Business sales in the agricultural markets primarily were at the spot market price in effect at the time of sale or at a negotiated future price.</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Chemical Business’ operating income for the third quarter of 2013 was $17.7 million compared to $7.5 million for the same period of 2012. The increase in operating income was primarily due to higher sales volume. Our Pryor and El Dorado Facilities were both impacted by unplanned downtime during the third quarter of 2012 and our Cherokee Facility performed a Turnaround during the third quarter of 2012. In addition, during the third quarter of 2013, we recognized a precious metals recovery of $4.6 million and insurance recoveries of $4.2 million. See discussion as to certain claims and recoveries under our insurance policies below under “Property and Business Interruption Insurance Claims and Recoveries.” Although operating income increased in the third quarter of 2013 compared to the same quarter of 2012, the 2013 results were negatively affected by lower than expected production at the Pryor Facility due to intermittent production issues as discussed below, lower selling prices for most products, higher natural gas feedstock prices and higher expenses to implement enhanced process risk management, reliability and mechanical integrity.</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third quarter of 2013, the Pryor Facility experienced problems within its ammonia production process that limited production rates. For the quarter, the Pryor Facility’s ammonia production was 45,000 tons, or approximately 75% of expected production. Our new monitoring diagnostics identified certain conditions indicating that the plant required maintenance. Therefore during October, 2013, we began an unplanned maintenance procedure. We expect to complete the maintenance in November 2013. In addition as discussed below, nitric acid production capacity at the El Dorado Facility will continue to be approximately 20% lower than the production capacity prior to the DSN plant explosion until the construction of the new nitric acid plant and concentrator is completed and begins production.</w:t>
      </w:r>
    </w:p>
    <w:p>
      <w:pPr>
        <w:spacing w:after="0" w:line="139" w:lineRule="exact"/>
        <w:rPr>
          <w:sz w:val="20"/>
          <w:szCs w:val="20"/>
          <w:color w:val="auto"/>
        </w:rPr>
      </w:pPr>
    </w:p>
    <w:p>
      <w:pPr>
        <w:ind w:right="320"/>
        <w:spacing w:after="0" w:line="310" w:lineRule="auto"/>
        <w:rPr>
          <w:sz w:val="20"/>
          <w:szCs w:val="20"/>
          <w:color w:val="auto"/>
        </w:rPr>
      </w:pPr>
      <w:r>
        <w:rPr>
          <w:rFonts w:ascii="Times New Roman" w:cs="Times New Roman" w:eastAsia="Times New Roman" w:hAnsi="Times New Roman"/>
          <w:sz w:val="16"/>
          <w:szCs w:val="16"/>
          <w:color w:val="auto"/>
        </w:rPr>
        <w:t>Pursuant to a long-term cost-plus supply agreement, EDC sells to a customer a significant annual volume of industrial grade AN produced at the El Dorado Facility. In April 2013, this agreement was amended to update and correct the specification of AN solution to be manufactured by EDC. The amendment also modified the required notice of termination from two years to one year, with the effective termination date in such notice to be no sooner than April 9, 2015.</w:t>
      </w:r>
    </w:p>
    <w:p>
      <w:pPr>
        <w:spacing w:after="0" w:line="97"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We have filed draft permits with the ADEQ and EPA for the new 65% strength nitric acid plant, the new 98% concentrator, the new ammonia plant, and the associated infrastructure. These draft permits are in the public comment and EPA review stage of the approval process.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Climate Control Business</w:t>
      </w:r>
    </w:p>
    <w:p>
      <w:pPr>
        <w:spacing w:after="0" w:line="92"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auto"/>
        </w:rPr>
        <w:t>Our Climate Control sales for the third quarter of 2013 were $69.9 million, or approximately $1.9 million higher than the same period of 2012, and included an approximate $5.2 million increase in geothermal and water source heat pump sales, a $0.5 million increase in hydronic fan coil sales partially offset by a $3.8 million decrease in other HVAC sales. From a market sector perspective, the increase included a $1.1 million improvement in residential product sales and a $0.8 million improvement in commercial/institutional product sales. Although there was an increase in residential product sales during the quarter primarily related to the timing of customers shipments, we believe the balance of 2013 will not improve significantly over the prior year due to the soft conditions in the residential segment we serve, as well as reduced consumer interest in energy savings as a result of relatively stable/low electricity and natural gas prices.</w:t>
      </w:r>
    </w:p>
    <w:p>
      <w:pPr>
        <w:spacing w:after="0" w:line="11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We continue to follow economic indicators and monitor their potential impact on the commercial/institutional and residential construction sectors that we serve, including, but not limited to, new construction and/or renovation of facilities in the following sectors:</w:t>
      </w:r>
    </w:p>
    <w:p>
      <w:pPr>
        <w:spacing w:after="0" w:line="39"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Single-Family Residential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Multi-Family Residential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w:t>
      </w:r>
    </w:p>
    <w:p>
      <w:pPr>
        <w:spacing w:after="0" w:line="17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During the third quarter of 2013, approximately 81% of our Climate Control Business’ sales were to the commercial/institutional and multi-family construction markets, and the remaining 19% were sales of geothermal heat pumps (“GHPs”) to the single-family residential market.</w:t>
      </w:r>
    </w:p>
    <w:p>
      <w:pPr>
        <w:spacing w:after="0" w:line="120"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following table shows information relating to our product order intake level, net sales and backlog of confirmed customer product orders of our Climate Control Business: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New Orders (1)</w:t>
            </w: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Net Sales</w:t>
            </w:r>
          </w:p>
        </w:tc>
        <w:tc>
          <w:tcPr>
            <w:tcW w:w="140" w:type="dxa"/>
            <w:vAlign w:val="bottom"/>
          </w:tcPr>
          <w:p>
            <w:pPr>
              <w:spacing w:after="0"/>
              <w:rPr>
                <w:sz w:val="14"/>
                <w:szCs w:val="14"/>
                <w:color w:val="auto"/>
              </w:rPr>
            </w:pP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Ending Backlog (1)</w:t>
            </w:r>
          </w:p>
        </w:tc>
      </w:tr>
      <w:tr>
        <w:trPr>
          <w:trHeight w:val="142"/>
        </w:trPr>
        <w:tc>
          <w:tcPr>
            <w:tcW w:w="73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center"/>
              <w:ind w:right="60"/>
              <w:spacing w:after="0" w:line="142" w:lineRule="exact"/>
              <w:rPr>
                <w:sz w:val="20"/>
                <w:szCs w:val="20"/>
                <w:color w:val="auto"/>
              </w:rPr>
            </w:pPr>
            <w:r>
              <w:rPr>
                <w:rFonts w:ascii="Times New Roman" w:cs="Times New Roman" w:eastAsia="Times New Roman" w:hAnsi="Times New Roman"/>
                <w:sz w:val="14"/>
                <w:szCs w:val="14"/>
                <w:color w:val="auto"/>
                <w:w w:val="99"/>
              </w:rPr>
              <w:t>2013</w:t>
            </w:r>
          </w:p>
        </w:tc>
        <w:tc>
          <w:tcPr>
            <w:tcW w:w="560" w:type="dxa"/>
            <w:vAlign w:val="bottom"/>
            <w:tcBorders>
              <w:top w:val="single" w:sz="8" w:color="auto"/>
              <w:bottom w:val="single" w:sz="8" w:color="auto"/>
            </w:tcBorders>
          </w:tcPr>
          <w:p>
            <w:pPr>
              <w:jc w:val="center"/>
              <w:ind w:left="76"/>
              <w:spacing w:after="0" w:line="142" w:lineRule="exact"/>
              <w:rPr>
                <w:sz w:val="20"/>
                <w:szCs w:val="20"/>
                <w:color w:val="auto"/>
              </w:rPr>
            </w:pPr>
            <w:r>
              <w:rPr>
                <w:rFonts w:ascii="Times New Roman" w:cs="Times New Roman" w:eastAsia="Times New Roman" w:hAnsi="Times New Roman"/>
                <w:sz w:val="14"/>
                <w:szCs w:val="14"/>
                <w:color w:val="auto"/>
                <w:w w:val="99"/>
              </w:rPr>
              <w:t>2012</w:t>
            </w:r>
          </w:p>
        </w:tc>
        <w:tc>
          <w:tcPr>
            <w:tcW w:w="30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color w:val="auto"/>
                <w:w w:val="99"/>
              </w:rPr>
              <w:t>2013</w:t>
            </w:r>
          </w:p>
        </w:tc>
        <w:tc>
          <w:tcPr>
            <w:tcW w:w="540" w:type="dxa"/>
            <w:vAlign w:val="bottom"/>
            <w:tcBorders>
              <w:top w:val="single" w:sz="8" w:color="auto"/>
              <w:bottom w:val="single" w:sz="8" w:color="auto"/>
            </w:tcBorders>
          </w:tcPr>
          <w:p>
            <w:pPr>
              <w:jc w:val="center"/>
              <w:ind w:left="56"/>
              <w:spacing w:after="0" w:line="142" w:lineRule="exact"/>
              <w:rPr>
                <w:sz w:val="20"/>
                <w:szCs w:val="20"/>
                <w:color w:val="auto"/>
              </w:rPr>
            </w:pPr>
            <w:r>
              <w:rPr>
                <w:rFonts w:ascii="Times New Roman" w:cs="Times New Roman" w:eastAsia="Times New Roman" w:hAnsi="Times New Roman"/>
                <w:sz w:val="14"/>
                <w:szCs w:val="14"/>
                <w:color w:val="auto"/>
                <w:w w:val="99"/>
              </w:rPr>
              <w:t>2012</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Times New Roman" w:cs="Times New Roman" w:eastAsia="Times New Roman" w:hAnsi="Times New Roman"/>
                <w:sz w:val="14"/>
                <w:szCs w:val="14"/>
                <w:color w:val="auto"/>
                <w:w w:val="99"/>
              </w:rPr>
              <w:t>2013</w:t>
            </w: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w w:val="92"/>
              </w:rPr>
              <w:t>2012</w:t>
            </w:r>
          </w:p>
        </w:tc>
        <w:tc>
          <w:tcPr>
            <w:tcW w:w="100" w:type="dxa"/>
            <w:vAlign w:val="bottom"/>
          </w:tcPr>
          <w:p>
            <w:pPr>
              <w:spacing w:after="0"/>
              <w:rPr>
                <w:sz w:val="12"/>
                <w:szCs w:val="12"/>
                <w:color w:val="auto"/>
              </w:rPr>
            </w:pPr>
          </w:p>
        </w:tc>
      </w:tr>
      <w:tr>
        <w:trPr>
          <w:trHeight w:val="142"/>
        </w:trPr>
        <w:tc>
          <w:tcPr>
            <w:tcW w:w="7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540" w:type="dxa"/>
            <w:vAlign w:val="bottom"/>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8"/>
              </w:rPr>
              <w:t>$67.5</w:t>
            </w:r>
          </w:p>
        </w:tc>
        <w:tc>
          <w:tcPr>
            <w:tcW w:w="8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$62.9</w:t>
            </w:r>
          </w:p>
        </w:tc>
        <w:tc>
          <w:tcPr>
            <w:tcW w:w="56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8"/>
                <w:szCs w:val="18"/>
                <w:color w:val="auto"/>
                <w:w w:val="98"/>
              </w:rPr>
              <w:t>$70.3</w:t>
            </w:r>
          </w:p>
        </w:tc>
        <w:tc>
          <w:tcPr>
            <w:tcW w:w="7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$62.8</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$ 57.3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40" w:type="dxa"/>
            <w:vAlign w:val="bottom"/>
          </w:tcPr>
          <w:p>
            <w:pPr>
              <w:jc w:val="center"/>
              <w:ind w:right="60"/>
              <w:spacing w:after="0"/>
              <w:rPr>
                <w:sz w:val="20"/>
                <w:szCs w:val="20"/>
                <w:color w:val="auto"/>
              </w:rPr>
            </w:pPr>
            <w:r>
              <w:rPr>
                <w:rFonts w:ascii="Times New Roman" w:cs="Times New Roman" w:eastAsia="Times New Roman" w:hAnsi="Times New Roman"/>
                <w:sz w:val="18"/>
                <w:szCs w:val="18"/>
                <w:color w:val="auto"/>
                <w:w w:val="98"/>
              </w:rPr>
              <w:t>$65.4</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$66.8</w:t>
            </w:r>
          </w:p>
        </w:tc>
        <w:tc>
          <w:tcPr>
            <w:tcW w:w="560" w:type="dxa"/>
            <w:vAlign w:val="bottom"/>
          </w:tcPr>
          <w:p>
            <w:pPr>
              <w:jc w:val="center"/>
              <w:ind w:right="82"/>
              <w:spacing w:after="0"/>
              <w:rPr>
                <w:sz w:val="20"/>
                <w:szCs w:val="20"/>
                <w:color w:val="auto"/>
              </w:rPr>
            </w:pPr>
            <w:r>
              <w:rPr>
                <w:rFonts w:ascii="Times New Roman" w:cs="Times New Roman" w:eastAsia="Times New Roman" w:hAnsi="Times New Roman"/>
                <w:sz w:val="18"/>
                <w:szCs w:val="18"/>
                <w:color w:val="auto"/>
                <w:w w:val="98"/>
              </w:rPr>
              <w:t>$77.3</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$67.5</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$ 48.9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40" w:type="dxa"/>
            <w:vAlign w:val="bottom"/>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8"/>
              </w:rPr>
              <w:t>$64.6</w:t>
            </w:r>
          </w:p>
        </w:tc>
        <w:tc>
          <w:tcPr>
            <w:tcW w:w="8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$65.6</w:t>
            </w:r>
          </w:p>
        </w:tc>
        <w:tc>
          <w:tcPr>
            <w:tcW w:w="56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8"/>
                <w:szCs w:val="18"/>
                <w:color w:val="auto"/>
                <w:w w:val="98"/>
              </w:rPr>
              <w:t>$69.9</w:t>
            </w:r>
          </w:p>
        </w:tc>
        <w:tc>
          <w:tcPr>
            <w:tcW w:w="7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$68.0</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$ 46.3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8"/>
                <w:szCs w:val="18"/>
                <w:color w:val="auto"/>
              </w:rPr>
            </w:pP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540" w:type="dxa"/>
            <w:vAlign w:val="bottom"/>
          </w:tcPr>
          <w:p>
            <w:pPr>
              <w:spacing w:after="0"/>
              <w:rPr>
                <w:sz w:val="19"/>
                <w:szCs w:val="19"/>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$66.9</w:t>
            </w:r>
          </w:p>
        </w:tc>
        <w:tc>
          <w:tcPr>
            <w:tcW w:w="560" w:type="dxa"/>
            <w:vAlign w:val="bottom"/>
          </w:tcPr>
          <w:p>
            <w:pPr>
              <w:spacing w:after="0"/>
              <w:rPr>
                <w:sz w:val="19"/>
                <w:szCs w:val="19"/>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$67.9</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r>
    </w:tbl>
    <w:p>
      <w:pPr>
        <w:spacing w:after="0" w:line="135" w:lineRule="exact"/>
        <w:rPr>
          <w:sz w:val="20"/>
          <w:szCs w:val="20"/>
          <w:color w:val="auto"/>
        </w:rPr>
      </w:pPr>
    </w:p>
    <w:p>
      <w:pPr>
        <w:ind w:right="60" w:firstLine="8"/>
        <w:spacing w:after="0" w:line="293" w:lineRule="auto"/>
        <w:tabs>
          <w:tab w:leader="none" w:pos="2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expect to ship substantially all of these orders within the next twelve months; however,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October 2013, our new orders received were approximately $25 million and our backlog was approximately $48 million at October 31, 2013.</w:t>
      </w:r>
    </w:p>
    <w:p>
      <w:pPr>
        <w:spacing w:after="0" w:line="17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Our GHPs use a form of renewable energy and, under certain conditions, we believe can reduce energy usage up to 80% compared to some conventional HVAC systems. Tax legislation continues to provide incentives for customers purchasing products using forms of renewable energy and is effective through December 31, 2016.</w:t>
      </w:r>
    </w:p>
    <w:p>
      <w:pPr>
        <w:spacing w:after="0" w:line="132"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color w:val="auto"/>
        </w:rPr>
        <w:t>We expect the Climate Control Business to experience moderate sales growth in the short-term compared to 2012. Although a significant part of the Climate Control Business’ sales are products that are used for renovation and replacement application, sales increases in the medium-term and long-term are expected to be primarily driven by growth in new construction, as well as the introduction of new products. We continue to focus our sales and marketing efforts to increase our share of the existing market for our products as well as expand the market for and application of our products, including GHPs.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Downtime at Certain Chemical Facilities and Related Programs</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2012 and lasting into 2013, our Chemical Business encountered a number of significant issues or events including: an explosion in one of our nitric acid plants at the El Dorado Facility in May 2012, a pipe rupture at the Cherokee Facility in November 2012 that damaged the ammonia plant, and mechanical issues at the Pryor Facility, all resulting in lost production and a significant adverse effect on our sales, operating income and cash flow for 2012 and for the first nine months of 2013.</w:t>
      </w:r>
    </w:p>
    <w:p>
      <w:pPr>
        <w:spacing w:after="0" w:line="13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For the first nine months of 2013, we estimate the cumulative negative effect on our operating income from these incidents and issues to be approximately $61 million to $74 million, including lost absorption and gross profit margins, based on current market conditions, net of $18.4 million of business interruption insurance recoveries recognized as a reduction to cost of sales.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Although the events are unrelated to each other, the severity and frequency of the events at our Pryor, Cherokee, and El Dorado Facilities caused us to undergo a thorough reexamination of our process safety management (“PSM”), reliability and mechanical integrity programs. As a result, we have undertaken a concerted program to attempt to improve the reliability and mechanical integrity of our chemical plant facilities. The improvement program includes engaging outside experts and consultants who specialize in risk management, reliability, mechanical integrity and PSM. We are also recruiting and hiring additional corporate and plant engineering and operational personnel, and accelerating acquisition of additional spare parts to supplement our existing spare parts program. For 2013, we expect to incur expenses of approximately $5.0 million to $5.5 million in connection with this program, of which $3.7 million was incurred during the first nine months of 2013. The program also includes the installation of additional automation and improved diagnostics.</w:t>
      </w:r>
    </w:p>
    <w:p>
      <w:pPr>
        <w:spacing w:after="0" w:line="13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El Dorado Facility</w:t>
      </w:r>
      <w:r>
        <w:rPr>
          <w:rFonts w:ascii="Times New Roman" w:cs="Times New Roman" w:eastAsia="Times New Roman" w:hAnsi="Times New Roman"/>
          <w:sz w:val="18"/>
          <w:szCs w:val="18"/>
          <w:color w:val="auto"/>
        </w:rPr>
        <w:t>—During May, 2012, the El Dorado Facility suffered significant damage when a reactor in its DSN plant exploded. As a result, the DSN plant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damaged beyond repair and several other plants and infrastructure within the El Dorado Facility sustained various degrees of damage. The DSN plant, which supplied approximately 20% of the nitric acid produced at this facility, will be replaced with a new 65% strength nitric acid plant and a 98% concentrator. The engineering and design of the new nitric acid plant and concentrator is in process, and most equipment has been ordered as discussed below under “Liquidity and Capital Resources—Capital Expenditures.”</w:t>
      </w:r>
    </w:p>
    <w:p>
      <w:pPr>
        <w:spacing w:after="0" w:line="13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believe the cumulative adverse effect on operating income for the reduced nitric acid production at the El Dorado Facility for the first nine months of 2013 was an estimated $3 million to $4 million, including lost absorption and gross profit margins, based on current market conditions, net of insurance recoveries of $5.4 million recorded as a reduction to cost of sales as discussed below. In addition, we estimate that the monthly negative effect on operating income at the El Dorado Facility will approximate $1 million to $3 million until the new 65% strength nitric acid plant and the 98% concentrator are constructed and begin production during 2015. The estimated combined construction cost for the new nitric acid plant and concentrator is approximately $120 million, of which $35.9 million has been capitalized as of September 30, 2013. These new plants are designed to be more efficient.</w:t>
      </w:r>
    </w:p>
    <w:p>
      <w:pPr>
        <w:spacing w:after="0" w:line="13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Cherokee Facility</w:t>
      </w:r>
      <w:r>
        <w:rPr>
          <w:rFonts w:ascii="Times New Roman" w:cs="Times New Roman" w:eastAsia="Times New Roman" w:hAnsi="Times New Roman"/>
          <w:sz w:val="18"/>
          <w:szCs w:val="18"/>
          <w:color w:val="auto"/>
        </w:rPr>
        <w:t>—During November, 2012, a pipe ruptured within the Cherokee Facility causing damage primarily to the heat exchanger portion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ammonia plant. As a result of the damage, the Cherokee Facility could only produce, on a limited basis, nitric acid and AN solution from purchased ammonia until the repairs were completed that directly reduced our net sales and gross profit margins. The Cherokee Facility restarted in May 2013 and has been running consistently at historical production rates since resuming production, with normal interruptions for maintenance.</w:t>
      </w:r>
    </w:p>
    <w:p>
      <w:pPr>
        <w:spacing w:after="0" w:line="13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For the first nine months of 2013, we believe the cumulative adverse impact to our operating income for the unplanned downtime at the Cherokee Facility was an estimated $17 million to $22 million, including lost absorption and gross profit margins, based on current market conditions, net of insurance recoveries of $13 million recorded as a reduction to cost of sales as discussed below.</w:t>
      </w:r>
    </w:p>
    <w:p>
      <w:pPr>
        <w:spacing w:after="0" w:line="1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Pryor Facility</w:t>
      </w:r>
      <w:r>
        <w:rPr>
          <w:rFonts w:ascii="Times New Roman" w:cs="Times New Roman" w:eastAsia="Times New Roman" w:hAnsi="Times New Roman"/>
          <w:sz w:val="18"/>
          <w:szCs w:val="18"/>
          <w:color w:val="auto"/>
        </w:rPr>
        <w:t>—During November 2012, production was stopped at the primary ammonia plant to perform unplanned maintenance on a compressor. During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downtime, we also replaced the ammonia converter and restarted the primary ammonia plant in the last half of April 2013; however, after the facility resumed production, certain of its operations were out of production periodically for equipment repairs and maintenance. We continue to address the periodic outages as they occur. As a result, the Pryor Facility had less than design rate production of ammonia and UAN during the first nine months of 2013 that directly reduced our net sales and gross profit margins.</w:t>
      </w:r>
    </w:p>
    <w:p>
      <w:pPr>
        <w:spacing w:after="0" w:line="13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For the first nine months of 2013, we believe the cumulative adverse impact to our operating income due to the downtime at the Pryor Facility was an estimated $41 million to $48 million (an estimated $4 million to $6 million for the third quarter of 2013), including lost absorption and gross profit, based on current market conditions.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Business Interruption Insurance Claims and Recoveries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 Dorado Facility</w:t>
      </w:r>
    </w:p>
    <w:p>
      <w:pPr>
        <w:spacing w:after="0" w:line="9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insurance policy provided, for the policy period covering the claim relating to the explosion in one of our nitric acid plants at the El Dorado Facility in May 2012, for repair or replacement cost coverage relating to property damage with a $1.0 million deductible and provided for business interruption coverage for certain lost profits and extra expense with a 30-day waiting period. As a result of this event, a notice of insurance claims for property damage and business interruption was filed with the insurance carriers. The engineering firm representing our insurance carriers determined that the DSN plant was not destroyed by the explosion and was repairable. However, we have concluded that due to the extensive damage, the DSN plant should not be repaired but should be replaced with a new 65% strength nitric acid plant and a separate nitric acid concentrator.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As of September 30, 2013, our insurance carriers approved and funded unallocated payments totaling $60 million. For financial reporting purposes, we allocated $48 million to our property insurance claim and $12 million to our business interruption claim primarily based on negotiations with our insurance carriers concerning our claims.</w:t>
      </w:r>
    </w:p>
    <w:p>
      <w:pPr>
        <w:spacing w:after="0" w:line="132"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The $48 million allocated to the property insurance claim was partially applied against the recoverable costs totaling $24.6 million. The insurance recovery in excess of the recoverable costs of $23.4 million was deferred (included in deferred gain on insurance recoveries at September 30, 2013) since it is considered a gain contingency.</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insurance recovery of $12 million allocated to the business interruption claim was applied against recoverable costs (primarily relating to additional expenses associated with purchased product sold to our customers while certain of our nitric and sulfuric acid plants were being repaired) totaling $12.7 million as a reduction to cost of sales ($7.3 million during the fourth quarter of 2012, $0.7 million during the first quarter of 2013, $0.5 million during the second quarter of 2013, and $4.2 million during the third quarter of 2013). The recoverable costs in excess of the insurance recovery of $0.7 million was included in accounts receivable at September 30, 2013 since this amount relates to recoverable costs, which we were able to conclude that it was at least probable (for financial reporting purposes) that these costs would be approved.</w:t>
      </w:r>
    </w:p>
    <w:p>
      <w:pPr>
        <w:spacing w:after="0" w:line="139"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6"/>
          <w:szCs w:val="16"/>
          <w:color w:val="auto"/>
        </w:rPr>
        <w:t>Subsequent to September 30, 2013, we settled our claims with our insurance carriers relating to the explosion at the El Dorado Facility for the aggregate amount of $113 million effective October 23, 2013, comprised of $60 million previously paid to us and $53 million to be paid to us within 30 days from October 23,</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2013. When realized, an insurance recovery of approximately $76 million (including the $23.4 million deferred gain at September 30, 2013) will be recognized as income associated with this settlement.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Cherokee Facility</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insurance policy provides, for the policy period covering this claim, for repair or replacement cost coverage relating to property damage with a $2.5 million deductible and provides for business interruption coverage for certain lost profits and extra expense with a 30-day waiting period. As a result a pipe rupture at the Cherokee Facility in November 2012 that damaged the ammonia plant, a notice of insurance claims for property damage and business interruption was filed with the insurance carriers. We estimate the total amount of property and business interruption insurance recoveries relating to this event will range from $39 million to $41 million, net of deductibles, of which $15 million has been received as of September 30, 2013.</w:t>
      </w:r>
    </w:p>
    <w:p>
      <w:pPr>
        <w:spacing w:after="0" w:line="13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As of September 30, 2013, our insurance carriers approved and funded payments relating to our business interruption claim totaling $15 million. We received correspondence associated with the approval of these payments, which stated that our insurance carriers are still investigating the circumstances surrounding this event (including the cause of this event, scope of our losses and support for our claim) under a reservation of rights.</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business interruption insurance recovery of $15 million was applied against recoverable costs (primarily relating to additional expenses associated with purchased product sold or used in products sold to our customers while our facility was being repaired) totaling $13 million as a reduction to cost of sales ($10.1 million during the first quarter of 2013 and $2.9 million during the second quarter of 2013). The insurance recovery in excess of recoverable costs of $2.0 million was deferred (included in deferred gain on insurance recoveries at September 30, 2013) since a portion of this amount relates to recoverable costs, which we were unable to conclude that it was at least probable (for financial reporting purposes) that these costs would be approved and a portion of this amount relates to lost profits, which is considered a gain contingency. The deferred portion of this recovery, and any additional recoveries, will be recognized if, and when, realized or realizable and earned.</w:t>
      </w:r>
    </w:p>
    <w:p>
      <w:pPr>
        <w:spacing w:after="0" w:line="14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As of September 30, 2013, the balance of the insurance claim receivable, included in accounts receivable, relating to this event was $1.9 million, consisting of recoverable costs associated with our property insurance claim.</w:t>
      </w:r>
    </w:p>
    <w:p>
      <w:pPr>
        <w:spacing w:after="0" w:line="12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It is possible that the actual development of the insurance claims discussed above could be different from our current allocations and estimates. Due to the increase in the total value of property, plant and equipment (“PP&amp;E”) and the insurance claims discussed above relating to our Chemical Business, our insurance premiums have increased and are expected to increase in future periods.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noncurrent cash and investments, long-term debt and stockholders’ equity:</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260" w:type="dxa"/>
            <w:vAlign w:val="bottom"/>
            <w:gridSpan w:val="3"/>
          </w:tcPr>
          <w:p>
            <w:pPr>
              <w:ind w:left="1480"/>
              <w:spacing w:after="0"/>
              <w:rPr>
                <w:sz w:val="20"/>
                <w:szCs w:val="20"/>
                <w:color w:val="auto"/>
              </w:rPr>
            </w:pPr>
            <w:r>
              <w:rPr>
                <w:rFonts w:ascii="Times New Roman" w:cs="Times New Roman" w:eastAsia="Times New Roman" w:hAnsi="Times New Roman"/>
                <w:sz w:val="14"/>
                <w:szCs w:val="14"/>
                <w:color w:val="auto"/>
                <w:w w:val="93"/>
              </w:rPr>
              <w:t>September 30,</w:t>
            </w:r>
          </w:p>
        </w:tc>
        <w:tc>
          <w:tcPr>
            <w:tcW w:w="1580" w:type="dxa"/>
            <w:vAlign w:val="bottom"/>
            <w:gridSpan w:val="4"/>
          </w:tcPr>
          <w:p>
            <w:pPr>
              <w:ind w:left="72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2013</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right"/>
              <w:ind w:right="98"/>
              <w:spacing w:after="0" w:line="142" w:lineRule="exact"/>
              <w:rPr>
                <w:sz w:val="20"/>
                <w:szCs w:val="20"/>
                <w:color w:val="auto"/>
              </w:rPr>
            </w:pPr>
            <w:r>
              <w:rPr>
                <w:rFonts w:ascii="Times New Roman" w:cs="Times New Roman" w:eastAsia="Times New Roman" w:hAnsi="Times New Roman"/>
                <w:sz w:val="14"/>
                <w:szCs w:val="14"/>
                <w:color w:val="auto"/>
                <w:w w:val="94"/>
              </w:rPr>
              <w:t>(In 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restricted cash and investments (1)</w:t>
            </w:r>
          </w:p>
        </w:tc>
        <w:tc>
          <w:tcPr>
            <w:tcW w:w="1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Senior Secured Notes</w:t>
            </w:r>
          </w:p>
        </w:tc>
        <w:tc>
          <w:tcPr>
            <w:tcW w:w="16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Secured Promissory Note</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Secured Term Loan</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including current portion</w:t>
            </w:r>
          </w:p>
        </w:tc>
        <w:tc>
          <w:tcPr>
            <w:tcW w:w="16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7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to stockholders’ equity ratio (2)</w:t>
            </w:r>
          </w:p>
        </w:tc>
        <w:tc>
          <w:tcPr>
            <w:tcW w:w="1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600" w:hanging="452"/>
        <w:spacing w:after="0" w:line="257"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balance includes U.S. Treasury bills with an original maturity of 13 weeks and certificates of deposits with an original maturity no longer than approximately 26 weeks. All of these investments were held by financial institutions within the U.S.</w:t>
      </w:r>
    </w:p>
    <w:p>
      <w:pPr>
        <w:spacing w:after="0" w:line="1" w:lineRule="exact"/>
        <w:rPr>
          <w:rFonts w:ascii="Times New Roman" w:cs="Times New Roman" w:eastAsia="Times New Roman" w:hAnsi="Times New Roman"/>
          <w:sz w:val="18"/>
          <w:szCs w:val="18"/>
          <w:color w:val="auto"/>
        </w:rPr>
      </w:pPr>
    </w:p>
    <w:p>
      <w:pPr>
        <w:ind w:left="460" w:right="120" w:hanging="452"/>
        <w:spacing w:after="0" w:line="261"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ratio is based on total long-term debt divided by total stockholders’ equity and excludes the use of cash or noncurrent restricted cash and investments to pay down debt.</w:t>
      </w:r>
    </w:p>
    <w:p>
      <w:pPr>
        <w:spacing w:after="0" w:line="13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As of September 30, 2013, our cash, cash equivalents and noncurrent restricted cash and investments totaled $419.7 million. In addition as discussed below, our $100 million revolving credit facility is currently undrawn and available to fund operations, if needed, subject to the amount of our eligible collateral and outstanding letters of credit.</w:t>
      </w:r>
    </w:p>
    <w:p>
      <w:pPr>
        <w:spacing w:after="0" w:line="13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For the remainder of 2013 through 2015, we have extensive committed and planned capital expenditures. Our primary cash needs for this period of time will be to fund these capital expenditures, as well as, our operations, our general obligations, and our interest payment requirements. We expect to fund these cash needs from our noncurrent restricted cash and investments, working capital, internally generated cash flows, and insurance proceeds. See additional discussions below under “Capital Expenditures” and “Loan Agreements-Terms and Conditions.” Our internally generated cash flows and liquidity have been and could be affected by possible declines in sales volumes resulting from the uncertainty relative to the current economic conditions and changes in the production efficiency of our facilities. In addition, our cash flows and liquidity have been and will continue to be affected by the timing of these insurance proceeds.</w:t>
      </w:r>
    </w:p>
    <w:p>
      <w:pPr>
        <w:spacing w:after="0" w:line="111"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auto"/>
        </w:rPr>
        <w:t>As discussed above under “Issuance of Senior Secured Notes and Intended Use of Proceeds” and below under “Loan Agreements-Terms and Conditions,” on August 7, 2013, LSB closed the transaction whereby LSB sold $425 million aggregate principal amount of the Senior Secured Notes in a private placement.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LSB has used or intends to use the proceeds of $418 million, net of commissions and fees, from the sale of the Senior Secured Notes, as follows:</w:t>
      </w:r>
    </w:p>
    <w:p>
      <w:pPr>
        <w:spacing w:after="0" w:line="90"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$67.2 million was used to pay all outstanding borrowings, including the prepayment penalty, under the Secured Term Loan; and</w:t>
      </w:r>
    </w:p>
    <w:p>
      <w:pPr>
        <w:spacing w:after="0" w:line="90" w:lineRule="exact"/>
        <w:rPr>
          <w:rFonts w:ascii="Times New Roman" w:cs="Times New Roman" w:eastAsia="Times New Roman" w:hAnsi="Times New Roman"/>
          <w:sz w:val="18"/>
          <w:szCs w:val="18"/>
          <w:color w:val="auto"/>
        </w:rPr>
      </w:pPr>
    </w:p>
    <w:p>
      <w:pPr>
        <w:ind w:left="900" w:right="60" w:hanging="325"/>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is being used for general corporate purposes, including the construction of an ammonia plant, nitric acid plant, and concentrator at the El Dorado Facility; improvement of reliability, mechanical integrity, and safety at our chemical facilities; and the development of our acquired natural gas leaseholds during the next three years.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Pending application of proceeds discussed above, the net proceeds from the Senior Secured Notes are invested in highly rated money market funds, certificates of deposit and U.S. Treasury bills.</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connection with the closing, LSB entered into an indenture (the “Indenture”) governing the Senior Secured Notes. The Indenture contains covenants that, among other things, limit LSB’s ability, with certain exceptions and as defined in the Indenture, to certain transactions discussed below under “Loan Agreements-Terms and Conditions.”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Also as discussed below under “Loan Agreements-Terms and Conditions,” our wholly-owned subsidiary, ThermaClime and certain of its wholly-owned subsidiaries (the “Borrowers”), are parties to the Working Capital Revolver Loan. On July 31, 2013, we entered into an amendment to the Working Capital Revolver Loan, which amends our existing senior secured revolving credit facility (the “Amended Working Capital Revolver”). On August 7, 2013, the Amended Working Capital Revolver Loan became effective concurrently with the closing of the issuance of the Senior Secured Notes. The Amended Working Capital Revolver Loan increased the principal amount the Borrowers may borrow on a revolving basis from up to $50.0 million to up to $100.0 million, based on specific percentages of eligible accounts receivable and inventories. At September 30, 2013, there were no outstanding borrowings under the Amended Working Capital Revolver Loan. At September 30, 2013, the net credit available for borrowings under our Amended Working Capital Revolver Loan was approximately $63.3 million, based on our eligible collateral, less outstanding letters of credit as of that date.</w:t>
      </w:r>
    </w:p>
    <w:p>
      <w:pPr>
        <w:spacing w:after="0" w:line="13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Due to the overall increase in our outstanding long-term debt, our interest payment obligations have increased and will continue during future periods, of which a portion has and will be capitalized.</w:t>
      </w:r>
    </w:p>
    <w:p>
      <w:pPr>
        <w:spacing w:after="0" w:line="120"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As discussed below under “Loan Agreements-Terms and Conditions”, on February 1, 2013, Zena Energy L.L.C. (“Zena”), a subsidiary within our Chemical Business, entered into a loan (the “Secured Promissory Note”) with a lender in the original principal amount of $35 million.</w:t>
      </w:r>
    </w:p>
    <w:p>
      <w:pPr>
        <w:spacing w:after="0" w:line="120" w:lineRule="exact"/>
        <w:rPr>
          <w:sz w:val="20"/>
          <w:szCs w:val="20"/>
          <w:color w:val="auto"/>
        </w:rPr>
      </w:pPr>
    </w:p>
    <w:p>
      <w:pPr>
        <w:jc w:val="both"/>
        <w:ind w:right="120"/>
        <w:spacing w:after="0" w:line="287" w:lineRule="auto"/>
        <w:rPr>
          <w:sz w:val="20"/>
          <w:szCs w:val="20"/>
          <w:color w:val="auto"/>
        </w:rPr>
      </w:pPr>
      <w:r>
        <w:rPr>
          <w:rFonts w:ascii="Times New Roman" w:cs="Times New Roman" w:eastAsia="Times New Roman" w:hAnsi="Times New Roman"/>
          <w:sz w:val="16"/>
          <w:szCs w:val="16"/>
          <w:color w:val="auto"/>
        </w:rPr>
        <w:t>In November 2012, we filed a universal shelf registration statement on Form S-3, with the Securities and Exchange Commission (“SEC”). The shelf registration statement provides that we could offer and sell up to $200 million of our securities consisting of equity (common and preferred), debt (senior and subordinated), warrants and units, or a combination thereof. The shelf registration statement expires in November 2015 unless we decide to file a post-effective amendment.</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b w:val="1"/>
          <w:bCs w:val="1"/>
          <w:color w:val="auto"/>
        </w:rPr>
        <w:t>This disclosure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and pay federal income taxes at regular corporate tax rates. With few exceptions, the 2010-2012 years remain open for all purposes of examination by the U.S. Internal Revenue Service (“IRS”) and other major tax jurisdictions. We are under examination by the IRS for the tax years 2008-2010. As of September 30, 2013, the IRS has proposed certain adjustments, which we are protesting. We anticipate that the adjustments, if any, will not result in a material change to our financial position. We had approximately $2.5 million accrued for various uncertain tax liabilities at September 30, 2013.</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Expenditures-First Nine Months of 2013</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Cash used for capital expenditures (including acquisition of working interests in natural gas properties for $9.2 million) during the first nine months of 2013 was $122.9 million, including $117.4 million for the benefit of our Chemical Business and $5.4 million for the benefit of our Climate Control Business. The Chemical Business capital expenditures relate primarily to expenditures to replace or rebuild damaged PP&amp;E discussed above under “Downtime at Certain Chemical Facilities and Related Programs” and certain capital projects discussed below under “Committed and Planned Capital Expenditures,” but also includes approximately $1.8 million associated with maintaining compliance with environmental laws, regulations and guidelines. The capital expenditures were funded primarily from working capital, insurance proceeds and third-party financing. Due to the increase in the amount of capital expenditures incurred and committed, our depreciation, depletion and amortization expenses have increased and are expected to continue to increase during the remainder of 2013.</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Committed and Planned Capital Expenditures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Planned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9"/>
              </w:rPr>
              <w:t>2014 and</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Uncommitted</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4"/>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w:t>
            </w:r>
          </w:p>
        </w:tc>
        <w:tc>
          <w:tcPr>
            <w:tcW w:w="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$305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w:t>
            </w:r>
          </w:p>
        </w:tc>
        <w:tc>
          <w:tcPr>
            <w:tcW w:w="5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7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$445</w:t>
            </w:r>
          </w:p>
        </w:tc>
        <w:tc>
          <w:tcPr>
            <w:tcW w:w="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Climate Control</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55</w:t>
            </w:r>
          </w:p>
        </w:tc>
        <w:tc>
          <w:tcPr>
            <w:tcW w:w="4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295</w:t>
            </w:r>
          </w:p>
        </w:tc>
        <w:tc>
          <w:tcPr>
            <w:tcW w:w="6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3"/>
              </w:rPr>
              <w:t>$</w:t>
            </w:r>
            <w:r>
              <w:rPr>
                <w:rFonts w:ascii="Times New Roman" w:cs="Times New Roman" w:eastAsia="Times New Roman" w:hAnsi="Times New Roman"/>
                <w:sz w:val="18"/>
                <w:szCs w:val="18"/>
                <w:color w:val="auto"/>
                <w:w w:val="83"/>
              </w:rPr>
              <w:t xml:space="preserve"> 115</w:t>
            </w:r>
          </w:p>
        </w:tc>
        <w:tc>
          <w:tcPr>
            <w:tcW w:w="58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130</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465</w:t>
            </w:r>
          </w:p>
        </w:tc>
        <w:tc>
          <w:tcPr>
            <w:tcW w:w="4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committed capital expenditures are the capital projects that have been approved by management as of September 30, 2013 and include projects which are already in progress and funded, projects supported by cost benefit analysis, or projects necessary to replace damaged assets. The additional planned capital expenditures are subject to economic conditions and continued review by management. The amount of planned capital expenditures may increase or decrease as new information is obtained or circumstances change. Total capital expenditures include all committed capital expenditures as well as expenditures that have been brought to the attention of management for approval through our budget and forecasting process. Some of the committed and planned capital expenditures are subject to obtaining necessary permits.</w:t>
      </w:r>
    </w:p>
    <w:p>
      <w:pPr>
        <w:spacing w:after="0" w:line="13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At September 30, 2013, we had committed capital expenditures as indicated in the table above. The committed expenditures include $85 million to $95 million for a new 65% strength nitric acid plant and concentrator at the El Dorado Facility to replace the lost production from the DSN plant explosion; $200 million to $240 million relating to the ammonia production plant at the El Dorado Facility discussed below under “Ammonia Plant”; and $14 million to $16 million for the replacement of our enterprise financial and operations management software.</w:t>
      </w:r>
    </w:p>
    <w:p>
      <w:pPr>
        <w:spacing w:after="0" w:line="136"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At September 30, 2013, we also had additional planned capital expenditures as indicated in the table above. The additional planned capital expenditures for the Chemical Business include $20 million to $25 million for the ammonia production plant at our El Dorado Facility and $35 million to $40 million in additional capital expenditures to fully develop acquired natural gas leaseholds during the next three years.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committed and planned capital expenditures include $10 million to $15 million associated with environmental laws, regulations and guidelines.</w:t>
      </w:r>
    </w:p>
    <w:p>
      <w:pPr>
        <w:spacing w:after="0" w:line="171"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We plan to fund the committed and planned capital expenditures from noncurrent restricted cash and investments, working capital, internally generated cash flows, and insurance proceeds.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Ammonia Plant</w:t>
      </w:r>
    </w:p>
    <w:p>
      <w:pPr>
        <w:spacing w:after="0" w:line="9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El Dorado Facility produces nitric acid in various concentrations and agricultural and industrial grade AN from purchased ammonia, which is currently at a cost disadvantage compared to products produced from natural gas. We believe this cost disadvantage will continue to be significant for the medium and long-term. Using a portion of the net proceeds from the sale of the Senior Secured Notes, we are proceeding with the addition of an anhydrous ammonia production plant at the El Dorado Facility. During August 2013, a subsidiary of EDC entered into an agreement with SAIC Constructors, LLC to engineer and construct the ammonia plant and certain support facilities. The estimated construction cost of this project ranges from $250 million to $300 million ($29.8 million has been incurred and capitalized at September 30, 2013) and requires an estimated 24-36 months to complete. We have filed for permits with the ADEQ and EPA for the new ammonia plant.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of Additional Gas Working Interest</w:t>
      </w:r>
    </w:p>
    <w:p>
      <w:pPr>
        <w:spacing w:after="0" w:line="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previously reported, during the third quarter of 2013, Zena, which is a subsidiary within our Chemical Business, acquired certain additional working interests in natural gas properties located in the Marcellus Shale in Wyoming County, Pennsylvania. The purchase represents an increase from 7.7% to 9.7% in the average net revenue interest for proven reserves in the same natural gas properties purchased by Zena in October 2012. The purchase price for the additional working interest paid by Zena was $9.2 million in cash, which was funded using our existing working capital. The acquisition of the additional working interest in the natural gas properties is part of the Chemical Business’ hedging strategy to protect against rising natural gas prices for a limited amount of our natural gas requirements. We are not the operator of these natural gas properties.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Wastewater Pipeline</w:t>
      </w:r>
    </w:p>
    <w:p>
      <w:pPr>
        <w:spacing w:after="0" w:line="9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El Dorado Facility generates process wastewater, which is subject to a wastewater discharge permit issued by the ADEQ, which permit is generally renewed every five years. The City of El Dorado, Arkansas (the “City”) has constructed a pipeline for disposal of wastewater generated by the City and by certain companies in the El Dorado area. EDC and other companies in the El Dorado area entered into a funding agreement and operating agreement with the City, pursuant to which each party agreed to contribute to the cost of construction and the annual operating costs of the pipeline for the right to use the pipeline to dispose its wastewater. EDC has funded a portion of the construction of the pipeline that is owned by the City because it believes that it will enable EDC to comply with water discharge permit limits under current and foreseeable regulations. EDC’s share of the capital cost for the construction of the pipeline was approximately $4.0 million, of which costs have been incurred and capitalized as of September 30, 2013. The City completed the construction of the pipeline during the third quarter of 2013, and EDC began utilizing the pipeline during September 2013. EDC’s estimated share of the annual operating costs of the pipeline is $100,000 to $150,000. The initial term of the operating agreement is through December 2053.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Request from EPA</w:t>
      </w:r>
    </w:p>
    <w:p>
      <w:pPr>
        <w:spacing w:after="0" w:line="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a national enforcement initiative, the EPA has sent information requests pursuant to Section 114 of the Clean Air Act to most, if not all, of the operators of nitric acid plants in the U.S., including our El Dorado and Cherokee Facilities and the Baytown Facility operated by our subsidiary, El Dorado Nitric Company and its subsidiaries (“EDN”). These information requests seek information about compliance with certain provisions of the Clean Air Act relating to construction and modification of facilities. If it is determined that the equipment at any of our chemical facilities does not meet or, has not met, the requirements of the Clean Air Act, our Chemical Business could be subject to penalties in an amount not to exceed $27,500 per day as to each facility not in compliance and be required to retrofit each facility with the “best available control technology.”</w:t>
      </w:r>
    </w:p>
    <w:p>
      <w:pPr>
        <w:spacing w:after="0" w:line="13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During the latter part of the second quarter of 2013, we negotiated an oral global agreement in principle with the EPA/DOJ to settle this matter, although a few issues are still being negotiated. Settlement of this matter is subject to the parties entering into definitive settlement agreements and consent decrees and such being finalized after the notice and comment period. The proposed oral agreement in principle provides, among other things, the following:</w:t>
      </w:r>
    </w:p>
    <w:p>
      <w:pPr>
        <w:spacing w:after="0" w:line="51" w:lineRule="exact"/>
        <w:rPr>
          <w:sz w:val="20"/>
          <w:szCs w:val="20"/>
          <w:color w:val="auto"/>
        </w:rPr>
      </w:pPr>
    </w:p>
    <w:p>
      <w:pPr>
        <w:ind w:left="900" w:hanging="325"/>
        <w:spacing w:after="0" w:line="25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Chemical Business’ nitric acid plants are to achieve certain emission rates within a certain time period for each plant. In order to achieve these emission rates, six of our Chemical Business’ eight nitric acid plants will require additional pollution control technology equipment to achieve the emission rates agreed upon. We have already completed necessary modifications at two of our Chemical Business’ existing nitric acid plants. The cost of the necessary pollution control equipment is estimated to range from $2.0 million to $3.0 million for each of the remaining six nitric acid plants;</w:t>
      </w:r>
    </w:p>
    <w:p>
      <w:pPr>
        <w:spacing w:after="0" w:line="57"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Chemical Business will provide a reforestation mitigation project that is unrelated to our emissions or activities and will not be located at one of our plant sites, which we estimate will cost approximately $150,000;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will be paid by our Chemical Business in the amount of $725,000.</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Estimated Plant Turnaround Costs – Remainder of 2013</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Chemical Business expenses the maintenance, repairs and minor renewal costs relating to planned major maintenance activities (“Turnarounds”) as they are incurred and are classified as cost of sales. Based on our current plan for Turnarounds during the remainder of 2013, we estimate that we will incur approximately $0.3 million to $0.5 million of these Turnaround costs. These costs do not include the costs relating to lost absorption or reduced margins due to the associated plants being shut down. We plan to fund these expenditures from our available working capital. However, it is possible that the actual costs could be significantly different from our estimates.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Expenses Associated with Environmental Regulatory Compliance</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Chemical Business is subject to specific federal and state environmental compliance laws, regulations and guidelines. As a result, our Chemical Business incurred expenses of $4.1 million in the first nine months of 2013 in connection with environmental regulatory issues. For the remainder of 2013, we expect to incur expenses ranging from $1.0 million to $1.3 million in connection with known environmental regulatory issues. However, it is possible that the actual costs could be significantly different than our estimates.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LSB is a holding company and, accordingly, its ability to pay cash dividends on its preferred stock and common stock depends in large part on its ability to obtain funds from its subsidiaries. Payment of dividends by LSB is limited under certain limited conditions under the Working Capital Loan Agreement and the terms of the Senior Secured Notes. The ability of ThermaClime (which owns a substantial portion of the companies comprising the Climate Control Business and Chemical Business) and its wholly owned subsidiaries to pay dividends and to make distributions to LSB is restricted by certain covenants contained in the Amended Working Capital Revolver Loan agreement as discussed below under “Loan Agreements-Terms and Conditions”.</w:t>
      </w:r>
    </w:p>
    <w:p>
      <w:pPr>
        <w:spacing w:after="0" w:line="13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Holders of our common stock and preferred stocks are entitled to receive dividends only when and if declared by our Board of Directors.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2013</w:t>
      </w:r>
      <w:r>
        <w:rPr>
          <w:rFonts w:ascii="Times New Roman" w:cs="Times New Roman" w:eastAsia="Times New Roman" w:hAnsi="Times New Roman"/>
          <w:sz w:val="18"/>
          <w:szCs w:val="18"/>
          <w:b w:val="1"/>
          <w:bCs w:val="1"/>
          <w:color w:val="auto"/>
        </w:rPr>
        <w:t>.</w:t>
      </w:r>
    </w:p>
    <w:p>
      <w:pPr>
        <w:spacing w:after="0" w:line="13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During the first quarter of 2013, dividends totaling $300,000 were declared on our outstanding preferred stock and subsequently paid in April 2013 using funds from our working capital. Each share of preferred stock is entitled to receive an annual dividend, only when declared by our Board of Directors, payable as follows:</w:t>
      </w:r>
    </w:p>
    <w:p>
      <w:pPr>
        <w:spacing w:after="0" w:line="51"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$0.06 per share on our outstanding non-redeemable Series D Preferred for an aggregate dividend of $60,000,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 per share on our outstanding non-redeemable Series B Preferred for an aggregate dividend of $240,000.</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All shares of the Series D Preferred and Series B Preferred are owned by the Golsen Group. There are no optional or mandatory redemption rights with respect to the Series B Preferred or Series D Preferred.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Long—Term Debt Covenants</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As discussed below under “Loan Agreements—Terms and Conditions”, the Amended Working Capital Revolver Loan of ThermaClime and its subsidiaries require, among other things, that ThermaClime meet certain financial covenants. Currently, ThermaClime’s forecast is that ThermaClime will be able to meet all financial covenant requirements for the next twelve months.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Loan Agreements—Terms and Conditions</w:t>
      </w:r>
    </w:p>
    <w:p>
      <w:pPr>
        <w:spacing w:after="0" w:line="9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Senior Secured Notes</w:t>
      </w:r>
      <w:r>
        <w:rPr>
          <w:rFonts w:ascii="Times New Roman" w:cs="Times New Roman" w:eastAsia="Times New Roman" w:hAnsi="Times New Roman"/>
          <w:sz w:val="18"/>
          <w:szCs w:val="18"/>
          <w:color w:val="auto"/>
        </w:rPr>
        <w:t>—As discussed above under “Issuance of Senior Secured Notes and Intended Use of Proceeds,” on August 7, 2013, LSB sold $425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aggregate principal amount of the Senior Secured Notes in a 144A transaction pursuant to the exemptions from the registration requirements of the Securities Act of 1933, as amended (the “Act”). The Senior Secured Notes are eligible for resale by the investors under Rule144A under the Act. LSB received net proceeds of approximately $351 million, after the payoff of the Secured Term Loan, commissions and fees. In connection with the closing, LSB entered into an indenture (the “Indenture”) with UMB Bank, as trustee, and UMB Bank will also act as the collateral agent, in connection with the Senior Secured Notes, and will receive customary compensation from us for such services.</w:t>
      </w:r>
    </w:p>
    <w:p>
      <w:pPr>
        <w:spacing w:after="0" w:line="14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Senior Secured Notes bear interest at the rate of 7.75% per year and mature on August 1, 2019. Interest is to be paid semiannually, beginning on February 1, 2014.</w:t>
      </w:r>
    </w:p>
    <w:p>
      <w:pPr>
        <w:spacing w:after="0" w:line="12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Senior Secured Notes are general senior secured obligations of LSB. The Senior Secured Notes are jointly and severally and fully and unconditionally guaranteed by all of LSB’s current subsidiaries, with all of the guarantees, except two, being senior secured guarantees and two being senior unsecured guarantees. The Senior Secured Notes will rank equally in right of payment to all of LSB and the guarantors’ existing and future senior secured debt, including the Amended Working Capital Revolver Loan discussed below, and will be senior in right of payment to all of LSB and the guarantors’ future subordinated indebtedness. LSB does not have independent assets or operations.</w:t>
      </w:r>
    </w:p>
    <w:p>
      <w:pPr>
        <w:spacing w:after="0" w:line="13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Those subsidiaries that provided guarantees of the Senior Secured Notes will be released from such guarantees upon the occurrence of certain events, including the following:</w:t>
      </w:r>
    </w:p>
    <w:p>
      <w:pPr>
        <w:spacing w:after="0" w:line="39"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guarantor as an unrestricted subsidiary;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release or discharge of any guarantee or indebtedness that resulted in the creation of the guarantee of the Senior Secured Notes by such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line="275"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including by way of merger or otherwise, of its capital stock or of all or substantially all of the assets, of such guarantor; or</w:t>
      </w:r>
    </w:p>
    <w:p>
      <w:pPr>
        <w:spacing w:after="0" w:line="38" w:lineRule="exact"/>
        <w:rPr>
          <w:rFonts w:ascii="Times New Roman" w:cs="Times New Roman" w:eastAsia="Times New Roman" w:hAnsi="Times New Roman"/>
          <w:sz w:val="18"/>
          <w:szCs w:val="18"/>
          <w:color w:val="auto"/>
        </w:rPr>
      </w:pPr>
    </w:p>
    <w:p>
      <w:pPr>
        <w:ind w:left="900" w:right="520" w:hanging="325"/>
        <w:spacing w:after="0" w:line="275"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LSB’s exercise of its legal defeasance option or its covenant defeasance option as described in the Indenture with LSB’s obligations under the Indenture discharged in accordance with the Indenture.</w:t>
      </w:r>
    </w:p>
    <w:p>
      <w:pPr>
        <w:spacing w:after="0" w:line="120"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The Senior Secured Notes will be effectively senior to all existing and future unsecured debt of LSB and the guarantors to the extent of the value of the property and assets subject to liens (“Collateral”) and will be effectively senior to all existing and future obligations under the Amended Working Capital Revolver Loan and other debt to the extent of the value of the certain collateral (“Priority Collateral”).</w:t>
      </w:r>
    </w:p>
    <w:p>
      <w:pPr>
        <w:spacing w:after="0" w:line="1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Senior Secured Notes will be secured on a first-priority basis by the Priority Collateral owned by LSB and the guarantors (other than the two unsecured guarantors) providing security and on a second-priority basis by the certain collateral securing the Amended Working Capital Revolver Loan owned by LSB and the guarantors (other than the two unsecured guarantors), in each case subject to certain liens permitted under the Indenture. The Senior Secured Notes will be equal in priority as to the Priority Collateral owned by LSB and the guarantors with respect to any obligations under any equally ranked lien obligations subsequently incurred.</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Senior Secured Notes will be effectively subordinated to all of LSB and the guarantors’ existing and future obligations under the Amended Working Capital Revolver Loan and other debt to the extent of the value of the certain collateral securing such debt and to any of LSB and the guarantors’ existing and future indebtedness that is secured by liens that are not part of the Collateral. The Senior Secured Notes will be structurally subordinated to all of the existing and future indebtedness, preferred stock obligations and other liabilities, including trade payables, of our subsidiaries that do not guarantee the Senior Secured Notes in the future.</w:t>
      </w:r>
    </w:p>
    <w:p>
      <w:pPr>
        <w:spacing w:after="0" w:line="139"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Except under certain conditions, the Senior Secured Notes are not redeemable before August 1, 2016. On or after such date, LSB may redeem the Senior Secured Notes at its option, in whole or in part, upon not less than 30 nor more than 60 days notice, at the following redemption prices (expressed as percentages of the principal amount thereof), plus accrued and unpaid interest to the redemption date (subject to the right of holders of record on the relevant record date to receive interest due on the relevant interest payment date), if redeemed during the twelve-month period commencing on August 1</w:t>
      </w:r>
      <w:r>
        <w:rPr>
          <w:rFonts w:ascii="Times New Roman" w:cs="Times New Roman" w:eastAsia="Times New Roman" w:hAnsi="Times New Roman"/>
          <w:sz w:val="10"/>
          <w:szCs w:val="10"/>
          <w:color w:val="auto"/>
        </w:rPr>
        <w:t>st</w:t>
      </w:r>
      <w:r>
        <w:rPr>
          <w:rFonts w:ascii="Times New Roman" w:cs="Times New Roman" w:eastAsia="Times New Roman" w:hAnsi="Times New Roman"/>
          <w:sz w:val="16"/>
          <w:szCs w:val="16"/>
          <w:color w:val="auto"/>
        </w:rPr>
        <w:t xml:space="preserve"> of the year set forth below:</w:t>
      </w:r>
    </w:p>
    <w:p>
      <w:pPr>
        <w:spacing w:after="0" w:line="14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66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4"/>
              </w:rPr>
              <w:t>Percentage</w:t>
            </w:r>
          </w:p>
        </w:tc>
        <w:tc>
          <w:tcPr>
            <w:tcW w:w="0" w:type="dxa"/>
            <w:vAlign w:val="bottom"/>
          </w:tcPr>
          <w:p>
            <w:pPr>
              <w:spacing w:after="0"/>
              <w:rPr>
                <w:sz w:val="1"/>
                <w:szCs w:val="1"/>
                <w:color w:val="auto"/>
              </w:rPr>
            </w:pPr>
          </w:p>
        </w:tc>
      </w:tr>
      <w:tr>
        <w:trPr>
          <w:trHeight w:val="20"/>
        </w:trPr>
        <w:tc>
          <w:tcPr>
            <w:tcW w:w="6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103.875%</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101.938%</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and thereafter</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Upon the occurrence of a change of control, as defined in the Indenture, each holder of the Senior Secured Notes will have the right to require that LSB purchase all or a portion of such holder’s notes at a purchase price equal to 101% of the principal amount thereof plus accrued and unpaid interest, if any, to the date of purchase (subject to the right of holders of record on the relevant record date to receive interest due on the relevant interest payment 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contains covenants that, among other things, limit LSB’s ability, with certain exceptions and as defined in the Indenture, to:</w:t>
      </w:r>
    </w:p>
    <w:p>
      <w:pPr>
        <w:spacing w:after="0" w:line="90"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LSB’ common and preferred stocks;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certain indebtedness;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sell or otherwise dispose of our assets;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consolidations or other forms of recapitalization;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affiliate transactions.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455" w:right="2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conjunction with the Senior Secured Notes, we entered into an amendment to the Working Capital Revolver Loan as discussed below.</w:t>
      </w:r>
    </w:p>
    <w:p>
      <w:pPr>
        <w:spacing w:after="0" w:line="16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Amended Working Capital Revolver Loan</w:t>
      </w:r>
      <w:r>
        <w:rPr>
          <w:rFonts w:ascii="Times New Roman" w:cs="Times New Roman" w:eastAsia="Times New Roman" w:hAnsi="Times New Roman"/>
          <w:sz w:val="18"/>
          <w:szCs w:val="18"/>
          <w:color w:val="auto"/>
        </w:rPr>
        <w:t>—Our wholly-owned subsidiary, ThermaClime, and certain of its wholly-owned subsidiaries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are parties to the Working Capital Revolver Loan. On July 31, 2013, we entered into an amendment to the Working Capital Revolver Loan, which amends our existing senior secured revolving credit facility (the “Amended Working Capital Revolver”). The Amended Working Capital Revolver Loan became effective concurrently with the closing of the issuance of Senior Secured Notes discussed above. Upon the Amended Working Capital Revolver Loan becoming effective, the principal amount that ThermaClime and its subsidiaries may borrow on a revolving basis increased from up to $50.0 million to up to $100.0 million, based on specific percentages of eligible accounts receivable and inventories and permits the Senior Secured Notes and the secured guarantees to be secured on a first-priority basis by the Priority Collateral and on a second-priority basis by the certain collateral securing the Amended Working Capital Revolver Loan and provides that the Amended Working Capital Revolver Loan be secured on a second-priority basis by the Priority Collateral. The Amended Working Capital Revolver Loan will mature on April 13, 2018.</w:t>
      </w:r>
    </w:p>
    <w:p>
      <w:pPr>
        <w:spacing w:after="0" w:line="14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 Amended Working Capital Revolver Loan accrues interest at a base rate (generally equivalent to the prime rate) plus 0.50% if borrowing availability is greater than $25.0 million, otherwise plus 0.75% or, at our option, accrues interest at LIBOR plus 1.50% if borrowing availability is greater than $25.0 million, otherwise LIBOR plus 1.75%. At September 30, 2013, the interest rate was 3.75% based on LIBOR. Interest is paid monthly, if applicable.</w:t>
      </w:r>
    </w:p>
    <w:p>
      <w:pPr>
        <w:spacing w:after="0" w:line="1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At September 30, 2013, there were no outstanding borrowings under the Amended Working Capital Revolver Loan. At September 30, 2013, the net credit available for borrowings under our Amended Working Capital Revolver Loan was approximately $63.3 million, based on our eligible collateral, less outstanding letters of credit as of that date.</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Amended Working Capital Revolver Loan provides for up to $15.0 million of letters of credit. All letters of credit outstanding reduce availability under the Amended Working Capital Revolver Loan. Under the Amended Working Capital Revolver Loan, the lender also requires the Borrowers to pay a letter of credit fee equal to 1% per annum of the undrawn amount of all outstanding letters of credit, an unused line fee equal to .25% per annum for the excess amount available under the Amended Working Capital Revolver Loan not drawn and various other audit, appraisal and valuation charges.</w:t>
      </w:r>
    </w:p>
    <w:p>
      <w:pPr>
        <w:spacing w:after="0" w:line="13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lender has the ability to, upon an event of default, as defined, terminate the Amended Working Capital Revolver Loan and make the balance outstanding, if any, due and payable in full. The terms of the Amended Working Capital Revolver Loan provided that ThermaClime could prepay the Secured Term Loan as discussed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Amended Working Capital Revolver Loan requires ThermaClime to meet a minimum fixed charge coverage ratio of not less than 1.10 to 1, if at any time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excess availability (as defined by the Amended Working Capital Revolver Loan), under the Amended Working Capital Revolver Loan, is less than or equal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$12.5 million. This ratio will be measured monthly on a trailing twelve month basis and as defined in the agreement. As of September 30, 2013, as defined in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fixed charge coverage ratio was 14 to 1. The Amended Working Capital Revolver Loan contains covenants that, among other things, limit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Borrowers’ (which does not include LSB) ability, without consent of the lender and with certain exceptions, to:</w:t>
      </w:r>
    </w:p>
    <w:p>
      <w:pPr>
        <w:spacing w:after="0" w:line="78" w:lineRule="exact"/>
        <w:rPr>
          <w:sz w:val="20"/>
          <w:szCs w:val="20"/>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sell or otherwise dispose of our assets;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corporate changes or changes to our business activities;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material acquisitions;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other restricted payments, including, without limitation, investments;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certain indebtedness;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affiliate transactions;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and distributions to LSB;</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consolidations or other forms of recapitalization;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assets.</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Amended Working Capital Revolver Loan allows the Borrowers and subsidiaries under the Senior Secured Notes to guarantee those notes. So long as no default or event of default has occurred and is continuing or would result therefrom, ThermaClime may make distributions and pay dividends to LSB in amounts necessary to permit LSB to make required payments of principal and payments of scheduled interest under the Senior Secured Notes, in each case not more than five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business days prior to the date such payments are due and not in excess of the actual amounts due. The ability of ThermaClime and its wholly-owned subsidiaries to pay other dividends and to make other distributions to LSB or Consolidated Industries is restricted by certain covenants contained in the Amended Working Capital Revolver Loan, which prohibits ThermaClime from transferring other funds to LSB in the form of cash dividends or other distributions, except for the following (so long as no default or event of default has occurred, is continuing or would result therefrom):</w:t>
      </w:r>
    </w:p>
    <w:p>
      <w:pPr>
        <w:spacing w:after="0" w:line="55" w:lineRule="exact"/>
        <w:rPr>
          <w:sz w:val="20"/>
          <w:szCs w:val="20"/>
          <w:color w:val="auto"/>
        </w:rPr>
      </w:pPr>
    </w:p>
    <w:p>
      <w:pPr>
        <w:ind w:left="90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not to exceed $7.5 million annually under a certain management agreement between LSB and ThermaClime, provided certain conditions are met;</w:t>
      </w:r>
    </w:p>
    <w:p>
      <w:pPr>
        <w:spacing w:after="0" w:line="38" w:lineRule="exact"/>
        <w:rPr>
          <w:rFonts w:ascii="Times New Roman" w:cs="Times New Roman" w:eastAsia="Times New Roman" w:hAnsi="Times New Roman"/>
          <w:sz w:val="18"/>
          <w:szCs w:val="18"/>
          <w:color w:val="auto"/>
        </w:rPr>
      </w:pPr>
    </w:p>
    <w:p>
      <w:pPr>
        <w:ind w:left="900" w:right="20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costs and expenses incurred by LSB that are directly allocable to ThermaClime or its subsidiaries for LSB’s provision of services under a certain services agreement;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income taxes that ThermaClime would be required to pay if they were not consolidated with LSB; and</w:t>
      </w:r>
    </w:p>
    <w:p>
      <w:pPr>
        <w:spacing w:after="0" w:line="90"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not to exceed 50% of ThermaClime’s consolidated net income during each fiscal year determined in accordance with GAAP, plus income taxes paid to LSB during such fiscal year within the previous bullet above.</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So long as both immediately before and after giving effect to any of the following, excess availability as defined by the Amended Working Capital Revolver Loan is equal to or greater than the greater of (x) 20% of the maximum revolver commitment or (y) $20 million, the Amended Working Capital Revolver will allow each of the Borrowers under the Amended Working Capital Revolver Loan to make:</w:t>
      </w:r>
    </w:p>
    <w:p>
      <w:pPr>
        <w:spacing w:after="0" w:line="51"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to, or other investments in, LSB in an aggregate amount exceeding $5.0 million at any time outstanding;</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and pay dividends with respect to amounts in excess of $0.5 million during each fiscal year to Consolidated Industries or to LSB or to any subsidiary of Consolidated Industries that is not also a subsidiary of ThermaClime;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joint ventures in an aggregate amount not exceeding $35.0 million;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an aggregate amount not exceeding $50.0 million at any one time outstanding.</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Amended Working Capital Revolver Loan includes customary events of default, including events of default relating to nonpayment of principal and other amounts owing under the Amended Working Capital Revolver Loan from time to time, any material misstatement or misrepresentation and breaches of representations and warranties made, violations of covenants, cross-payment default to indebtedness in excess of $0.1 million, cross-acceleration to indebtedness in excess of $0.1 million, bankruptcy and insolvency events, certain unsatisfied judgments, certain liens, and certain assertions of, or actual invalidity of, certain loan documents.</w:t>
      </w:r>
    </w:p>
    <w:p>
      <w:pPr>
        <w:spacing w:after="0" w:line="13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Secured Promissory Note</w:t>
      </w:r>
      <w:r>
        <w:rPr>
          <w:rFonts w:ascii="Times New Roman" w:cs="Times New Roman" w:eastAsia="Times New Roman" w:hAnsi="Times New Roman"/>
          <w:sz w:val="18"/>
          <w:szCs w:val="18"/>
          <w:color w:val="auto"/>
        </w:rPr>
        <w:t>—On February 1, 2013, Zena, a subsidiary within our Chemical Business, entered into the Secured Promissory Note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in the original principal amount of $35 million. The Secured Promissory Note follows the original acquisition by Zena of Working Interests in certain natural gas properties during October 2012. The proceeds of the Secured Promissory Note effectively financed $35 million of the approximately $50 million purchase price of the Working Interests previously paid out of LSB’s working capital. The proceeds of the Secured Promissory Note were used to reimburse our general working capital. The Secured Promissory Note matures on February 1, 2016. Principal and interest are payable monthly based on a five-year amortization at a defined LIBOR rate plus 300 basis points (but not below 3.00% per annum) with a final balloon payment of $15.3 million. The interest rate at September 30, 2013 was 3.26%. The loan is secured by the Working Interests and related properties and proceeds.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Secured Term Loan</w:t>
      </w:r>
      <w:r>
        <w:rPr>
          <w:rFonts w:ascii="Times New Roman" w:cs="Times New Roman" w:eastAsia="Times New Roman" w:hAnsi="Times New Roman"/>
          <w:sz w:val="18"/>
          <w:szCs w:val="18"/>
          <w:color w:val="auto"/>
        </w:rPr>
        <w:t>—As discussed above under “Issuance of Senior Secured Notes and Intended Use of Proceeds,” we used $67.2 million of the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sale of the Senior Secured Notes to pay all outstanding borrowings, including the prepayment penalty, under the Secured Term Loan.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the Bayer Agreement</w:t>
      </w:r>
    </w:p>
    <w:p>
      <w:pPr>
        <w:spacing w:after="0" w:line="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Subsidiaries within our Chemical Business, EDN and EDC, are party to an agreement (the “Bayer Agreement”) with Bayer Material Science LLC (“Bayer”). EDN operates Bayer’s nitric acid plant (the “Baytown Facility”) located within Bayer’s chemical manufacturing complex. Under the terms of the Bayer Agreement, Bayer purchases from EDN all of Bayer’s requirements for nitric acid for use in Bayer’s chemical manufacturing complex located in Baytown, Texas that provides a pass-through of certain costs plus a profit. In addition, EDN is responsible for the maintenance and operation of the Baytown Facility. If there is a change in control of EDN, Bayer has the right to terminate the Bayer Agreement upon payment of certain fees to EDN. In June 2013, the Bayer Agreement was amended, dated effective July 1, 2014, to extend the term of the agreement for an additional seven years, beginning July 1, 2014. The amendment also provides incentives to EDN for meeting certain safety, environmental, and reliability thresholds.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a Long-Term Cost-Plus Supply Agreement</w:t>
      </w:r>
    </w:p>
    <w:p>
      <w:pPr>
        <w:spacing w:after="0" w:line="92" w:lineRule="exact"/>
        <w:rPr>
          <w:sz w:val="20"/>
          <w:szCs w:val="20"/>
          <w:color w:val="auto"/>
        </w:rPr>
      </w:pPr>
    </w:p>
    <w:p>
      <w:pPr>
        <w:ind w:right="320"/>
        <w:spacing w:after="0" w:line="310" w:lineRule="auto"/>
        <w:rPr>
          <w:sz w:val="20"/>
          <w:szCs w:val="20"/>
          <w:color w:val="auto"/>
        </w:rPr>
      </w:pPr>
      <w:r>
        <w:rPr>
          <w:rFonts w:ascii="Times New Roman" w:cs="Times New Roman" w:eastAsia="Times New Roman" w:hAnsi="Times New Roman"/>
          <w:sz w:val="16"/>
          <w:szCs w:val="16"/>
          <w:color w:val="auto"/>
        </w:rPr>
        <w:t>Pursuant to a long-term cost-plus supply agreement, EDC sells to a customer a significant annual volume of industrial grade AN produced at the El Dorado Facility. In April 2013, this agreement was amended to update and correct the specification of AN solution to be manufactured by EDC. The amendment also modified the required notice of termination from two years to one year, with the effective termination date in such notice to be no sooner than April 9,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our only significant seasonal products are fertilizer and related chemical products sold by our Chemical Business to the agricultural industry. The selling seasons for those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increases its inventory of agricultural products prior to the beginning of each planting season. In addition, the amount and timing of sales to the agricultural markets depend upon weather conditions and other circumstances beyond our control.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above under “Liquidity and Capital Resources-Dividends” relating to the Golsen Group.</w:t>
      </w:r>
    </w:p>
    <w:p>
      <w:pPr>
        <w:spacing w:after="0" w:line="17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March 15, 2013, our Board of Directors appointed Mr. Lance Benham as a new member of our Board of Directors. Mr. Benham’s appointment fills the board vacancy resulting from the passing of Mr. Horace Rhodes in January 2013. Mr. Benham will serve with the class of directors having a term ending at the 2013 annual meeting of stockholders, which will be held on May 23, 2013. In January 2013, Mr. Benham retired as Senior Vice President of SAIC Energy, Environment &amp; Infrastructure, LLC (“SAIC Energy”), a subsidiary of Science Applications International Corporation (“SAIC”). There are no arrangements or understandings between Mr. Benham and any other person pursuant to which Mr. Benham was appointed as a director of LSB. During 2012, we incurred approximately $127,000 with SAIC Energy for engineering services relating to our chemical facilities. During the first nine months of 2013, we incurred approximately $5,734,000 with SAIC Energy for engineering services and deconstruction services relating to our chemical facilities. Currently, SAIC is quoting on additional engineering projects.</w:t>
      </w:r>
    </w:p>
    <w:p>
      <w:pPr>
        <w:spacing w:after="0" w:line="13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As discussed above under “Liquidity and Capital Resources—Capital Expenditures”, a subsidiary of EDC entered into an Engineering Procurement and Construction Agreement with SAIC Constructors, LLC, a subsidiary of SAIC, to engineer and construct an ammonia plant and certain support facilities at the El Dorado Facility. We expect SAIC Constructor’s fees in connection with this agreement to be approximately $22 million.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2013 compared to nine months ended September 30, 2012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Chemical Business</w:t>
      </w:r>
    </w:p>
    <w:p>
      <w:pPr>
        <w:spacing w:after="0" w:line="92"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The following table contains certain information about our net sales, gross profit and operating income in our Chemical segment for the nine months ended September 30,</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4"/>
              </w:rPr>
              <w:t>Percentage</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2013</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2012</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78"/>
              <w:spacing w:after="0"/>
              <w:rPr>
                <w:sz w:val="20"/>
                <w:szCs w:val="20"/>
                <w:color w:val="auto"/>
              </w:rPr>
            </w:pPr>
            <w:r>
              <w:rPr>
                <w:rFonts w:ascii="Times New Roman" w:cs="Times New Roman" w:eastAsia="Times New Roman" w:hAnsi="Times New Roman"/>
                <w:sz w:val="14"/>
                <w:szCs w:val="14"/>
                <w:color w:val="auto"/>
              </w:rPr>
              <w:t>Change</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Agricultural products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2"/>
              </w:rPr>
              <w:t>139,943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177,061</w:t>
            </w:r>
          </w:p>
        </w:tc>
        <w:tc>
          <w:tcPr>
            <w:tcW w:w="440" w:type="dxa"/>
            <w:vAlign w:val="bottom"/>
          </w:tcPr>
          <w:p>
            <w:pPr>
              <w:spacing w:after="0"/>
              <w:rPr>
                <w:sz w:val="18"/>
                <w:szCs w:val="18"/>
                <w:color w:val="auto"/>
              </w:rPr>
            </w:pPr>
          </w:p>
        </w:tc>
        <w:tc>
          <w:tcPr>
            <w:tcW w:w="1440" w:type="dxa"/>
            <w:vAlign w:val="bottom"/>
            <w:gridSpan w:val="3"/>
          </w:tcPr>
          <w:p>
            <w:pPr>
              <w:jc w:val="right"/>
              <w:ind w:right="498"/>
              <w:spacing w:after="0"/>
              <w:rPr>
                <w:sz w:val="20"/>
                <w:szCs w:val="20"/>
                <w:color w:val="auto"/>
              </w:rPr>
            </w:pPr>
            <w:r>
              <w:rPr>
                <w:rFonts w:ascii="Times New Roman" w:cs="Times New Roman" w:eastAsia="Times New Roman" w:hAnsi="Times New Roman"/>
                <w:sz w:val="18"/>
                <w:szCs w:val="18"/>
                <w:color w:val="auto"/>
              </w:rPr>
              <w:t>$ (37,118)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2"/>
              </w:rPr>
              <w:t>109,219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123,258</w:t>
            </w:r>
          </w:p>
        </w:tc>
        <w:tc>
          <w:tcPr>
            <w:tcW w:w="4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(14,039)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Mining products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72,232</w:t>
            </w:r>
          </w:p>
        </w:tc>
        <w:tc>
          <w:tcPr>
            <w:tcW w:w="440" w:type="dxa"/>
            <w:vAlign w:val="bottom"/>
          </w:tcPr>
          <w:p>
            <w:pPr>
              <w:spacing w:after="0"/>
              <w:rPr>
                <w:sz w:val="18"/>
                <w:szCs w:val="18"/>
                <w:color w:val="auto"/>
              </w:rPr>
            </w:pPr>
          </w:p>
        </w:tc>
        <w:tc>
          <w:tcPr>
            <w:tcW w:w="1440" w:type="dxa"/>
            <w:vAlign w:val="bottom"/>
            <w:gridSpan w:val="3"/>
          </w:tcPr>
          <w:p>
            <w:pPr>
              <w:jc w:val="right"/>
              <w:ind w:right="498"/>
              <w:spacing w:after="0"/>
              <w:rPr>
                <w:sz w:val="20"/>
                <w:szCs w:val="20"/>
                <w:color w:val="auto"/>
              </w:rPr>
            </w:pPr>
            <w:r>
              <w:rPr>
                <w:rFonts w:ascii="Times New Roman" w:cs="Times New Roman" w:eastAsia="Times New Roman" w:hAnsi="Times New Roman"/>
                <w:sz w:val="18"/>
                <w:szCs w:val="18"/>
                <w:color w:val="auto"/>
              </w:rPr>
              <w:t>(23,407)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Natural gas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Chemical</w:t>
            </w:r>
          </w:p>
        </w:tc>
        <w:tc>
          <w:tcPr>
            <w:tcW w:w="1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303,017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372,551</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 xml:space="preserve"> (69,534</w:t>
            </w:r>
          </w:p>
        </w:tc>
        <w:tc>
          <w:tcPr>
            <w:tcW w:w="6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profit—Chemical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39,116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78,789</w:t>
            </w:r>
          </w:p>
        </w:tc>
        <w:tc>
          <w:tcPr>
            <w:tcW w:w="4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(39,673)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 percentage—Chemical (1)</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8"/>
                <w:szCs w:val="18"/>
                <w:color w:val="auto"/>
              </w:rPr>
            </w:pPr>
          </w:p>
        </w:tc>
        <w:tc>
          <w:tcPr>
            <w:tcW w:w="128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(8.2)%</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income—Chemical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20,259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67,023</w:t>
            </w:r>
          </w:p>
        </w:tc>
        <w:tc>
          <w:tcPr>
            <w:tcW w:w="4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(46,764)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percentage of net sales</w:t>
      </w:r>
    </w:p>
    <w:p>
      <w:pPr>
        <w:spacing w:after="0" w:line="25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Sales—Chemical</w:t>
      </w:r>
    </w:p>
    <w:p>
      <w:pPr>
        <w:spacing w:after="0" w:line="92" w:lineRule="exact"/>
        <w:rPr>
          <w:rFonts w:ascii="Times New Roman" w:cs="Times New Roman" w:eastAsia="Times New Roman" w:hAnsi="Times New Roman"/>
          <w:sz w:val="18"/>
          <w:szCs w:val="18"/>
          <w:color w:val="auto"/>
        </w:rPr>
      </w:pPr>
    </w:p>
    <w:p>
      <w:pPr>
        <w:ind w:left="900" w:right="400" w:hanging="325"/>
        <w:spacing w:after="0" w:line="275" w:lineRule="auto"/>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products sales decreased primarily due to the downtime experienced at our Cherokee and Pryor Facilities and lower sales prices for nitrogen fertilizer.</w:t>
      </w:r>
    </w:p>
    <w:p>
      <w:pPr>
        <w:spacing w:after="0" w:line="38" w:lineRule="exact"/>
        <w:rPr>
          <w:rFonts w:ascii="Times New Roman" w:cs="Times New Roman" w:eastAsia="Times New Roman" w:hAnsi="Times New Roman"/>
          <w:sz w:val="18"/>
          <w:szCs w:val="18"/>
          <w:color w:val="auto"/>
        </w:rPr>
      </w:pPr>
    </w:p>
    <w:p>
      <w:pPr>
        <w:ind w:left="900" w:right="40" w:hanging="325"/>
        <w:spacing w:after="0" w:line="262" w:lineRule="auto"/>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acids and other chemical products sales decreased primarily as the result of a Turnaround performed at our Baytown Facility to coincide with a significant customer’s planned maintenance outage as well as the unplanned downtime at our Cherokee Facility and reduction in production at our El Dorado Facility.</w:t>
      </w:r>
    </w:p>
    <w:p>
      <w:pPr>
        <w:spacing w:after="0" w:line="51" w:lineRule="exact"/>
        <w:rPr>
          <w:rFonts w:ascii="Times New Roman" w:cs="Times New Roman" w:eastAsia="Times New Roman" w:hAnsi="Times New Roman"/>
          <w:sz w:val="18"/>
          <w:szCs w:val="18"/>
          <w:color w:val="auto"/>
        </w:rPr>
      </w:pPr>
    </w:p>
    <w:p>
      <w:pPr>
        <w:ind w:left="900" w:right="140" w:hanging="325"/>
        <w:spacing w:after="0" w:line="262" w:lineRule="auto"/>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products sales decreased primarily due to lower volumes as the result of the downtime experienced at the Cherokee Facility and the lower customer demand due to the current low cost of natural gas as an alternative fuel for utility companies partially offset by a higher average feedstock cost of ammonia passed through to our customers pursuant to contractual pricing agreements.</w:t>
      </w:r>
    </w:p>
    <w:p>
      <w:pPr>
        <w:spacing w:after="0" w:line="51" w:lineRule="exact"/>
        <w:rPr>
          <w:rFonts w:ascii="Times New Roman" w:cs="Times New Roman" w:eastAsia="Times New Roman" w:hAnsi="Times New Roman"/>
          <w:sz w:val="18"/>
          <w:szCs w:val="18"/>
          <w:color w:val="auto"/>
        </w:rPr>
      </w:pPr>
    </w:p>
    <w:p>
      <w:pPr>
        <w:ind w:left="900" w:right="180" w:hanging="325"/>
        <w:spacing w:after="0" w:line="262" w:lineRule="auto"/>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sales relates to working interests in certain natural gas properties acquired in October 2012 and August 2013 by a subsidiary within our Chemical Business. Management considers these working interests as an economic hedge against a potential rise in natural gas prices in the future for a portion of our future natural gas production requirements.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Profit—Chemical</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decrease in gross profit was primarily due to lower sales volume, unabsorbed fixed overhead costs and costs associated with purchased ammonia and other products to meet some of our customers’ needs, all of which are primarily attributable to the downtime experienced at certain of our facilities, partially offset by approximately $18 million business interruption insurance recovery recognized and approximately $5 million in recoveries of precious metals during the first nine months of 2013. Additionally, nitrogen fertilizer sale prices were down and natural gas feedstock costs increased. During the first nine months of 2012, the estimated cumulative impact from the downtime experienced at our Pryor and El Dorado Facilities was approximately $21 million.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Income—Chemical</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decrease in operating income includes the decrease in gross profit as discussed above. Additionally, other net expenses increased approximately $3 million primarily as a result of dismantle and demolition costs incurred at the El Dorado Facility. Selling, general and administrative expenses increased approximately $4 million primarily due to consulting and other fees related to the DSN plant and a maintenance management project at our Pryor Facility.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Climate Control Business</w:t>
      </w:r>
    </w:p>
    <w:p>
      <w:pPr>
        <w:spacing w:after="0" w:line="9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following table contains certain information about our net sales, gross profit and operating income in our Climate Control segment for the nine months ended September 30,</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4"/>
              </w:rPr>
              <w:t>Percentage</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2013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2012</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Change</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Geothermal and water source heat pumps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138,009</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123,346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14,663</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Hydronic fan coils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48,813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42,285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HVAC products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(1,987)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Climate Control</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217,490</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5"/>
              </w:rPr>
              <w:t>198,286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19,204</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profit—Climate Control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6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percentage—Climate Control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income—Climate Control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6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percentage of net sales</w:t>
      </w:r>
    </w:p>
    <w:p>
      <w:pPr>
        <w:spacing w:after="0" w:line="25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Sales—Climate Control</w:t>
      </w:r>
    </w:p>
    <w:p>
      <w:pPr>
        <w:spacing w:after="0" w:line="92" w:lineRule="exact"/>
        <w:rPr>
          <w:rFonts w:ascii="Times New Roman" w:cs="Times New Roman" w:eastAsia="Times New Roman" w:hAnsi="Times New Roman"/>
          <w:sz w:val="18"/>
          <w:szCs w:val="18"/>
          <w:color w:val="auto"/>
        </w:rPr>
      </w:pPr>
    </w:p>
    <w:p>
      <w:pPr>
        <w:ind w:left="900" w:right="200" w:hanging="325"/>
        <w:spacing w:after="0" w:line="256" w:lineRule="auto"/>
        <w:tabs>
          <w:tab w:leader="none" w:pos="9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our geothermal and water source heat pump products increased primarily as a result of a 16% improvement in sales of our commercial/institutional products with an increase in number of units sold and higher unit pricing associated with product mix due to higher beginning backlog related to the increase in new product orders. Residential product sales were consistent with the prior year. During the first nine months of 2013, we continued to maintain a market share leadership position of approximately 41%, based on preliminary market data supplied by the Air-Conditioning, Heating and Refrigeration Institute (“AHRI”).</w:t>
      </w:r>
    </w:p>
    <w:p>
      <w:pPr>
        <w:spacing w:after="0" w:line="57" w:lineRule="exact"/>
        <w:rPr>
          <w:rFonts w:ascii="Times New Roman" w:cs="Times New Roman" w:eastAsia="Times New Roman" w:hAnsi="Times New Roman"/>
          <w:sz w:val="18"/>
          <w:szCs w:val="18"/>
          <w:color w:val="auto"/>
        </w:rPr>
      </w:pPr>
    </w:p>
    <w:p>
      <w:pPr>
        <w:jc w:val="both"/>
        <w:ind w:left="900" w:right="180" w:hanging="325"/>
        <w:spacing w:after="0" w:line="262" w:lineRule="auto"/>
        <w:tabs>
          <w:tab w:leader="none" w:pos="9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our hydronic fan coils increased primarily due to an increase in the number of units sold, unit pricing and product mix. During the first nine months of 2013, we continued to have a market share leadership position of approximately 31% based on preliminary market data supplied by the AHRI.</w:t>
      </w:r>
    </w:p>
    <w:p>
      <w:pPr>
        <w:spacing w:after="0" w:line="51"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our other HVAC products decreased primarily as a result of decline sales of our large custom air handlers partially offset by increased sales of our modular chillers.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Profit—Climate Control</w:t>
      </w:r>
    </w:p>
    <w:p>
      <w:pPr>
        <w:spacing w:after="0" w:line="92"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The increase in gross profit in our Climate Control Business was primarily the result of the higher sales volume and unit pricing and change in product mix as discussed above. Gross profit as a percentage of sales improved primarily due to an improvement in raw material costs (copper, steel and aluminum) and overhead absorption related to the higher sales volume.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Income—Climate Control</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Operating income increased as the result of the increase in gross profit discussed above partially offset by higher variable selling expenses of $1.6 million (including warranty of $0.8 million, freight of $0.5 million, and commission of $0.3 million) primarily as the result of higher sales volume, increased consulting fees of $1.1 million primarily for services focused on future process and cost savings improvements, and increased personnel costs of $2.5 million primarily related to the increase in the number of employees and healthcare benefits partially offset by a $0.7 million decrease in advertising.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 net</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Interest expense for the first nine months of 2013 was $6.7 million compared to $3.8 million for the same period in 2012. The increase is due primarily to the issuance of the Senior Secured Notes as discussed above under “Loan Agreements – Terms and Conditions” partially offset by $2.1 million of capitalized interest during the first nine months of 2013.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on Extinguishment of Debt</w:t>
      </w:r>
    </w:p>
    <w:p>
      <w:pPr>
        <w:spacing w:after="0" w:line="9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As the result of the payoff of the Secured Term Loan in August 2013, we incurred a loss on extinguishment of debt of $1.2 million, consisting of a prepayment premium and writing off unamortized debt issuance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For Income Taxes</w:t>
      </w:r>
    </w:p>
    <w:p>
      <w:pPr>
        <w:spacing w:after="0" w:line="92"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The provision for income taxes for the first nine months of 2013 was approximately $10.0 million compared to an income tax provision of $27.1 million for the same period in 2012. The resulting effective tax rate for the first nine months of 2013 and 2012 was 38% (excluding the benefit of $0.5 million associated with the retroactive tax relief on certain 2012 tax provisions that expired in 2012) and 36%, respectively.</w:t>
      </w: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Three months ended September 30, 2013 compared to three months ended September 30, 2012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Chemical Business</w:t>
      </w:r>
    </w:p>
    <w:p>
      <w:pPr>
        <w:spacing w:after="0" w:line="92"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The following table contains certain information about our net sales, gross profit and operating income in our Chemical segment for the three months ended September 30,</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4"/>
              </w:rPr>
              <w:t>Percentage</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2013</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2012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38"/>
              <w:spacing w:after="0"/>
              <w:rPr>
                <w:sz w:val="20"/>
                <w:szCs w:val="20"/>
                <w:color w:val="auto"/>
              </w:rPr>
            </w:pPr>
            <w:r>
              <w:rPr>
                <w:rFonts w:ascii="Times New Roman" w:cs="Times New Roman" w:eastAsia="Times New Roman" w:hAnsi="Times New Roman"/>
                <w:sz w:val="14"/>
                <w:szCs w:val="14"/>
                <w:color w:val="auto"/>
                <w:w w:val="93"/>
              </w:rPr>
              <w:t>Change</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Agricultural products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46,671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33,230</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(6,265)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Mining products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w w:val="94"/>
              </w:rPr>
              <w:t>(14,479)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Natural gas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Chemical</w:t>
            </w:r>
          </w:p>
        </w:tc>
        <w:tc>
          <w:tcPr>
            <w:tcW w:w="1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104,199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110,212</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60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profit—Chemical</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 percentage—Chemical (1)</w:t>
            </w: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140" w:type="dxa"/>
            <w:vAlign w:val="bottom"/>
            <w:gridSpan w:val="2"/>
          </w:tcPr>
          <w:p>
            <w:pPr>
              <w:jc w:val="right"/>
              <w:ind w:right="378"/>
              <w:spacing w:after="0"/>
              <w:rPr>
                <w:sz w:val="20"/>
                <w:szCs w:val="20"/>
                <w:color w:val="auto"/>
              </w:rPr>
            </w:pPr>
            <w:r>
              <w:rPr>
                <w:rFonts w:ascii="Times New Roman" w:cs="Times New Roman" w:eastAsia="Times New Roman" w:hAnsi="Times New Roman"/>
                <w:sz w:val="18"/>
                <w:szCs w:val="18"/>
                <w:color w:val="auto"/>
              </w:rPr>
              <w:t>13.4%</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income—Chemical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17,680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percentage of net sales</w:t>
      </w:r>
    </w:p>
    <w:p>
      <w:pPr>
        <w:spacing w:after="0" w:line="25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Sales—Chemical</w:t>
      </w:r>
    </w:p>
    <w:p>
      <w:pPr>
        <w:spacing w:after="0" w:line="92"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products sales increased primarily due to improved production of ammonia at UAN at our Cherokee and Pryor Facilities partially offset by lower sales prices for agricultural products.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60"/>
          </w:cols>
          <w:pgMar w:left="240" w:top="455" w:right="2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20" w:hanging="325"/>
        <w:spacing w:after="0" w:line="26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acids and other chemical products sales decreased primarily as the result of lower feedstock cost of ammonia passed through on certain of our contractual pricing agreements with customers partially offset by an increase in sales volume primarily due to all of our plants (except the concentrated nitric acid plant) at the El Dorado Facility were in operation compared to the third quarter of 2012.</w:t>
      </w:r>
    </w:p>
    <w:p>
      <w:pPr>
        <w:spacing w:after="0" w:line="51"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products sales decreased primarily due to lower customer demand as the result of customers favoring lower cost suppliers utilizing natural gas-based economics compared to purchased ammonia at the El Dorado Facility.</w:t>
      </w:r>
    </w:p>
    <w:p>
      <w:pPr>
        <w:spacing w:after="0" w:line="38"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sales relates to working interests in certain natural gas properties acquired in October 2012 and August 2013 by a subsidiary within our Chemical Business.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Profit—Chemical</w:t>
      </w:r>
    </w:p>
    <w:p>
      <w:pPr>
        <w:spacing w:after="0" w:line="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increase in gross profit was primarily due to increased sales volume, approximately $5 million in recoveries of precious metals, and approximately $4 million business interruption insurance recovery recognized during the third quarter of 2013. The above increase was partially offset by lower nitrogen product selling prices and higher natural gas feedstock costs.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Income—Chemical</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increase in operating income includes the increase in gross profit as discussed above. This increase was partially offset by an increase in other net expenses of approximately $1 million primarily due to the disposal of certain capital assets primarily associated with maintenance projects performed at our facilities. Also selling, general and administrative expenses increased approximately $2 million primarily due to professional, consulting and other fees.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Climate Control Business</w:t>
      </w:r>
    </w:p>
    <w:p>
      <w:pPr>
        <w:spacing w:after="0" w:line="92"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The following table contains certain information about our net sales, gross profit and operating income in our Climate Control segment for the three months ended September 30,</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4"/>
              </w:rPr>
              <w:t>Percentage</w:t>
            </w: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2013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2012</w:t>
            </w:r>
          </w:p>
        </w:tc>
        <w:tc>
          <w:tcPr>
            <w:tcW w:w="600" w:type="dxa"/>
            <w:vAlign w:val="bottom"/>
          </w:tcPr>
          <w:p>
            <w:pPr>
              <w:spacing w:after="0"/>
              <w:rPr>
                <w:sz w:val="14"/>
                <w:szCs w:val="14"/>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Change</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w w:val="98"/>
              </w:rPr>
              <w:t>(Dollars In Thousands)</w:t>
            </w:r>
          </w:p>
        </w:tc>
        <w:tc>
          <w:tcPr>
            <w:tcW w:w="5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Geothermal and water source heat pumps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46,624</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2"/>
              </w:rPr>
              <w:t>41,478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$ 5,146</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Hydronic fan coils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16,151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2"/>
              </w:rPr>
              <w:t>15,639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HVAC products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2"/>
              </w:rPr>
              <w:t>10,865</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(3,777)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Climate Control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69,863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2"/>
              </w:rPr>
              <w:t>67,982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$ 1,881</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profit—Climate Control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23,168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20,457</w:t>
            </w:r>
          </w:p>
        </w:tc>
        <w:tc>
          <w:tcPr>
            <w:tcW w:w="6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$ 2,711</w:t>
            </w:r>
          </w:p>
        </w:tc>
        <w:tc>
          <w:tcPr>
            <w:tcW w:w="6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percentage—Climate Control (1)</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30.1%</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income—Climate Control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6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$ 1,691</w:t>
            </w:r>
          </w:p>
        </w:tc>
        <w:tc>
          <w:tcPr>
            <w:tcW w:w="6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percentage of net sales</w:t>
      </w:r>
    </w:p>
    <w:p>
      <w:pPr>
        <w:spacing w:after="0" w:line="25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Sales—Climate Control</w:t>
      </w:r>
    </w:p>
    <w:p>
      <w:pPr>
        <w:spacing w:after="0" w:line="92" w:lineRule="exact"/>
        <w:rPr>
          <w:rFonts w:ascii="Times New Roman" w:cs="Times New Roman" w:eastAsia="Times New Roman" w:hAnsi="Times New Roman"/>
          <w:sz w:val="18"/>
          <w:szCs w:val="18"/>
          <w:color w:val="auto"/>
        </w:rPr>
      </w:pPr>
    </w:p>
    <w:p>
      <w:pPr>
        <w:ind w:left="900" w:right="20" w:hanging="325"/>
        <w:spacing w:after="0" w:line="258" w:lineRule="auto"/>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our geothermal and water source heat pump products increased primarily as a result of a 14% improvement in sales of our commercial/institutional products with an increase in number of units sold and higher unit pricing associated with product mix due to higher beginning backlog and strong product orders during the third quarter of 2013. In addition, residential sales increased for the quarter by 10% primarily attributable to the timing of customer scheduled shipments and higher backlog entering the third quarter of 2013.</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our hydronic fan coils increased primarily due to increases in the number of units sold.</w:t>
      </w:r>
    </w:p>
    <w:p>
      <w:pPr>
        <w:spacing w:after="0" w:line="90"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our other HVAC products declined primarily as the result of decreased sales of our large custom air handlers and our engineering and construction services partially offset with increased sales of our modular chillers.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Profit—Climate Control</w:t>
      </w:r>
    </w:p>
    <w:p>
      <w:pPr>
        <w:spacing w:after="0" w:line="9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The increase in gross profit in our Climate Control Business was primarily the result of the higher sales volume and unit pricing and change in product mix as discussed above. Gross profit as a percentage of sales improved primarily due to an improvement in raw material costs (copper, steel and aluminum) and overhead absorption related to the higher sales volume.</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Income—Climate Control</w:t>
      </w:r>
    </w:p>
    <w:p>
      <w:pPr>
        <w:spacing w:after="0" w:line="9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Operating income increased as the result of the increase in gross profit discussed above, partially offset by higher personnel costs of $1.1 million including an increase in the number of employees and healthcare benefits, consulting fees of $0.2 million for services focused on future process and cost savings improvements and $0.2 million for outside marketing services partially offset by a $0.3 million decrease in advertising.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 net</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Interest expense for the third quarter of 2013 was $5.4 million compared to $1.5 million for the same period in 2012. The increase is due primarily to the issuance of the Senior Secured Notes as discussed above under “Loan Agreements – Terms and Conditions” partially offset by $1.2 million of capitalized interest during the third quarter of 2013.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on Extinguishment of Debt</w:t>
      </w:r>
    </w:p>
    <w:p>
      <w:pPr>
        <w:spacing w:after="0" w:line="9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As the result of the payoff of the Secured Term Loan in August 2013, we incurred a loss on extinguishment of debt of $1.2 million, consisting of a prepayment premium and writing off unamortized debt issuance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For Income Taxes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provision for income taxes for the third quarter of 2013 was $6.3 million compared to an income tax provision of $3.9 million for the same period in 2012.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resulting effective tax rate was 38% for the third quarter of 2013 compared to the 36% for the same period in 2012.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Continuing Operating Activities – Nine Months Ended September 30, 2013</w:t>
      </w:r>
    </w:p>
    <w:p>
      <w:pPr>
        <w:spacing w:after="0" w:line="9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Historically, our primary cash needs have been for operating expenses, working capital and capital expenditures. We have financed our cash requirements primarily through internally generated cash flow and various forms of financing. See additional discussions concerning cash flow relating to our Chemical and Climate Control Businesses under “Overview” and “Liquidity and Capital Resources” of this MD&amp;A.</w:t>
      </w:r>
    </w:p>
    <w:p>
      <w:pPr>
        <w:spacing w:after="0" w:line="13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For the first nine months of 2013, net cash provided by continuing operating activities was $45.3 million primarily as the result of net income of $17.6 million plus an adjustment of $20.1 million for depreciation, depletion and amortization of PP&amp;E.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Continuing Investing Activities – Nine Months Ended September 30, 2013</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by continuing investing activities for the first nine months of 2013 was $378.6 million that consisted primarily of $280.0 million used for restricted cash and investments designated by management for specific capital projects primarily relating to our Chemical Business, $113.7 million for expenditures for PP&amp;E of which $108.2 million is for the benefit of our Chemical Business, and $9.2 million for working interests in natural gas properties by our Chemical Business partially offset by $23.7 million of proceeds from property insurance recovery associated with PP&amp;E.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Continuing Financing Activities – Nine Months Ended September 30, 2013</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Net cash provided by continuing financing activities for the first nine months of 2013 was $375.1 million that primarily consisted of net proceeds from long-term debt of $389.2 million, largely relating to the Senior Secured Notes and the Secured Promissory Note, partially offset by payments totaling $15.0 million on short-term financing and long-term debt.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80"/>
          </w:cols>
          <w:pgMar w:left="240" w:top="455" w:right="2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See our discussion on critical accounting policies and estimates in Item 7 of our 2012 Form 10-K. In addition, the preparation of financial statements requires management to make estimates and assumptions that affect the reported amount of assets, liabilities, revenues and expenses, and disclosures of contingencies. For the first nine months of 2013, we did not experience a material change in accounting estimates except for a change in estimate relating to certain business interruption insurance claims and associated recoveries. As discussed under “Property and Business Interruption Insurance Claims and Recoveries”, we have filed certain business interruption claims with our insurance carriers. For financial reporting purposes, management is required to make estimates and assumptions relating to our business interruption insurance claims and associated recoveries. These estimates and assumptions include determining the amount of extra expenses that have been incurred during the business interruption period and that are at least probable of approval by our insurance carriers for an insurance recovery. Based primarily on negotiations with our insurance carriers concerning our insurance claims, during the three months ended September 30, 2013, we changed our estimates and recognized a business interruption insurance recovery of approximately $2.6 million as a reduction of cost of sales associated with a change in accounting estimate. For three months ended September 30, 2013, the effect of this change in accounting estimate increased net income by $1.6 million (basic and diluted net income per share by $.07). However, it is reasonably possible that the estimates and assumptions utilized as of September 30, 2013 could change in the near term.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and Payment Bonds</w:t>
      </w:r>
    </w:p>
    <w:p>
      <w:pPr>
        <w:spacing w:after="0" w:line="92"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2013, we have agreed to indemnify the sureties for payments, up to $8.5 million, made by them in respect of such bonds. All of these insurance bonds are expected to expire or be renewed in 2013.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in Item 303(a)(4)(ii) of Regulation S-K under the Securities Exchange Act of 1934.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Aggregate Contractual Obligations</w:t>
      </w:r>
    </w:p>
    <w:p>
      <w:pPr>
        <w:spacing w:after="0" w:line="9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In the operation of our businesses, we enter into contracts, leases and borrowing arrangements. As discussed in our 2012 Form 10-K, we had certain contractual obligations, with various maturity dates, related to the following:</w:t>
      </w:r>
    </w:p>
    <w:p>
      <w:pPr>
        <w:spacing w:after="0" w:line="39" w:lineRule="exact"/>
        <w:rPr>
          <w:sz w:val="20"/>
          <w:szCs w:val="20"/>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long-term debt,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contracts,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nitric acid plants project,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wastewater pipeline project,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 purchase commitments and futures/forward contracts,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 – carbon credits,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contractual manufacturing, profit sharing and other obligations,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contractual obligations.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discussed under “Issuance of Senior Secured Notes and Intended Use of Proceeds” and “Liquidity and Capital Resources”, on August 7, 2013, LSB sold $425 million aggregate principal amount of the Senior Secured Notes. The Senior Secured Notes bear interest at the rate of 7.75% per year (annual interest payments totaling $32.9 million) and mature on August 1, 2019. Interest is to be paid semiannually, beginning on February 1, 2014. A portion of the proceeds from the Senior Secured Notes was used to pay off the outstanding principal balance of $66.6 relating to the Secured Term Loan. Using a portion of the net proceeds from the Senior Secured Notes, we are proceeding with the design, engineering, and construction of an ammonia plant at the El Dorado Facility. The estimated construction cost for this project ranges from $250 million to $300 million, of which $29.8 million has been incurred and capitalized at September 30, 2013. In addition, on February 1, 2013, Zena entered into a loan with a lender in the original principal amount of $35 million. Also see discussions concerning other committed and planned capital expenditures under “Liquidity and Capital Resources.”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92"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Our results of operations and operating cash flows are impacted by changes in market prices of copper, steel, anhydrous ammonia and natural gas, changes in market currency exchange rates, and changes in market interest rates.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Forward Sales Commitments Risk</w:t>
      </w:r>
    </w:p>
    <w:p>
      <w:pPr>
        <w:spacing w:after="0" w:line="9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Periodically, our Chemical and Climate Control Businesses enter into forward firm sales commitments for products to be delivered in future periods. As a result, we could be exposed to embedded losses should our product costs exceed the firm sales prices. At September 30, 2013, we had minimal embedded losses associated with sales commitments with firm sales prices relating to our Chemical Business.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Commodity Price Risk</w:t>
      </w:r>
    </w:p>
    <w:p>
      <w:pPr>
        <w:spacing w:after="0" w:line="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Chemical Business buys substantial quantities of anhydrous ammonia and natural gas as feedstocks generally at market prices and our Climate Control Business buys substantial quantities of copper and steel for use in manufacturing processes. As part of our raw material price risk management, periodically, our Chemical Business enters into firm purchase commitments and/or futures/forward contracts for anhydrous ammonia and natural gas and our Climate Control Business enters into futures contracts for copper. Our Chemical Business has also acquired working interests in natural gas properties to serve as an economic hedge against potential higher natural gas prices for a portion of our future natural gas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2013, we had no outstanding contracts to purchase natural gas or futures/forward contracts for anhydrous ammonia, natural gas or copper.</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Risk</w:t>
      </w:r>
    </w:p>
    <w:p>
      <w:pPr>
        <w:spacing w:after="0" w:line="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Our interest rate risk exposure results from our debt portfolio that is impacted by short-term rates, primarily variable-rate borrowings from commercial banks, and long-term rates, primarily fixed-rate notes, some of which prohibit prepayment or require a substantial premium payment with the prepayment.</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our interest rate risk management, we periodically purchase and/or enter into various interest rate contracts. At September 30, 2013, we have an interest rate swap, which sets a fixed three-month LIBOR of 3.23% on a declining balance (from $23.8 million to $18.8 million) for the period beginning April 2012 through March 2016. This contract is a free-standing derivative and is accounted for on a mark-to-market basis. At September 30, 2013, the fair value of these contracts (unrealized loss) was $1.4 million.</w:t>
      </w:r>
    </w:p>
    <w:p>
      <w:pPr>
        <w:spacing w:after="0" w:line="13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As of September 30, 2013 and December 31, 2012, the estimated fair value of our variable and fixed rate debt was not significantly different than the debt’s carrying value, except for the Senior Secured Notes. At September 30, 2013, the estimated fair value of the Senior Secured Notes exceeded the carrying value by approximately $17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9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 There were no changes to our internal control over financial reporting during the quarter ended September 30, 2013 that have materially affected, or are reasonably likely to materially affect, our internal control over financial reporting.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SPECIAL NOTE REGARDING</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relate to, among other things:</w:t>
      </w:r>
    </w:p>
    <w:p>
      <w:pPr>
        <w:spacing w:after="0" w:line="58" w:lineRule="exact"/>
        <w:rPr>
          <w:sz w:val="20"/>
          <w:szCs w:val="20"/>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economy is poised for modest growth;</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substantially all of the orders of our Climate Control Business’ backlog within the next twelve months;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Climate Control Business to experience moderate sales growth in the short-term;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cash needs will be to fund capital expenditures, our operations, our general obligations and interest payment requirements;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funding our cash needs from noncurrent restricted cash and investments, working capital, internally generated cash flows, and insurance proceeds;</w:t>
      </w:r>
    </w:p>
    <w:p>
      <w:pPr>
        <w:spacing w:after="0" w:line="113" w:lineRule="exact"/>
        <w:rPr>
          <w:rFonts w:ascii="Times New Roman" w:cs="Times New Roman" w:eastAsia="Times New Roman" w:hAnsi="Times New Roman"/>
          <w:sz w:val="16"/>
          <w:szCs w:val="16"/>
          <w:color w:val="auto"/>
        </w:rPr>
      </w:pPr>
    </w:p>
    <w:p>
      <w:pPr>
        <w:ind w:left="90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generated cash flows and liquidity could be affected by declines in sales volume, changes in the production efficiency of our facilities, and timing of insurance proceeds;</w:t>
      </w:r>
    </w:p>
    <w:p>
      <w:pPr>
        <w:spacing w:after="0" w:line="38" w:lineRule="exact"/>
        <w:rPr>
          <w:rFonts w:ascii="Times New Roman" w:cs="Times New Roman" w:eastAsia="Times New Roman" w:hAnsi="Times New Roman"/>
          <w:sz w:val="18"/>
          <w:szCs w:val="18"/>
          <w:color w:val="auto"/>
        </w:rPr>
      </w:pPr>
    </w:p>
    <w:p>
      <w:pPr>
        <w:ind w:left="900" w:right="92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interests as an economic hedge against a potential future rise in natural gas prices for a portion of future natural gas production requirements;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costs and expenses in connection with environmental regulatory issues;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estimates and assumptions utilized as of September 30, 2013 could change in the near term;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bonds to expire or be renewed in 2013;</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committed and planned capital expenditures and the funding of these expenditures;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Turnarounds;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all required covenant tests for the next twelve months;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environmental and health laws and enforcement policies thereunder;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effect on operating results and nitric acid production capacity at the El Dorado Facility;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for the ammonia plant, the new nitric acid plant and concentrator;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be incurred relating to our process safety management, reliability and mechanical integrity programs;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outlook for the balance of 2013 in our Climate Control and Chemical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use the net proceeds from Senior Secured Notes will be invested and used;</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Climate Control sales in the medium-term and long-term are expected to be primarily driven by growth in new construction, as well as the introduction of new products;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insurance recoveries and impact on income;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insurance premiums, interest payments and depreciation, depletion and amortization;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fees relating to an engineering procurement and construction agreement;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outlook for construction activity for the markets we serve in the commercial/institutional and single-family residential sectors; and</w:t>
      </w:r>
    </w:p>
    <w:p>
      <w:pPr>
        <w:spacing w:after="0" w:line="90"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disadvantage of producing products from purchased ammonia, compared to products directly produced from natural gas, will continue to be significant for the medium and long-term.</w:t>
      </w:r>
    </w:p>
    <w:p>
      <w:pPr>
        <w:spacing w:after="0" w:line="120"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w:t>
      </w:r>
    </w:p>
    <w:p>
      <w:pPr>
        <w:spacing w:after="0" w:line="51"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both domestic and foreign,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reduction in revenues,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interest rates,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240" w:top="455" w:right="31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key personnel or our work force generally,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terrorist attacks and other acts of violence or war, and natural disasters,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Golsen Group’s effective control over the Company,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common stock or preferred stock,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GAAP,</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collect in a timely manner a material amount of receivables,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state and local laws and regulations, including, but not limited to, environmental regulations, the American Reinvestment and Recovery act, or interpretation of such,</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pollutants into the environment exceeding our permitted limits,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equipment, maintenance, operating or labor costs not presently anticipated,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use internally generated funds for purposes not presently anticipated,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the cost of certain precious metals, anhydrous ammonia, natural gas, copper, steel and purchased components,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significant customer,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strategy or development plans,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fund the working capital and expansion of our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production equipment,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production rates of our facilities,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our contingencies including pending litigation,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necessary raw materials and purchased components,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accounting estimates,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with our production equipment resulting in downtime,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explosions or natural disasters,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retain our insurance coverage,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a satisfactory final settlement with the EPA and/or DOJ,</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satisfactorily resolve claims with our insurance carriers,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delays in obtaining necessary permits,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the MD&amp;A contained in this report, and</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“Risk Factors” and “Special Note Regarding Forward-Looking Statements” contained in our 2012 Form 10-K and in our quarterly report on Form 10-Q for the quarterly period ended June 30, 2013 and this quarterly report.</w:t>
      </w:r>
    </w:p>
    <w:p>
      <w:pPr>
        <w:spacing w:after="0" w:line="12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24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9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There are no material legal proceedings or material developments in any such legal proceedings pending against us not reported in Item 3 of our 2012 Form 10-K or in Item 1 of Part II of our March 31, 2013 and June 30, 2013 Form 10-Qs.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9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There are no material changes from the risk factors as previous disclosed in Item 1A to Part I of our 2012 Form 10-K or June 30, 2013 Form 10-Q, except as follows.</w:t>
      </w:r>
    </w:p>
    <w:p>
      <w:pPr>
        <w:spacing w:after="0" w:line="11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b w:val="1"/>
          <w:bCs w:val="1"/>
          <w:color w:val="auto"/>
        </w:rPr>
        <w:t>We may be required to modify or expand our operating, sales and reporting procedures and install additional equipment for our Chemical Business in order to comply with current and possible future government regulations.</w:t>
      </w:r>
    </w:p>
    <w:p>
      <w:pPr>
        <w:spacing w:after="0" w:line="11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chemical industry in general, and producers and distributors of anhydrous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impact on our financial condition, results of operations, and liquidity. The cost of such regulatory changes, if significant enough, could lead some of our customers to choose alternate products to anhydrous ammonia and AN, which would have a significant impact on our Chemical Business.</w:t>
      </w:r>
    </w:p>
    <w:p>
      <w:pPr>
        <w:spacing w:after="0" w:line="139"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6"/>
          <w:szCs w:val="16"/>
          <w:color w:val="auto"/>
        </w:rPr>
        <w:t xml:space="preserve">In order to comply with the “Secure Handling of Ammonium Nitrate Act of 2007” as enacted by the United States Congress, the U.S. Department of Homeland Security (“DHS”) has published in the August 3, 2011 </w:t>
      </w:r>
      <w:r>
        <w:rPr>
          <w:rFonts w:ascii="Times New Roman" w:cs="Times New Roman" w:eastAsia="Times New Roman" w:hAnsi="Times New Roman"/>
          <w:sz w:val="16"/>
          <w:szCs w:val="16"/>
          <w:i w:val="1"/>
          <w:iCs w:val="1"/>
          <w:color w:val="auto"/>
        </w:rPr>
        <w:t>Federal Register</w:t>
      </w:r>
      <w:r>
        <w:rPr>
          <w:rFonts w:ascii="Times New Roman" w:cs="Times New Roman" w:eastAsia="Times New Roman" w:hAnsi="Times New Roman"/>
          <w:sz w:val="16"/>
          <w:szCs w:val="16"/>
          <w:color w:val="auto"/>
        </w:rPr>
        <w:t xml:space="preserve"> a Notice of Proposed Rulemaking. This regulation proposes to require sellers, buyers, their agents and transporters of solid AN and certain solid mixtures containing AN to possess a valid registration issued by DHS, keep certain records, report the theft or unexplained loss of regulated materials and certain other new requirements. We and other parties affected by this proposal have submitted appropriate comments to DHS regarding the proposed regulation.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It is reasonably possible that compliance with the final regulation may be required during 2014.</w:t>
      </w:r>
    </w:p>
    <w:p>
      <w:pPr>
        <w:spacing w:after="0" w:line="113" w:lineRule="exact"/>
        <w:rPr>
          <w:sz w:val="20"/>
          <w:szCs w:val="20"/>
          <w:color w:val="auto"/>
        </w:rPr>
      </w:pPr>
    </w:p>
    <w:p>
      <w:pPr>
        <w:jc w:val="both"/>
        <w:ind w:right="480"/>
        <w:spacing w:after="0" w:line="262" w:lineRule="auto"/>
        <w:rPr>
          <w:sz w:val="20"/>
          <w:szCs w:val="20"/>
          <w:color w:val="auto"/>
        </w:rPr>
      </w:pPr>
      <w:r>
        <w:rPr>
          <w:rFonts w:ascii="Times New Roman" w:cs="Times New Roman" w:eastAsia="Times New Roman" w:hAnsi="Times New Roman"/>
          <w:sz w:val="18"/>
          <w:szCs w:val="18"/>
          <w:color w:val="auto"/>
        </w:rPr>
        <w:t>On August 1, 2013, the Obama Administration issued Executive Order 13650 addressing the safety and security of chemical facilities in response to recent incidents involving chemicals such as the April 2013 explosion at West, Texas. The Obama Administration is directing federal agencies to enhance existing regulations and make recommendations to the U.S. Congress to develop new laws that may affect our Chemical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increase of imported ammonium nitrate from Russia.</w:t>
      </w:r>
    </w:p>
    <w:p>
      <w:pPr>
        <w:spacing w:after="0" w:line="9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Prior to March 2011, U.S. imports of fertilizer grade AN from Russia were controlled by the terms of an antidumping “Suspension Agreement” under which maximum volumes and minimum prices were set for Russian AN imports. In March 2011, the Russian Federation notified the U.S. Department of Commerce (“Commerce Department”) that it had decided to withdraw from the Suspension Agreement. Accordingly, the Agreement terminated effective May 2, 2011. As of that date, Russian AN imports have been subject to an antidumping duty order (“Russian Order”). The Russian Order, unlike the Suspension Agreement, does not place any volume restrictions on Russian AN imports and does not ensure that Russian prices are tied to the prevailing U.S. market price. Instead, the Russian Order requires that Russian AN be priced “fairly”, as defined by comparisons with Russian home market or third country AN prices or based on Russian production costs. Because Russian producers continue to benefit from natural gas supplied to them at state-set prices that are below market value, and because natural gas is by far the largest material input into the production of AN, depending upon the analysis and methodologies used by the Commerce Department, the price of Russian AN exported to the U.S. may be below prevailing U.S. market prices and below our cost to produce fertilizer grade AN.</w:t>
      </w:r>
    </w:p>
    <w:p>
      <w:pPr>
        <w:spacing w:after="0" w:line="3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Russian Order, every shipment of Russian fertilizer grade AN imported into the U.S. is subject to an antidumping duty cash deposit of approximately 254% of the value of the imports unless and until a review process is completed at the Commerce Department through which a Russian producer or exporter may demonstrate that it is not dumping to that extent and is entitled to a different rate. Two Russian producers of AN have requested such reviews and may be assigned a lower duty rate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as early as May 2014. Russian producers have also attempted to argue that certain ammonium nitrate products are outside the coverage or “scope” of the Russian antidumping proceeding. Recently one of the Russian producers sought a ruling that one of its AN products was outside the scope of the case. In August 2013, the Commerce Department released its final ruling that the product is covered by the scope of the antidumping duty order against ammonium nitrate from Russia.</w:t>
      </w:r>
    </w:p>
    <w:p>
      <w:pPr>
        <w:spacing w:after="0" w:line="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Russian producer has appealed this decision to the Court of International Trade. There is no set timetable for completion of the appeal, but it would be expected to take roughly nine to twelve months before the court issues a ruling.</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 2011 the Commerce Department and the U.S. International Trade Commission also completed a “sunset review” of the Russian Order to determine whether it should continue to remain in effect. Both agencies decided that the Russian Order is still needed to address unfair trade in Russian AN, and, as a result, the Russian Order will remain in place for at least an additional five years, until 2016.</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is also an outstanding antidumping duty order against AN from Ukraine (“Ukrainian Order”), which was similarly subject to a “sunset review” by the same two agencies in 2012 and 2013. In September 2012, the Commerce Department found that without the order, Ukrainian AN would continue to be sold at unfairly traded prices in the United States In May 2013, the International Trade Commission unanimously determined that the Ukrainian Order remains necessary to address unfair trade in Ukrainian AN.</w:t>
      </w:r>
    </w:p>
    <w:p>
      <w:pPr>
        <w:spacing w:after="0" w:line="13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2012, net sales of fertilizer grade AN accounted for 30% and 9% of our Chemical Business net sales and consolidated net sales, respectively. If the antidumping orders are changed, as discussed above, these changes could result in a substantial increase in the amount of imported AN sold in the U.S. at prices less than the U.S. producers are required to charge in order to cover their cost plus a profit, and could have an adverse effect on our revenues and operating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92" w:lineRule="exact"/>
        <w:rPr>
          <w:sz w:val="20"/>
          <w:szCs w:val="20"/>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xml:space="preserve"> The Company has included the following exhibits in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Indenture, dated August 7, 2013, among LSB Industries, Inc., the subsidiary guarantors named therein, UMB Bank, n.a., as trustee, which the</w:t>
            </w:r>
          </w:p>
        </w:tc>
      </w:tr>
      <w:tr>
        <w:trPr>
          <w:trHeight w:val="228"/>
        </w:trPr>
        <w:tc>
          <w:tcPr>
            <w:tcW w:w="740" w:type="dxa"/>
            <w:vAlign w:val="bottom"/>
          </w:tcPr>
          <w:p>
            <w:pPr>
              <w:spacing w:after="0"/>
              <w:rPr>
                <w:sz w:val="19"/>
                <w:szCs w:val="19"/>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 hereby incorporates by reference from Exhibit 4.1 to the Company’s Form 8-K, filed August 14, 2013.</w:t>
            </w:r>
          </w:p>
        </w:tc>
      </w:tr>
      <w:tr>
        <w:trPr>
          <w:trHeight w:val="31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Registration Rights Agreement, dated August 7, 2013, among LSB Industries, Inc., the subsidiary guarantors named therein and Wells Fargo</w:t>
            </w:r>
          </w:p>
        </w:tc>
      </w:tr>
      <w:tr>
        <w:trPr>
          <w:trHeight w:val="216"/>
        </w:trPr>
        <w:tc>
          <w:tcPr>
            <w:tcW w:w="74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Securities, LLC, as representative of the initial purchasers named therein, which the Company hereby incorporates by reference from Exhibit 4.2</w:t>
            </w:r>
          </w:p>
        </w:tc>
      </w:tr>
      <w:tr>
        <w:trPr>
          <w:trHeight w:val="228"/>
        </w:trPr>
        <w:tc>
          <w:tcPr>
            <w:tcW w:w="740" w:type="dxa"/>
            <w:vAlign w:val="bottom"/>
          </w:tcPr>
          <w:p>
            <w:pPr>
              <w:spacing w:after="0"/>
              <w:rPr>
                <w:sz w:val="19"/>
                <w:szCs w:val="19"/>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 the Company’s Form 8-K, filed August 14, 2013.</w:t>
            </w:r>
          </w:p>
        </w:tc>
      </w:tr>
      <w:tr>
        <w:trPr>
          <w:trHeight w:val="31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Eighth Amendment to the Amended and Restated Loan and Security Agreement, dated as of July 31, 2013, by and among LSB Industries, Inc.,</w:t>
            </w:r>
          </w:p>
        </w:tc>
      </w:tr>
      <w:tr>
        <w:trPr>
          <w:trHeight w:val="216"/>
        </w:trPr>
        <w:tc>
          <w:tcPr>
            <w:tcW w:w="74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Consolidated Industries Corp., ThermaClime, L.L.C. and each of its subsidiaries that are Signatories, the Lenders signatory thereto and Wells</w:t>
            </w:r>
          </w:p>
        </w:tc>
      </w:tr>
      <w:tr>
        <w:trPr>
          <w:trHeight w:val="216"/>
        </w:trPr>
        <w:tc>
          <w:tcPr>
            <w:tcW w:w="740" w:type="dxa"/>
            <w:vAlign w:val="bottom"/>
          </w:tcPr>
          <w:p>
            <w:pPr>
              <w:spacing w:after="0"/>
              <w:rPr>
                <w:sz w:val="18"/>
                <w:szCs w:val="18"/>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Fargo Capital Finance, Inc., as the arranger and administrative agent for the Lenders, which the Company hereby incorporates by reference from</w:t>
            </w:r>
          </w:p>
        </w:tc>
      </w:tr>
      <w:tr>
        <w:trPr>
          <w:trHeight w:val="228"/>
        </w:trPr>
        <w:tc>
          <w:tcPr>
            <w:tcW w:w="740" w:type="dxa"/>
            <w:vAlign w:val="bottom"/>
          </w:tcPr>
          <w:p>
            <w:pPr>
              <w:spacing w:after="0"/>
              <w:rPr>
                <w:sz w:val="19"/>
                <w:szCs w:val="19"/>
                <w:color w:val="auto"/>
              </w:rPr>
            </w:pPr>
          </w:p>
        </w:tc>
        <w:tc>
          <w:tcPr>
            <w:tcW w:w="10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Exhibit 10.2 to the Company’s Form 10-Q for the fiscal quarter ended June 30, 2013.</w:t>
            </w:r>
          </w:p>
        </w:tc>
      </w:tr>
      <w:tr>
        <w:trPr>
          <w:trHeight w:val="365"/>
        </w:trPr>
        <w:tc>
          <w:tcPr>
            <w:tcW w:w="740" w:type="dxa"/>
            <w:vAlign w:val="bottom"/>
          </w:tcPr>
          <w:p>
            <w:pPr>
              <w:spacing w:after="0"/>
              <w:rPr>
                <w:sz w:val="24"/>
                <w:szCs w:val="24"/>
                <w:color w:val="auto"/>
              </w:rPr>
            </w:pPr>
          </w:p>
        </w:tc>
        <w:tc>
          <w:tcPr>
            <w:tcW w:w="1060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57</w:t>
            </w:r>
          </w:p>
        </w:tc>
      </w:tr>
    </w:tbl>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Intercreditor Agreement by and among Wells Fargo Capital Finance, Inc., as agent and UMB Bank, n.a., as collateral agent, and acknowledged</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and agreed to by LSB Industries, Inc. and the other grantors named therein, which the Company hereby incorporates by reference from Exhibit</w:t>
            </w:r>
          </w:p>
        </w:tc>
      </w:tr>
      <w:tr>
        <w:trPr>
          <w:trHeight w:val="228"/>
        </w:trPr>
        <w:tc>
          <w:tcPr>
            <w:tcW w:w="9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99.1 to the Company’s Form 8-K, filed August 14, 2013.</w:t>
            </w:r>
          </w:p>
        </w:tc>
      </w:tr>
      <w:tr>
        <w:trPr>
          <w:trHeight w:val="3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Engineering Procurement and Construction Agreement, dated August 12, 2013, between El Dorado Ammonia L.L.C. and SAIC Constructors,</w:t>
            </w:r>
          </w:p>
        </w:tc>
      </w:tr>
      <w:tr>
        <w:trPr>
          <w:trHeight w:val="228"/>
        </w:trPr>
        <w:tc>
          <w:tcPr>
            <w:tcW w:w="9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LLC, which the Company hereby incorporates by reference from Exhibit 10.1 to the Company’s Form 8-K, filed August 15, 2013.</w:t>
            </w:r>
          </w:p>
        </w:tc>
      </w:tr>
      <w:tr>
        <w:trPr>
          <w:trHeight w:val="3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and Sale Agreement, dated August 28, 2013, between Hat Creek Energy LLC, Citrus Energy Appalachia, LLC, Troy Energy</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Investments, LLC, and Zena Energy, L.L.C., which the Company hereby incorporates by reference from Exhibit 99.1 to the Company’s Form 8-</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K, filed August 30, 2013. Exhibits to the Purchase and Sale Agreement have been omitted pursuant to Item 601(b)(2) of Regulation S-K and will</w:t>
            </w:r>
          </w:p>
        </w:tc>
      </w:tr>
      <w:tr>
        <w:trPr>
          <w:trHeight w:val="228"/>
        </w:trPr>
        <w:tc>
          <w:tcPr>
            <w:tcW w:w="9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 provided supplementally to the Securities and Exchange Commission upon request.</w:t>
            </w:r>
          </w:p>
        </w:tc>
      </w:tr>
      <w:tr>
        <w:trPr>
          <w:trHeight w:val="3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Agreement, dated effective August 1, 2013, between United Steel Workers of America International Union on behalf of LOCAL 13-434 and El</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Dorado Chemical Company, which the Company hereby incorporates by reference from Exhibit 99.1 to the Company’s Form 8-K, filed October</w:t>
            </w:r>
          </w:p>
        </w:tc>
      </w:tr>
      <w:tr>
        <w:trPr>
          <w:trHeight w:val="228"/>
        </w:trPr>
        <w:tc>
          <w:tcPr>
            <w:tcW w:w="9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11, 2013.</w:t>
            </w:r>
          </w:p>
        </w:tc>
      </w:tr>
      <w:tr>
        <w:trPr>
          <w:trHeight w:val="3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Agreement, dated effective October 17, 2013, between International Association of Machinists and Aerospace Workers, AFL-CIO Local No. 224</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and El Dorado Chemical Company, which the Company hereby incorporates by reference from Exhibit 99.2 to the Company’s Form 8-K, filed</w:t>
            </w:r>
          </w:p>
        </w:tc>
      </w:tr>
      <w:tr>
        <w:trPr>
          <w:trHeight w:val="228"/>
        </w:trPr>
        <w:tc>
          <w:tcPr>
            <w:tcW w:w="9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October 11, 2013.</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Jack E. Golsen, Chief Executive Officer, pursuant to Sarbanes-Oxley Act of 2002, Section 302.</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Tony M. Shelby, Chief Financial Officer, pursuant to Sarbanes-Oxley Act of 2002, Section 302.</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Jack E. Golsen, Chief Executive Officer, furnished pursuant to Sarbanes-Oxley Act of 2002, Section 906.</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Tony M. Shelby, Chief Financial Officer, furnished pursuant to Sarbanes-Oxley Act of 2002, Section 906.</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65"/>
        </w:trPr>
        <w:tc>
          <w:tcPr>
            <w:tcW w:w="920" w:type="dxa"/>
            <w:vAlign w:val="bottom"/>
          </w:tcPr>
          <w:p>
            <w:pPr>
              <w:spacing w:after="0"/>
              <w:rPr>
                <w:sz w:val="24"/>
                <w:szCs w:val="24"/>
                <w:color w:val="auto"/>
              </w:rPr>
            </w:pPr>
          </w:p>
        </w:tc>
        <w:tc>
          <w:tcPr>
            <w:tcW w:w="1044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58</w:t>
            </w:r>
          </w:p>
        </w:tc>
      </w:tr>
    </w:tbl>
    <w:p>
      <w:pPr>
        <w:sectPr>
          <w:pgSz w:w="11900" w:h="16838" w:orient="portrait"/>
          <w:cols w:equalWidth="0" w:num="1">
            <w:col w:w="11360"/>
          </w:cols>
          <w:pgMar w:left="240" w:top="455" w:right="2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Company has caused the undersigned, duly authorized, to sign this report on its behalf on this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November 2013.</w:t>
      </w:r>
    </w:p>
    <w:p>
      <w:pPr>
        <w:spacing w:after="0" w:line="16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2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Tony M. Shelby</w:t>
      </w:r>
    </w:p>
    <w:p>
      <w:pPr>
        <w:spacing w:after="0" w:line="2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-130175</wp:posOffset>
            </wp:positionV>
            <wp:extent cx="28898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Executive Vice President of Finance and Chief Financial</w:t>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Harold L. Rieker, Jr.</w:t>
      </w:r>
    </w:p>
    <w:p>
      <w:pPr>
        <w:spacing w:after="0" w:line="2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-130175</wp:posOffset>
            </wp:positionV>
            <wp:extent cx="28898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Vice President and Principal Accounting Officer</w:t>
      </w:r>
    </w:p>
    <w:p>
      <w:pPr>
        <w:spacing w:after="0" w:line="1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240" w:top="455" w:right="4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E. Golsen, certify that:</w:t>
      </w:r>
    </w:p>
    <w:p>
      <w:pPr>
        <w:spacing w:after="0" w:line="90"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LSB Industries, Inc. (the “registrant”);</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1480" w:right="160" w:hanging="567"/>
        <w:spacing w:after="0" w:line="262" w:lineRule="auto"/>
        <w:tabs>
          <w:tab w:leader="none" w:pos="14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480" w:right="280" w:hanging="567"/>
        <w:spacing w:after="0" w:line="262" w:lineRule="auto"/>
        <w:tabs>
          <w:tab w:leader="none" w:pos="14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480" w:right="440" w:hanging="567"/>
        <w:spacing w:after="0" w:line="334" w:lineRule="auto"/>
        <w:tabs>
          <w:tab w:leader="none" w:pos="14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80" w:right="120" w:hanging="567"/>
        <w:spacing w:after="0" w:line="262" w:lineRule="auto"/>
        <w:tabs>
          <w:tab w:leader="none" w:pos="14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480" w:right="680" w:hanging="567"/>
        <w:spacing w:after="0" w:line="334" w:lineRule="auto"/>
        <w:tabs>
          <w:tab w:leader="none" w:pos="14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480" w:right="380" w:hanging="567"/>
        <w:spacing w:after="0" w:line="275" w:lineRule="auto"/>
        <w:tabs>
          <w:tab w:leader="none" w:pos="14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2013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E. Golsen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420"/>
          </w:cols>
          <w:pgMar w:left="240" w:top="123"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Tony M. Shelby, certify that:</w:t>
      </w:r>
    </w:p>
    <w:p>
      <w:pPr>
        <w:spacing w:after="0" w:line="90"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LSB Industries, Inc. (the “registrant”);</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1480" w:right="160" w:hanging="567"/>
        <w:spacing w:after="0" w:line="262" w:lineRule="auto"/>
        <w:tabs>
          <w:tab w:leader="none" w:pos="1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480" w:right="280" w:hanging="567"/>
        <w:spacing w:after="0" w:line="262" w:lineRule="auto"/>
        <w:tabs>
          <w:tab w:leader="none" w:pos="1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480" w:right="440" w:hanging="567"/>
        <w:spacing w:after="0" w:line="334" w:lineRule="auto"/>
        <w:tabs>
          <w:tab w:leader="none" w:pos="148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80" w:right="120" w:hanging="567"/>
        <w:spacing w:after="0" w:line="262" w:lineRule="auto"/>
        <w:tabs>
          <w:tab w:leader="none" w:pos="1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480" w:right="680" w:hanging="567"/>
        <w:spacing w:after="0" w:line="334" w:lineRule="auto"/>
        <w:tabs>
          <w:tab w:leader="none" w:pos="148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480" w:right="380" w:hanging="567"/>
        <w:spacing w:after="0" w:line="275" w:lineRule="auto"/>
        <w:tabs>
          <w:tab w:leader="none" w:pos="1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2013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M. Shelby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of Finance and Chief Financial Officer</w:t>
      </w:r>
    </w:p>
    <w:p>
      <w:pPr>
        <w:sectPr>
          <w:pgSz w:w="11900" w:h="16838" w:orient="portrait"/>
          <w:cols w:equalWidth="0" w:num="1">
            <w:col w:w="11420"/>
          </w:cols>
          <w:pgMar w:left="240" w:top="123"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LSB Industries, Inc. (“LSB”) on Form 10-Q for the period ended September 30, 2013 as filed with the Securities and Exchange Commission on the date hereof (the “Report”). I, Jack E. Golsen, Chairman of the Board and Chief Executive Officer of LSB, certify pursuant to 18 U.S.C. §1350, as adopted pursuant to §906 of the Sarbanes-Oxley Act of 2002, that:</w:t>
      </w:r>
    </w:p>
    <w:p>
      <w:pPr>
        <w:spacing w:after="0" w:line="51" w:lineRule="exact"/>
        <w:rPr>
          <w:sz w:val="20"/>
          <w:szCs w:val="20"/>
          <w:color w:val="auto"/>
        </w:rPr>
      </w:pPr>
    </w:p>
    <w:p>
      <w:pPr>
        <w:ind w:left="900" w:hanging="446"/>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Jack E. Golsen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of the Board and Chief Executive Officer (Principal</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2013</w:t>
      </w:r>
    </w:p>
    <w:p>
      <w:pPr>
        <w:spacing w:after="0" w:line="171"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123"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LSB Industries, Inc. (“LSB”) on Form 10-Q for the period ended September 30, 2013 as filed with the Securities and Exchange Commission on the date hereof (the “Report”), I, Tony M. Shelby, Executive Vice President of Finance and Chief Financial Officer of LSB, certify pursuant to 18 U.S.C. §1350, as adopted pursuant to §906 of the Sarbanes-Oxley Act of 2002, that:</w:t>
      </w:r>
    </w:p>
    <w:p>
      <w:pPr>
        <w:spacing w:after="0" w:line="51" w:lineRule="exact"/>
        <w:rPr>
          <w:sz w:val="20"/>
          <w:szCs w:val="20"/>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Tony M. Shelby</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2013</w:t>
      </w:r>
    </w:p>
    <w:p>
      <w:pPr>
        <w:spacing w:after="0" w:line="171"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upperLetter"/>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upperLetter"/>
      <w:start w:val="2"/>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upperLetter"/>
      <w:start w:val="3"/>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4"/>
    </w:lvl>
  </w:abstractNum>
  <w:abstractNum w:abstractNumId="15">
    <w:nsid w:val="1E7FF521"/>
    <w:multiLevelType w:val="hybridMultilevel"/>
    <w:lvl w:ilvl="0">
      <w:lvlJc w:val="left"/>
      <w:lvlText w:val="(%1)"/>
      <w:numFmt w:val="decimal"/>
      <w:start w:val="6"/>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lvl w:ilvl="1">
      <w:lvlJc w:val="left"/>
      <w:lvlText w:val="•"/>
      <w:numFmt w:val="bullet"/>
      <w:start w:val="1"/>
    </w:lvl>
  </w:abstractNum>
  <w:abstractNum w:abstractNumId="32">
    <w:nsid w:val="5E884ADC"/>
    <w:multiLevelType w:val="hybridMultilevel"/>
    <w:lvl w:ilvl="0">
      <w:lvlJc w:val="left"/>
      <w:lvlText w:val="(%1)"/>
      <w:numFmt w:val="decimal"/>
      <w:start w:val="1"/>
    </w:lvl>
    <w:lvl w:ilvl="1">
      <w:lvlJc w:val="left"/>
      <w:lvlText w:val="•"/>
      <w:numFmt w:val="bullet"/>
      <w:start w:val="1"/>
    </w:lvl>
  </w:abstractNum>
  <w:abstractNum w:abstractNumId="33">
    <w:nsid w:val="51EAD36B"/>
    <w:multiLevelType w:val="hybridMultilevel"/>
    <w:lvl w:ilvl="0">
      <w:lvlJc w:val="left"/>
      <w:lvlText w:val="(%1)"/>
      <w:numFmt w:val="decimal"/>
      <w:start w:val="1"/>
    </w:lvl>
    <w:lvl w:ilvl="1">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2"/>
    </w:lvl>
    <w:lvl w:ilvl="1">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2019-12-05T12:33:12Z</dcterms:created>
  <dcterms:modified xsi:type="dcterms:W3CDTF">2019-12-05T12:33:12Z</dcterms:modified>
</cp:coreProperties>
</file>