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73025</wp:posOffset>
            </wp:positionV>
            <wp:extent cx="1217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113665</wp:posOffset>
            </wp:positionV>
            <wp:extent cx="1217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193675</wp:posOffset>
            </wp:positionV>
            <wp:extent cx="1217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LSB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175895</wp:posOffset>
            </wp:positionV>
            <wp:extent cx="1217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1140" w:type="dxa"/>
        <w:tblCellMar>
          <w:top w:w="0" w:type="dxa"/>
          <w:left w:w="0" w:type="dxa"/>
          <w:bottom w:w="0" w:type="dxa"/>
          <w:right w:w="0" w:type="dxa"/>
        </w:tblCellMar>
      </w:tblPr>
      <w:tr>
        <w:trPr>
          <w:trHeight w:val="202"/>
        </w:trPr>
        <w:tc>
          <w:tcPr>
            <w:tcW w:w="3980" w:type="dxa"/>
            <w:vAlign w:val="bottom"/>
          </w:tcPr>
          <w:p>
            <w:pPr>
              <w:jc w:val="center"/>
              <w:ind w:right="236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00" w:type="dxa"/>
            <w:vAlign w:val="bottom"/>
          </w:tcPr>
          <w:p>
            <w:pPr>
              <w:jc w:val="center"/>
              <w:ind w:right="1068"/>
              <w:spacing w:after="0"/>
              <w:rPr>
                <w:sz w:val="20"/>
                <w:szCs w:val="20"/>
                <w:color w:val="auto"/>
              </w:rPr>
            </w:pPr>
            <w:r>
              <w:rPr>
                <w:rFonts w:ascii="Times New Roman" w:cs="Times New Roman" w:eastAsia="Times New Roman" w:hAnsi="Times New Roman"/>
                <w:sz w:val="16"/>
                <w:szCs w:val="16"/>
                <w:b w:val="1"/>
                <w:bCs w:val="1"/>
                <w:color w:val="auto"/>
              </w:rPr>
              <w:t>1-7677</w:t>
            </w:r>
          </w:p>
        </w:tc>
        <w:tc>
          <w:tcPr>
            <w:tcW w:w="246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73-1015226</w:t>
            </w:r>
          </w:p>
        </w:tc>
      </w:tr>
      <w:tr>
        <w:trPr>
          <w:trHeight w:val="148"/>
        </w:trPr>
        <w:tc>
          <w:tcPr>
            <w:tcW w:w="3980" w:type="dxa"/>
            <w:vAlign w:val="bottom"/>
          </w:tcPr>
          <w:p>
            <w:pPr>
              <w:jc w:val="center"/>
              <w:ind w:right="2367"/>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400" w:type="dxa"/>
            <w:vAlign w:val="bottom"/>
          </w:tcPr>
          <w:p>
            <w:pPr>
              <w:jc w:val="center"/>
              <w:ind w:right="1088"/>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460" w:type="dxa"/>
            <w:vAlign w:val="bottom"/>
          </w:tcPr>
          <w:p>
            <w:pPr>
              <w:jc w:val="center"/>
              <w:ind w:left="1327"/>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980" w:type="dxa"/>
            <w:vAlign w:val="bottom"/>
          </w:tcPr>
          <w:p>
            <w:pPr>
              <w:jc w:val="center"/>
              <w:ind w:right="2367"/>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400" w:type="dxa"/>
            <w:vAlign w:val="bottom"/>
          </w:tcPr>
          <w:p>
            <w:pPr>
              <w:jc w:val="center"/>
              <w:ind w:right="1068"/>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60" w:type="dxa"/>
            <w:vAlign w:val="bottom"/>
          </w:tcPr>
          <w:p>
            <w:pPr>
              <w:jc w:val="center"/>
              <w:ind w:left="1327"/>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6"/>
        </w:trPr>
        <w:tc>
          <w:tcPr>
            <w:tcW w:w="6380" w:type="dxa"/>
            <w:vAlign w:val="bottom"/>
            <w:gridSpan w:val="2"/>
          </w:tcPr>
          <w:p>
            <w:pPr>
              <w:jc w:val="center"/>
              <w:ind w:right="1088"/>
              <w:spacing w:after="0"/>
              <w:rPr>
                <w:sz w:val="20"/>
                <w:szCs w:val="20"/>
                <w:color w:val="auto"/>
              </w:rPr>
            </w:pPr>
            <w:r>
              <w:rPr>
                <w:rFonts w:ascii="Times New Roman" w:cs="Times New Roman" w:eastAsia="Times New Roman" w:hAnsi="Times New Roman"/>
                <w:sz w:val="16"/>
                <w:szCs w:val="16"/>
                <w:b w:val="1"/>
                <w:bCs w:val="1"/>
                <w:color w:val="auto"/>
              </w:rPr>
              <w:t>3503 NW 63rd Street, Suite 500, Oklahoma City, Oklahoma</w:t>
            </w:r>
          </w:p>
        </w:tc>
        <w:tc>
          <w:tcPr>
            <w:tcW w:w="246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73116</w:t>
            </w:r>
          </w:p>
        </w:tc>
      </w:tr>
      <w:tr>
        <w:trPr>
          <w:trHeight w:val="178"/>
        </w:trPr>
        <w:tc>
          <w:tcPr>
            <w:tcW w:w="3980" w:type="dxa"/>
            <w:vAlign w:val="bottom"/>
          </w:tcPr>
          <w:p>
            <w:pPr>
              <w:jc w:val="center"/>
              <w:ind w:left="1187"/>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400" w:type="dxa"/>
            <w:vAlign w:val="bottom"/>
          </w:tcPr>
          <w:p>
            <w:pPr>
              <w:spacing w:after="0"/>
              <w:rPr>
                <w:sz w:val="15"/>
                <w:szCs w:val="15"/>
                <w:color w:val="auto"/>
              </w:rPr>
            </w:pPr>
          </w:p>
        </w:tc>
        <w:tc>
          <w:tcPr>
            <w:tcW w:w="2460" w:type="dxa"/>
            <w:vAlign w:val="bottom"/>
          </w:tcPr>
          <w:p>
            <w:pPr>
              <w:jc w:val="center"/>
              <w:ind w:left="1327"/>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(405) 235-4546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90805</wp:posOffset>
            </wp:positionV>
            <wp:extent cx="121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3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20" w:firstLine="8"/>
        <w:spacing w:after="0" w:line="42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Par Value $.10</w:t>
            </w:r>
          </w:p>
        </w:tc>
        <w:tc>
          <w:tcPr>
            <w:tcW w:w="120" w:type="dxa"/>
            <w:vAlign w:val="bottom"/>
          </w:tcPr>
          <w:p>
            <w:pPr>
              <w:spacing w:after="0"/>
              <w:rPr>
                <w:sz w:val="16"/>
                <w:szCs w:val="16"/>
                <w:color w:val="auto"/>
              </w:rPr>
            </w:pPr>
          </w:p>
        </w:tc>
        <w:tc>
          <w:tcPr>
            <w:tcW w:w="1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LXU</w:t>
            </w:r>
          </w:p>
        </w:tc>
        <w:tc>
          <w:tcPr>
            <w:tcW w:w="120" w:type="dxa"/>
            <w:vAlign w:val="bottom"/>
          </w:tcPr>
          <w:p>
            <w:pPr>
              <w:spacing w:after="0"/>
              <w:rPr>
                <w:sz w:val="16"/>
                <w:szCs w:val="16"/>
                <w:color w:val="auto"/>
              </w:rPr>
            </w:pPr>
          </w:p>
        </w:tc>
        <w:tc>
          <w:tcPr>
            <w:tcW w:w="5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New York Stock Exchange</w:t>
            </w:r>
          </w:p>
        </w:tc>
      </w:tr>
      <w:tr>
        <w:trPr>
          <w:trHeight w:val="23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r>
    </w:tbl>
    <w:p>
      <w:pPr>
        <w:spacing w:after="0" w:line="103"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2026, LSB Industries, Inc. (the “Company”) determined that it would immediately begin the previously announced turnaround at its Pryor, Oklahoma facility, which was previously scheduled to commence in July 2026. Based on information currently available, the Company expects that the change in timing of the turnaround should not affect the expected duration or cost estimates for the turnaround.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Current Report on Form 8-K that are not historical are forward-looking statements within the meaning of the U.S. Private Securities Litigation Reform Act of 1995. These forward-looking statements, which are subject to known and unknown risks, uncertainties and assumptions about us, include, but are not limited to, statements regarding (i) the expected timeline and cost estimates for the planned turnaround at the Company’s Pryor, Oklahoma facility and (ii) the Company’s expectation that the change in timing of the turnaround will not materially affect such timeline or cost estimates. These statements are only predictions based on our current expectations and projections about future events. Significant risks and uncertainties that could cause actual results to differ materially from the Company’s expectations include, but are not limited to, the following: the discovery of unexpected maintenance, repair, or equipment replacement needs during the turnaround; supply chain disruptions affecting the availability or cost of specialized equipment; the availability of qualified skilled labor; compliance with applicable environmental permits and regulations; the effect of reduced production during the turnaround on the Company’s ability to meet customer commitments; the competitive impact of plant downtime during a period of elevated nitrogen fertilizer demand; and other risks and uncertainties described in the Company’s filings with the Securities and Exchange Commission, including but not limited to our most recent Annual Report on Form 10-K.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 Although we believe the expectations reflected in the forward-looking statements are reasonable, we cannot guarantee future results, level of activity, performance or achievements. Neither we nor any other person assumes responsibility for the accuracy or completeness of any of these forward-looking statements. You should not rely upon forward-looking statements as predictions of future events. Unless otherwise required by applicable laws, we undertake no obligation to update or revise any forward-looking statements, whether because of new information or future developments.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954405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 2026</w:t>
      </w:r>
    </w:p>
    <w:p>
      <w:pPr>
        <w:spacing w:after="0" w:line="200" w:lineRule="exact"/>
        <w:rPr>
          <w:sz w:val="20"/>
          <w:szCs w:val="20"/>
          <w:color w:val="auto"/>
        </w:rPr>
      </w:pPr>
    </w:p>
    <w:p>
      <w:pPr>
        <w:spacing w:after="0" w:line="34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44" w:lineRule="exact"/>
        <w:rPr>
          <w:sz w:val="20"/>
          <w:szCs w:val="20"/>
          <w:color w:val="auto"/>
        </w:rPr>
      </w:pPr>
    </w:p>
    <w:tbl>
      <w:tblPr>
        <w:tblLayout w:type="fixed"/>
        <w:tblInd w:w="628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J. Foster___________</w:t>
            </w:r>
          </w:p>
        </w:tc>
      </w:tr>
      <w:tr>
        <w:trPr>
          <w:trHeight w:val="27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J. Foster</w:t>
            </w:r>
          </w:p>
        </w:tc>
        <w:tc>
          <w:tcPr>
            <w:tcW w:w="980" w:type="dxa"/>
            <w:vAlign w:val="bottom"/>
          </w:tcPr>
          <w:p>
            <w:pPr>
              <w:spacing w:after="0"/>
              <w:rPr>
                <w:sz w:val="23"/>
                <w:szCs w:val="23"/>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General Counsel and</w:t>
            </w:r>
          </w:p>
        </w:tc>
      </w:tr>
      <w:tr>
        <w:trPr>
          <w:trHeight w:val="234"/>
        </w:trPr>
        <w:tc>
          <w:tcPr>
            <w:tcW w:w="8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2026-06-01T17:00:29Z</dcterms:created>
  <dcterms:modified xsi:type="dcterms:W3CDTF">2026-06-01T17:00:29Z</dcterms:modified>
</cp:coreProperties>
</file>