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2" w:lineRule="exact"/>
        <w:rPr>
          <w:rFonts w:ascii="MS PGothic" w:cs="MS PGothic" w:eastAsia="MS PGothic" w:hAnsi="MS PGothic"/>
          <w:sz w:val="17"/>
          <w:szCs w:val="17"/>
          <w:color w:val="auto"/>
        </w:rPr>
      </w:pPr>
    </w:p>
    <w:p>
      <w:pPr>
        <w:ind w:left="36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rPr>
      </w:pPr>
    </w:p>
    <w:p>
      <w:pPr>
        <w:ind w:left="446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-435610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LSB INDUSTRIES, INC.</w:t>
      </w:r>
    </w:p>
    <w:p>
      <w:pPr>
        <w:sectPr>
          <w:pgSz w:w="11900" w:h="16838" w:orient="portrait"/>
          <w:cols w:equalWidth="0" w:num="1">
            <w:col w:w="11240"/>
          </w:cols>
          <w:pgMar w:left="320" w:top="539"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15" w:lineRule="exact"/>
        <w:rPr>
          <w:sz w:val="24"/>
          <w:szCs w:val="24"/>
          <w:color w:val="auto"/>
        </w:rPr>
      </w:pPr>
    </w:p>
    <w:p>
      <w:pPr>
        <w:jc w:val="center"/>
        <w:ind w:right="1960"/>
        <w:spacing w:after="0"/>
        <w:rPr>
          <w:sz w:val="20"/>
          <w:szCs w:val="20"/>
          <w:color w:val="auto"/>
        </w:rPr>
      </w:pPr>
      <w:r>
        <w:rPr>
          <w:rFonts w:ascii="Arial" w:cs="Arial" w:eastAsia="Arial" w:hAnsi="Arial"/>
          <w:sz w:val="10"/>
          <w:szCs w:val="10"/>
          <w:b w:val="1"/>
          <w:bCs w:val="1"/>
          <w:color w:val="auto"/>
        </w:rPr>
        <w:t>(State of or other Jurisdiction</w:t>
      </w:r>
    </w:p>
    <w:p>
      <w:pPr>
        <w:spacing w:after="0" w:line="20" w:lineRule="exact"/>
        <w:rPr>
          <w:sz w:val="24"/>
          <w:szCs w:val="24"/>
          <w:color w:val="auto"/>
        </w:rPr>
      </w:pPr>
    </w:p>
    <w:p>
      <w:pPr>
        <w:jc w:val="center"/>
        <w:ind w:right="19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73-1015226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 w:lineRule="exact"/>
        <w:rPr>
          <w:sz w:val="24"/>
          <w:szCs w:val="24"/>
          <w:color w:val="auto"/>
        </w:rPr>
      </w:pPr>
    </w:p>
    <w:p>
      <w:pPr>
        <w:sectPr>
          <w:pgSz w:w="11900" w:h="16838" w:orient="portrait"/>
          <w:cols w:equalWidth="0" w:num="2">
            <w:col w:w="7480" w:space="520"/>
            <w:col w:w="3240"/>
          </w:cols>
          <w:pgMar w:left="320" w:top="539" w:right="339" w:bottom="144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400" w:type="dxa"/>
            <w:vAlign w:val="bottom"/>
            <w:gridSpan w:val="2"/>
          </w:tcPr>
          <w:p>
            <w:pPr>
              <w:jc w:val="center"/>
              <w:ind w:left="1044"/>
              <w:spacing w:after="0" w:line="280" w:lineRule="exact"/>
              <w:rPr>
                <w:sz w:val="20"/>
                <w:szCs w:val="20"/>
                <w:color w:val="auto"/>
              </w:rPr>
            </w:pPr>
            <w:r>
              <w:rPr>
                <w:rFonts w:ascii="Arial" w:cs="Arial" w:eastAsia="Arial" w:hAnsi="Arial"/>
                <w:sz w:val="16"/>
                <w:szCs w:val="16"/>
                <w:b w:val="1"/>
                <w:bCs w:val="1"/>
                <w:color w:val="auto"/>
                <w:w w:val="91"/>
              </w:rPr>
              <w:t>3503 NW 63</w:t>
            </w:r>
            <w:r>
              <w:rPr>
                <w:rFonts w:ascii="Arial" w:cs="Arial" w:eastAsia="Arial" w:hAnsi="Arial"/>
                <w:sz w:val="27"/>
                <w:szCs w:val="27"/>
                <w:b w:val="1"/>
                <w:bCs w:val="1"/>
                <w:color w:val="auto"/>
                <w:w w:val="91"/>
                <w:vertAlign w:val="superscript"/>
              </w:rPr>
              <w:t>rd</w:t>
            </w:r>
            <w:r>
              <w:rPr>
                <w:rFonts w:ascii="Arial" w:cs="Arial" w:eastAsia="Arial" w:hAnsi="Arial"/>
                <w:sz w:val="16"/>
                <w:szCs w:val="16"/>
                <w:b w:val="1"/>
                <w:bCs w:val="1"/>
                <w:color w:val="auto"/>
                <w:w w:val="91"/>
              </w:rPr>
              <w:t xml:space="preserve"> Street, Suite 500,</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98"/>
        </w:trPr>
        <w:tc>
          <w:tcPr>
            <w:tcW w:w="4400" w:type="dxa"/>
            <w:vAlign w:val="bottom"/>
            <w:gridSpan w:val="2"/>
          </w:tcPr>
          <w:p>
            <w:pPr>
              <w:jc w:val="center"/>
              <w:ind w:left="1044"/>
              <w:spacing w:after="0"/>
              <w:rPr>
                <w:sz w:val="20"/>
                <w:szCs w:val="20"/>
                <w:color w:val="auto"/>
              </w:rPr>
            </w:pPr>
            <w:r>
              <w:rPr>
                <w:rFonts w:ascii="Arial" w:cs="Arial" w:eastAsia="Arial" w:hAnsi="Arial"/>
                <w:sz w:val="16"/>
                <w:szCs w:val="16"/>
                <w:b w:val="1"/>
                <w:bCs w:val="1"/>
                <w:color w:val="auto"/>
                <w:w w:val="94"/>
              </w:rPr>
              <w:t>Oklahoma City, Oklahoma</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jc w:val="right"/>
              <w:ind w:right="2466"/>
              <w:spacing w:after="0"/>
              <w:rPr>
                <w:sz w:val="20"/>
                <w:szCs w:val="20"/>
                <w:color w:val="auto"/>
              </w:rPr>
            </w:pPr>
            <w:r>
              <w:rPr>
                <w:rFonts w:ascii="Arial" w:cs="Arial" w:eastAsia="Arial" w:hAnsi="Arial"/>
                <w:sz w:val="16"/>
                <w:szCs w:val="16"/>
                <w:b w:val="1"/>
                <w:bCs w:val="1"/>
                <w:color w:val="auto"/>
              </w:rPr>
              <w:t>73116</w:t>
            </w:r>
          </w:p>
        </w:tc>
      </w:tr>
      <w:tr>
        <w:trPr>
          <w:trHeight w:val="164"/>
        </w:trPr>
        <w:tc>
          <w:tcPr>
            <w:tcW w:w="4400" w:type="dxa"/>
            <w:vAlign w:val="bottom"/>
            <w:gridSpan w:val="2"/>
          </w:tcPr>
          <w:p>
            <w:pPr>
              <w:jc w:val="center"/>
              <w:ind w:left="104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center"/>
              <w:ind w:right="386"/>
              <w:spacing w:after="0"/>
              <w:rPr>
                <w:sz w:val="20"/>
                <w:szCs w:val="20"/>
                <w:color w:val="auto"/>
              </w:rPr>
            </w:pPr>
            <w:r>
              <w:rPr>
                <w:rFonts w:ascii="Arial" w:cs="Arial" w:eastAsia="Arial" w:hAnsi="Arial"/>
                <w:sz w:val="13"/>
                <w:szCs w:val="13"/>
                <w:b w:val="1"/>
                <w:bCs w:val="1"/>
                <w:color w:val="auto"/>
                <w:w w:val="90"/>
              </w:rPr>
              <w:t>(Zip Code)</w:t>
            </w:r>
          </w:p>
        </w:tc>
      </w:tr>
      <w:tr>
        <w:trPr>
          <w:trHeight w:val="240"/>
        </w:trPr>
        <w:tc>
          <w:tcPr>
            <w:tcW w:w="11240" w:type="dxa"/>
            <w:vAlign w:val="bottom"/>
            <w:gridSpan w:val="5"/>
          </w:tcPr>
          <w:p>
            <w:pPr>
              <w:ind w:left="3220"/>
              <w:spacing w:after="0"/>
              <w:rPr>
                <w:sz w:val="20"/>
                <w:szCs w:val="20"/>
                <w:color w:val="auto"/>
              </w:rPr>
            </w:pPr>
            <w:r>
              <w:rPr>
                <w:rFonts w:ascii="Arial" w:cs="Arial" w:eastAsia="Arial" w:hAnsi="Arial"/>
                <w:sz w:val="16"/>
                <w:szCs w:val="16"/>
                <w:b w:val="1"/>
                <w:bCs w:val="1"/>
                <w:color w:val="auto"/>
              </w:rPr>
              <w:t>Registrant's Telephone Number, Including Area Code: (405) 235-4546</w:t>
            </w:r>
          </w:p>
        </w:tc>
      </w:tr>
      <w:tr>
        <w:trPr>
          <w:trHeight w:val="241"/>
        </w:trPr>
        <w:tc>
          <w:tcPr>
            <w:tcW w:w="4400" w:type="dxa"/>
            <w:vAlign w:val="bottom"/>
            <w:gridSpan w:val="2"/>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197"/>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38"/>
        </w:trPr>
        <w:tc>
          <w:tcPr>
            <w:tcW w:w="42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w w:val="91"/>
              </w:rPr>
              <w:t>Common Stock, Par Value $.10</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rPr>
              <w:t>LXU</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w w:val="91"/>
              </w:rPr>
              <w:t>New York Stock Exchange</w:t>
            </w:r>
          </w:p>
        </w:tc>
      </w:tr>
      <w:tr>
        <w:trPr>
          <w:trHeight w:val="162"/>
        </w:trPr>
        <w:tc>
          <w:tcPr>
            <w:tcW w:w="44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Preferred Stock Purchase Rights</w:t>
            </w:r>
          </w:p>
        </w:tc>
        <w:tc>
          <w:tcPr>
            <w:tcW w:w="18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rPr>
              <w:t>N/A</w:t>
            </w:r>
          </w:p>
        </w:tc>
        <w:tc>
          <w:tcPr>
            <w:tcW w:w="5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New York Stock Exchange</w:t>
            </w:r>
          </w:p>
        </w:tc>
      </w:tr>
      <w:tr>
        <w:trPr>
          <w:trHeight w:val="198"/>
        </w:trPr>
        <w:tc>
          <w:tcPr>
            <w:tcW w:w="4400" w:type="dxa"/>
            <w:vAlign w:val="bottom"/>
            <w:gridSpan w:val="2"/>
          </w:tcPr>
          <w:p>
            <w:pPr>
              <w:ind w:left="2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bl>
    <w:p>
      <w:pPr>
        <w:ind w:right="2740"/>
        <w:spacing w:after="0" w:line="20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jc w:val="both"/>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jc w:val="both"/>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jc w:val="both"/>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38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3"/>
        </w:trPr>
        <w:tc>
          <w:tcPr>
            <w:tcW w:w="17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98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600"/>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18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73" w:lineRule="exact"/>
        <w:tabs>
          <w:tab w:leader="none" w:pos="6700" w:val="left"/>
          <w:tab w:leader="none" w:pos="73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Arial" w:cs="Arial" w:eastAsia="Arial" w:hAnsi="Arial"/>
          <w:sz w:val="15"/>
          <w:szCs w:val="15"/>
          <w:color w:val="auto"/>
        </w:rPr>
        <w:tab/>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No</w:t>
      </w:r>
    </w:p>
    <w:p>
      <w:pPr>
        <w:spacing w:after="0" w:line="34" w:lineRule="exact"/>
        <w:rPr>
          <w:sz w:val="24"/>
          <w:szCs w:val="24"/>
          <w:color w:val="auto"/>
        </w:rPr>
      </w:pPr>
    </w:p>
    <w:p>
      <w:pPr>
        <w:jc w:val="both"/>
        <w:spacing w:after="0" w:line="225" w:lineRule="auto"/>
        <w:rPr>
          <w:sz w:val="20"/>
          <w:szCs w:val="20"/>
          <w:color w:val="auto"/>
        </w:rPr>
      </w:pPr>
      <w:r>
        <w:rPr>
          <w:rFonts w:ascii="Arial" w:cs="Arial" w:eastAsia="Arial" w:hAnsi="Arial"/>
          <w:sz w:val="15"/>
          <w:szCs w:val="15"/>
          <w:color w:val="auto"/>
        </w:rPr>
        <w:t>The aggregate market value of the Registrant’s voting common equity held by non-affiliates of the Registrant, computed by reference to the price at which the voting common stock was last sold as of June 30, 2020, was approximately $25 million. As a result, the Registrant is a non-accelerated filer as of December 31, 2020. For purposes of this computation, shares of the Registrant’s common stock beneficially owned by each executive officer and director of the Registrant and LSB Funding LLC were deemed to be owned by affiliates of the Registrant as of June 30, 2020. Such determination should not be deemed an admission that such executive officers, directors or entity of our common stock are, in fact, affiliates of the Registrant or affiliates as of the date of this Form 10-K</w:t>
      </w:r>
      <w:r>
        <w:rPr>
          <w:rFonts w:ascii="Arial" w:cs="Arial" w:eastAsia="Arial" w:hAnsi="Arial"/>
          <w:sz w:val="14"/>
          <w:szCs w:val="14"/>
          <w:color w:val="auto"/>
        </w:rPr>
        <w:t>.</w:t>
      </w:r>
    </w:p>
    <w:p>
      <w:pPr>
        <w:jc w:val="center"/>
        <w:spacing w:after="0" w:line="227" w:lineRule="auto"/>
        <w:rPr>
          <w:sz w:val="20"/>
          <w:szCs w:val="20"/>
          <w:color w:val="auto"/>
        </w:rPr>
      </w:pPr>
      <w:r>
        <w:rPr>
          <w:rFonts w:ascii="Arial" w:cs="Arial" w:eastAsia="Arial" w:hAnsi="Arial"/>
          <w:sz w:val="15"/>
          <w:szCs w:val="15"/>
          <w:color w:val="auto"/>
        </w:rPr>
        <w:t>As of February 16, 2021, the Registrant had 30,037,749 shares of common stock outstanding.</w:t>
      </w:r>
    </w:p>
    <w:p>
      <w:pPr>
        <w:jc w:val="center"/>
        <w:spacing w:after="0" w:line="225" w:lineRule="auto"/>
        <w:rPr>
          <w:sz w:val="20"/>
          <w:szCs w:val="20"/>
          <w:color w:val="auto"/>
        </w:rPr>
      </w:pPr>
      <w:r>
        <w:rPr>
          <w:rFonts w:ascii="Arial" w:cs="Arial" w:eastAsia="Arial" w:hAnsi="Arial"/>
          <w:sz w:val="15"/>
          <w:szCs w:val="15"/>
          <w:color w:val="auto"/>
        </w:rPr>
        <w:t>DOCUMENTS INCORPORATED BY REFERENCE</w:t>
      </w:r>
    </w:p>
    <w:p>
      <w:pPr>
        <w:spacing w:after="0" w:line="1" w:lineRule="exact"/>
        <w:rPr>
          <w:sz w:val="24"/>
          <w:szCs w:val="24"/>
          <w:color w:val="auto"/>
        </w:rPr>
      </w:pPr>
    </w:p>
    <w:p>
      <w:pPr>
        <w:jc w:val="both"/>
        <w:spacing w:after="0" w:line="239" w:lineRule="auto"/>
        <w:rPr>
          <w:sz w:val="20"/>
          <w:szCs w:val="20"/>
          <w:color w:val="auto"/>
        </w:rPr>
      </w:pPr>
      <w:r>
        <w:rPr>
          <w:rFonts w:ascii="Arial" w:cs="Arial" w:eastAsia="Arial" w:hAnsi="Arial"/>
          <w:sz w:val="15"/>
          <w:szCs w:val="15"/>
          <w:color w:val="auto"/>
        </w:rPr>
        <w:t>Portions of the Registrant’s proxy statement for its annual meeting of stockholders will be filed with the Securities and Exchange Commission within 120 days after the end of its 2020 fiscal year,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60" w:type="dxa"/>
            <w:vAlign w:val="bottom"/>
            <w:vMerge w:val="restart"/>
          </w:tcPr>
          <w:p>
            <w:pPr>
              <w:jc w:val="center"/>
              <w:ind w:right="1790"/>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PART I</w:t>
              </w:r>
            </w:hyperlink>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Unresolved Staff Comments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Properties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3"/>
          </w:tcPr>
          <w:p>
            <w:pPr>
              <w:ind w:left="400"/>
              <w:spacing w:after="0"/>
              <w:rPr>
                <w:sz w:val="20"/>
                <w:szCs w:val="20"/>
                <w:color w:val="auto"/>
              </w:rPr>
            </w:pPr>
            <w:r>
              <w:rPr>
                <w:rFonts w:ascii="Arial" w:cs="Arial" w:eastAsia="Arial" w:hAnsi="Arial"/>
                <w:sz w:val="18"/>
                <w:szCs w:val="18"/>
                <w:color w:val="0000EE"/>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260" w:type="dxa"/>
            <w:vAlign w:val="bottom"/>
          </w:tcPr>
          <w:p>
            <w:pPr>
              <w:jc w:val="center"/>
              <w:ind w:right="1810"/>
              <w:spacing w:after="0"/>
              <w:rPr>
                <w:rFonts w:ascii="Arial" w:cs="Arial" w:eastAsia="Arial" w:hAnsi="Arial"/>
                <w:sz w:val="18"/>
                <w:szCs w:val="18"/>
                <w:u w:val="single" w:color="auto"/>
                <w:color w:val="0000EE"/>
                <w:w w:val="95"/>
              </w:rPr>
            </w:pPr>
            <w:hyperlink w:anchor="page26">
              <w:r>
                <w:rPr>
                  <w:rFonts w:ascii="Arial" w:cs="Arial" w:eastAsia="Arial" w:hAnsi="Arial"/>
                  <w:sz w:val="18"/>
                  <w:szCs w:val="18"/>
                  <w:u w:val="single" w:color="auto"/>
                  <w:color w:val="0000EE"/>
                  <w:w w:val="95"/>
                </w:rPr>
                <w:t>PART II</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Selected Financial Data</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Financial Statements and Supplementary Data</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7"/>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Changes in and Disagreements with Accountants on Accounting and Financial Disclosure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60" w:type="dxa"/>
            <w:vAlign w:val="bottom"/>
          </w:tcPr>
          <w:p>
            <w:pPr>
              <w:jc w:val="center"/>
              <w:ind w:right="1790"/>
              <w:spacing w:after="0"/>
              <w:rPr>
                <w:rFonts w:ascii="Arial" w:cs="Arial" w:eastAsia="Arial" w:hAnsi="Arial"/>
                <w:sz w:val="18"/>
                <w:szCs w:val="18"/>
                <w:u w:val="single" w:color="auto"/>
                <w:color w:val="0000EE"/>
                <w:w w:val="96"/>
              </w:rPr>
            </w:pPr>
            <w:hyperlink w:anchor="page46">
              <w:r>
                <w:rPr>
                  <w:rFonts w:ascii="Arial" w:cs="Arial" w:eastAsia="Arial" w:hAnsi="Arial"/>
                  <w:sz w:val="18"/>
                  <w:szCs w:val="18"/>
                  <w:u w:val="single" w:color="auto"/>
                  <w:color w:val="0000EE"/>
                  <w:w w:val="96"/>
                </w:rPr>
                <w:t>PART III</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60" w:type="dxa"/>
            <w:vAlign w:val="bottom"/>
          </w:tcPr>
          <w:p>
            <w:pPr>
              <w:jc w:val="center"/>
              <w:ind w:right="1810"/>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(Items 10, 11, 12, 13, and 14)</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1"/>
        </w:trPr>
        <w:tc>
          <w:tcPr>
            <w:tcW w:w="1060" w:type="dxa"/>
            <w:vAlign w:val="bottom"/>
          </w:tcPr>
          <w:p>
            <w:pPr>
              <w:spacing w:after="0"/>
              <w:rPr>
                <w:sz w:val="24"/>
                <w:szCs w:val="24"/>
                <w:color w:val="auto"/>
              </w:rPr>
            </w:pPr>
          </w:p>
        </w:tc>
        <w:tc>
          <w:tcPr>
            <w:tcW w:w="9420" w:type="dxa"/>
            <w:vAlign w:val="bottom"/>
            <w:gridSpan w:val="3"/>
          </w:tcPr>
          <w:p>
            <w:pPr>
              <w:ind w:left="400"/>
              <w:spacing w:after="0"/>
              <w:rPr>
                <w:sz w:val="20"/>
                <w:szCs w:val="20"/>
                <w:color w:val="auto"/>
              </w:rPr>
            </w:pPr>
            <w:r>
              <w:rPr>
                <w:rFonts w:ascii="Arial" w:cs="Arial" w:eastAsia="Arial" w:hAnsi="Arial"/>
                <w:sz w:val="18"/>
                <w:szCs w:val="18"/>
                <w:color w:val="auto"/>
                <w:w w:val="97"/>
              </w:rPr>
              <w:t>The information required by Part III, shall be incorporated by reference from our definitive proxy statement to be filed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420" w:type="dxa"/>
            <w:vAlign w:val="bottom"/>
            <w:gridSpan w:val="3"/>
          </w:tcPr>
          <w:p>
            <w:pPr>
              <w:ind w:left="400"/>
              <w:spacing w:after="0"/>
              <w:rPr>
                <w:sz w:val="20"/>
                <w:szCs w:val="20"/>
                <w:color w:val="auto"/>
              </w:rPr>
            </w:pPr>
            <w:r>
              <w:rPr>
                <w:rFonts w:ascii="Arial" w:cs="Arial" w:eastAsia="Arial" w:hAnsi="Arial"/>
                <w:sz w:val="18"/>
                <w:szCs w:val="18"/>
                <w:color w:val="auto"/>
                <w:w w:val="97"/>
              </w:rPr>
              <w:t>pursuant to Regulation 14A which involves the election of directors that we expect to be filed with the Securities and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420" w:type="dxa"/>
            <w:vAlign w:val="bottom"/>
            <w:gridSpan w:val="3"/>
          </w:tcPr>
          <w:p>
            <w:pPr>
              <w:ind w:left="400"/>
              <w:spacing w:after="0"/>
              <w:rPr>
                <w:sz w:val="20"/>
                <w:szCs w:val="20"/>
                <w:color w:val="auto"/>
              </w:rPr>
            </w:pPr>
            <w:r>
              <w:rPr>
                <w:rFonts w:ascii="Arial" w:cs="Arial" w:eastAsia="Arial" w:hAnsi="Arial"/>
                <w:sz w:val="18"/>
                <w:szCs w:val="18"/>
                <w:color w:val="auto"/>
              </w:rPr>
              <w:t>Exchange Commission not later than 120 days after the end of its 2020 fiscal year covered by this report.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60" w:type="dxa"/>
            <w:vAlign w:val="bottom"/>
          </w:tcPr>
          <w:p>
            <w:pPr>
              <w:jc w:val="center"/>
              <w:ind w:right="1790"/>
              <w:spacing w:after="0"/>
              <w:rPr>
                <w:rFonts w:ascii="Arial" w:cs="Arial" w:eastAsia="Arial" w:hAnsi="Arial"/>
                <w:sz w:val="18"/>
                <w:szCs w:val="18"/>
                <w:u w:val="single" w:color="auto"/>
                <w:color w:val="0000EE"/>
                <w:w w:val="94"/>
              </w:rPr>
            </w:pPr>
            <w:hyperlink w:anchor="page46">
              <w:r>
                <w:rPr>
                  <w:rFonts w:ascii="Arial" w:cs="Arial" w:eastAsia="Arial" w:hAnsi="Arial"/>
                  <w:sz w:val="18"/>
                  <w:szCs w:val="18"/>
                  <w:u w:val="single" w:color="auto"/>
                  <w:color w:val="0000EE"/>
                  <w:w w:val="94"/>
                </w:rPr>
                <w:t>PART IV</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3"/>
          </w:tcPr>
          <w:p>
            <w:pPr>
              <w:ind w:left="4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 and Financial Statement Schedules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48"/>
        </w:trPr>
        <w:tc>
          <w:tcPr>
            <w:tcW w:w="1060" w:type="dxa"/>
            <w:vAlign w:val="bottom"/>
          </w:tcPr>
          <w:p>
            <w:pPr>
              <w:spacing w:after="0"/>
              <w:rPr>
                <w:sz w:val="24"/>
                <w:szCs w:val="24"/>
                <w:color w:val="auto"/>
              </w:rPr>
            </w:pPr>
          </w:p>
        </w:tc>
        <w:tc>
          <w:tcPr>
            <w:tcW w:w="9420" w:type="dxa"/>
            <w:vAlign w:val="bottom"/>
            <w:gridSpan w:val="3"/>
          </w:tcPr>
          <w:p>
            <w:pPr>
              <w:ind w:left="45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7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was formed in 1968 as an Oklahoma corporation and became a Delaware corporation in 1977. We manufacture and market chemical products for the agricultural, industrial and mining markets. We own and operate facilities in El Dorado, Arkansas (the “El Dorado Facility”), Cherokee, Alabama (the “Cherokee Facility”), and Pryor, Oklahoma (the “Pryor Facility”), and we operate a facility on behalf of a global chemical company in Baytown, Texas (the “Baytown Facility”). Our products are sold through distributors and directly to end customers throughout the United States and parts of Mexico and Canada.</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manufactures products for three principal markets: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Agricultural Markets: </w:t>
      </w:r>
      <w:r>
        <w:rPr>
          <w:rFonts w:ascii="Arial" w:cs="Arial" w:eastAsia="Arial" w:hAnsi="Arial"/>
          <w:sz w:val="18"/>
          <w:szCs w:val="18"/>
          <w:color w:val="auto"/>
        </w:rPr>
        <w:t>ammonia, fertilizer grade ammonium nitrate (“AN” and “HDAN”) and urea ammonia nitrate (“UAN”);</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Markets: </w:t>
      </w:r>
      <w:r>
        <w:rPr>
          <w:rFonts w:ascii="Arial" w:cs="Arial" w:eastAsia="Arial" w:hAnsi="Arial"/>
          <w:sz w:val="18"/>
          <w:szCs w:val="18"/>
          <w:color w:val="auto"/>
        </w:rPr>
        <w:t>high purity and commercial grade ammonia, high purity AN, sulfuric acids, concentrated, blended and regular nitric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acid, mixed nitrating acids, carbon dioxide, and diesel exhaust fluid (“DEF”);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Mining Markets: </w:t>
      </w:r>
      <w:r>
        <w:rPr>
          <w:rFonts w:ascii="Arial" w:cs="Arial" w:eastAsia="Arial" w:hAnsi="Arial"/>
          <w:sz w:val="18"/>
          <w:szCs w:val="18"/>
          <w:color w:val="auto"/>
        </w:rPr>
        <w:t>industrial grade AN (“LDAN”) and AN solutions.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products we manufacture at our facilities are primarily derived from natural gas (a raw material feedstock).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highlights representative products and applications in each of our end markets.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40" w:type="dxa"/>
            <w:vAlign w:val="bottom"/>
            <w:tcBorders>
              <w:right w:val="single" w:sz="8" w:color="auto"/>
            </w:tcBorders>
          </w:tcPr>
          <w:p>
            <w:pPr>
              <w:spacing w:after="0"/>
              <w:rPr>
                <w:sz w:val="20"/>
                <w:szCs w:val="20"/>
                <w:color w:val="auto"/>
              </w:rPr>
            </w:pPr>
          </w:p>
        </w:tc>
        <w:tc>
          <w:tcPr>
            <w:tcW w:w="264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End Market</w:t>
            </w:r>
          </w:p>
        </w:tc>
        <w:tc>
          <w:tcPr>
            <w:tcW w:w="23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Products</w:t>
            </w:r>
          </w:p>
        </w:tc>
        <w:tc>
          <w:tcPr>
            <w:tcW w:w="3000" w:type="dxa"/>
            <w:vAlign w:val="bottom"/>
            <w:tcBorders>
              <w:top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Applications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Agricultural</w:t>
            </w:r>
          </w:p>
        </w:tc>
        <w:tc>
          <w:tcPr>
            <w:tcW w:w="2360" w:type="dxa"/>
            <w:vAlign w:val="bottom"/>
            <w:tcBorders>
              <w:right w:val="single" w:sz="8" w:color="auto"/>
            </w:tcBorders>
            <w:shd w:val="clear" w:color="auto" w:fill="CFF0FC"/>
          </w:tcPr>
          <w:p>
            <w:pPr>
              <w:spacing w:after="0"/>
              <w:rPr>
                <w:sz w:val="17"/>
                <w:szCs w:val="17"/>
                <w:color w:val="auto"/>
              </w:rPr>
            </w:pPr>
          </w:p>
        </w:tc>
        <w:tc>
          <w:tcPr>
            <w:tcW w:w="3000" w:type="dxa"/>
            <w:vAlign w:val="bottom"/>
            <w:tcBorders>
              <w:right w:val="single" w:sz="8" w:color="auto"/>
            </w:tcBorders>
            <w:shd w:val="clear" w:color="auto" w:fill="CFF0FC"/>
          </w:tcPr>
          <w:p>
            <w:pPr>
              <w:ind w:left="100"/>
              <w:spacing w:after="0" w:line="201" w:lineRule="exact"/>
              <w:rPr>
                <w:sz w:val="20"/>
                <w:szCs w:val="20"/>
                <w:color w:val="auto"/>
              </w:rPr>
            </w:pPr>
            <w:r>
              <w:rPr>
                <w:rFonts w:ascii="Arial" w:cs="Arial" w:eastAsia="Arial" w:hAnsi="Arial"/>
                <w:sz w:val="18"/>
                <w:szCs w:val="18"/>
                <w:color w:val="auto"/>
                <w:w w:val="96"/>
              </w:rPr>
              <w:t>Fertilizer and fertilizer blends for corn</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4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continue"/>
            <w:shd w:val="clear" w:color="auto" w:fill="CFF0FC"/>
          </w:tcPr>
          <w:p>
            <w:pPr>
              <w:spacing w:after="0"/>
              <w:rPr>
                <w:sz w:val="14"/>
                <w:szCs w:val="14"/>
                <w:color w:val="auto"/>
              </w:rPr>
            </w:pPr>
          </w:p>
        </w:tc>
        <w:tc>
          <w:tcPr>
            <w:tcW w:w="236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UAN, HDAN and ammonia</w:t>
            </w:r>
          </w:p>
        </w:tc>
        <w:tc>
          <w:tcPr>
            <w:tcW w:w="300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w w:val="95"/>
              </w:rPr>
              <w:t>and other crops; NPK fertilizer blends</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shd w:val="clear" w:color="auto" w:fill="CFF0FC"/>
          </w:tcPr>
          <w:p>
            <w:pPr>
              <w:spacing w:after="0"/>
              <w:rPr>
                <w:sz w:val="5"/>
                <w:szCs w:val="5"/>
                <w:color w:val="auto"/>
              </w:rPr>
            </w:pPr>
          </w:p>
        </w:tc>
        <w:tc>
          <w:tcPr>
            <w:tcW w:w="2360" w:type="dxa"/>
            <w:vAlign w:val="bottom"/>
            <w:tcBorders>
              <w:right w:val="single" w:sz="8" w:color="auto"/>
            </w:tcBorders>
            <w:vMerge w:val="continue"/>
            <w:shd w:val="clear" w:color="auto" w:fill="CFF0FC"/>
          </w:tcPr>
          <w:p>
            <w:pPr>
              <w:spacing w:after="0"/>
              <w:rPr>
                <w:sz w:val="5"/>
                <w:szCs w:val="5"/>
                <w:color w:val="auto"/>
              </w:rPr>
            </w:pPr>
          </w:p>
        </w:tc>
        <w:tc>
          <w:tcPr>
            <w:tcW w:w="3000" w:type="dxa"/>
            <w:vAlign w:val="bottom"/>
            <w:tcBorders>
              <w:right w:val="single" w:sz="8" w:color="auto"/>
            </w:tcBorders>
            <w:vMerge w:val="continue"/>
            <w:shd w:val="clear" w:color="auto" w:fill="CFF0FC"/>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40" w:type="dxa"/>
            <w:vAlign w:val="bottom"/>
            <w:tcBorders>
              <w:right w:val="single" w:sz="8" w:color="auto"/>
            </w:tcBorders>
          </w:tcPr>
          <w:p>
            <w:pPr>
              <w:spacing w:after="0"/>
              <w:rPr>
                <w:sz w:val="13"/>
                <w:szCs w:val="13"/>
                <w:color w:val="auto"/>
              </w:rPr>
            </w:pPr>
          </w:p>
        </w:tc>
        <w:tc>
          <w:tcPr>
            <w:tcW w:w="2640" w:type="dxa"/>
            <w:vAlign w:val="bottom"/>
            <w:tcBorders>
              <w:bottom w:val="single" w:sz="8" w:color="auto"/>
              <w:right w:val="single" w:sz="8" w:color="auto"/>
            </w:tcBorders>
            <w:shd w:val="clear" w:color="auto" w:fill="CFF0FC"/>
          </w:tcPr>
          <w:p>
            <w:pPr>
              <w:spacing w:after="0"/>
              <w:rPr>
                <w:sz w:val="13"/>
                <w:szCs w:val="13"/>
                <w:color w:val="auto"/>
              </w:rPr>
            </w:pPr>
          </w:p>
        </w:tc>
        <w:tc>
          <w:tcPr>
            <w:tcW w:w="2360" w:type="dxa"/>
            <w:vAlign w:val="bottom"/>
            <w:tcBorders>
              <w:bottom w:val="single" w:sz="8" w:color="auto"/>
              <w:right w:val="single" w:sz="8" w:color="auto"/>
            </w:tcBorders>
            <w:shd w:val="clear" w:color="auto" w:fill="CFF0FC"/>
          </w:tcPr>
          <w:p>
            <w:pPr>
              <w:spacing w:after="0"/>
              <w:rPr>
                <w:sz w:val="13"/>
                <w:szCs w:val="13"/>
                <w:color w:val="auto"/>
              </w:rPr>
            </w:pPr>
          </w:p>
        </w:tc>
        <w:tc>
          <w:tcPr>
            <w:tcW w:w="3000" w:type="dxa"/>
            <w:vAlign w:val="bottom"/>
            <w:tcBorders>
              <w:bottom w:val="single" w:sz="8" w:color="auto"/>
              <w:right w:val="single" w:sz="8" w:color="auto"/>
            </w:tcBorders>
            <w:shd w:val="clear" w:color="auto" w:fill="CFF0FC"/>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64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Semi-conductor and polyurethane</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intermediates, ordnance; Pulp and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Nitric acid, metallurgical and</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paper, alum, water treatment, metals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commercial grade ammonia,</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and vanadium processing; Power plant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sulfuric acid, diesel exhaust</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emissions abatement, water treatment,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fluid and other urea solutions,</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refrigerants, metals processing;</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Industrial</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Specialty E-2 ammonium</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Exhaust stream additive, horticulture /</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4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nitrate and CO2</w:t>
            </w:r>
          </w:p>
        </w:tc>
        <w:tc>
          <w:tcPr>
            <w:tcW w:w="3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greenhouse applications; refrigeration</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3000" w:type="dxa"/>
            <w:vAlign w:val="bottom"/>
            <w:tcBorders>
              <w:right w:val="single" w:sz="8" w:color="auto"/>
            </w:tcBorders>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shd w:val="clear" w:color="auto" w:fill="CFF0FC"/>
          </w:tcPr>
          <w:p>
            <w:pPr>
              <w:spacing w:after="0"/>
              <w:rPr>
                <w:sz w:val="16"/>
                <w:szCs w:val="16"/>
                <w:color w:val="auto"/>
              </w:rPr>
            </w:pPr>
          </w:p>
        </w:tc>
        <w:tc>
          <w:tcPr>
            <w:tcW w:w="2360" w:type="dxa"/>
            <w:vAlign w:val="bottom"/>
            <w:tcBorders>
              <w:right w:val="single" w:sz="8" w:color="auto"/>
            </w:tcBorders>
            <w:shd w:val="clear" w:color="auto" w:fill="CFF0FC"/>
          </w:tcPr>
          <w:p>
            <w:pPr>
              <w:spacing w:after="0"/>
              <w:rPr>
                <w:sz w:val="16"/>
                <w:szCs w:val="16"/>
                <w:color w:val="auto"/>
              </w:rPr>
            </w:pPr>
          </w:p>
        </w:tc>
        <w:tc>
          <w:tcPr>
            <w:tcW w:w="3000" w:type="dxa"/>
            <w:vAlign w:val="bottom"/>
            <w:tcBorders>
              <w:right w:val="single" w:sz="8" w:color="auto"/>
            </w:tcBorders>
            <w:shd w:val="clear" w:color="auto" w:fill="CFF0FC"/>
          </w:tcPr>
          <w:p>
            <w:pPr>
              <w:ind w:left="100"/>
              <w:spacing w:after="0" w:line="195" w:lineRule="exact"/>
              <w:rPr>
                <w:sz w:val="20"/>
                <w:szCs w:val="20"/>
                <w:color w:val="auto"/>
              </w:rPr>
            </w:pPr>
            <w:r>
              <w:rPr>
                <w:rFonts w:ascii="Arial" w:cs="Arial" w:eastAsia="Arial" w:hAnsi="Arial"/>
                <w:sz w:val="18"/>
                <w:szCs w:val="18"/>
                <w:color w:val="auto"/>
              </w:rPr>
              <w:t>Ammonium nitrate fuel oil (ANFO)</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shd w:val="clear" w:color="auto" w:fill="CFF0FC"/>
          </w:tcPr>
          <w:p>
            <w:pPr>
              <w:spacing w:after="0"/>
              <w:rPr>
                <w:sz w:val="18"/>
                <w:szCs w:val="18"/>
                <w:color w:val="auto"/>
              </w:rPr>
            </w:pPr>
          </w:p>
        </w:tc>
        <w:tc>
          <w:tcPr>
            <w:tcW w:w="2360" w:type="dxa"/>
            <w:vAlign w:val="bottom"/>
            <w:tcBorders>
              <w:right w:val="single" w:sz="8" w:color="auto"/>
            </w:tcBorders>
            <w:shd w:val="clear" w:color="auto" w:fill="CFF0FC"/>
          </w:tcPr>
          <w:p>
            <w:pPr>
              <w:spacing w:after="0"/>
              <w:rPr>
                <w:sz w:val="18"/>
                <w:szCs w:val="18"/>
                <w:color w:val="auto"/>
              </w:rPr>
            </w:pPr>
          </w:p>
        </w:tc>
        <w:tc>
          <w:tcPr>
            <w:tcW w:w="30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and specialty emulsions for mining</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Mining</w:t>
            </w:r>
          </w:p>
        </w:tc>
        <w:tc>
          <w:tcPr>
            <w:tcW w:w="23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LDAN, AN solution and</w:t>
            </w:r>
          </w:p>
        </w:tc>
        <w:tc>
          <w:tcPr>
            <w:tcW w:w="30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4"/>
              </w:rPr>
              <w:t>applications, surface mining, quarries,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4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continue"/>
            <w:shd w:val="clear" w:color="auto" w:fill="CFF0FC"/>
          </w:tcPr>
          <w:p>
            <w:pPr>
              <w:spacing w:after="0"/>
              <w:rPr>
                <w:sz w:val="14"/>
                <w:szCs w:val="14"/>
                <w:color w:val="auto"/>
              </w:rPr>
            </w:pPr>
          </w:p>
        </w:tc>
        <w:tc>
          <w:tcPr>
            <w:tcW w:w="236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HDAN</w:t>
            </w:r>
          </w:p>
        </w:tc>
        <w:tc>
          <w:tcPr>
            <w:tcW w:w="300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and construction</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shd w:val="clear" w:color="auto" w:fill="CFF0FC"/>
          </w:tcPr>
          <w:p>
            <w:pPr>
              <w:spacing w:after="0"/>
              <w:rPr>
                <w:sz w:val="5"/>
                <w:szCs w:val="5"/>
                <w:color w:val="auto"/>
              </w:rPr>
            </w:pPr>
          </w:p>
        </w:tc>
        <w:tc>
          <w:tcPr>
            <w:tcW w:w="2360" w:type="dxa"/>
            <w:vAlign w:val="bottom"/>
            <w:tcBorders>
              <w:right w:val="single" w:sz="8" w:color="auto"/>
            </w:tcBorders>
            <w:vMerge w:val="continue"/>
            <w:shd w:val="clear" w:color="auto" w:fill="CFF0FC"/>
          </w:tcPr>
          <w:p>
            <w:pPr>
              <w:spacing w:after="0"/>
              <w:rPr>
                <w:sz w:val="5"/>
                <w:szCs w:val="5"/>
                <w:color w:val="auto"/>
              </w:rPr>
            </w:pPr>
          </w:p>
        </w:tc>
        <w:tc>
          <w:tcPr>
            <w:tcW w:w="3000" w:type="dxa"/>
            <w:vAlign w:val="bottom"/>
            <w:tcBorders>
              <w:right w:val="single" w:sz="8" w:color="auto"/>
            </w:tcBorders>
            <w:vMerge w:val="continue"/>
            <w:shd w:val="clear" w:color="auto" w:fill="CFF0FC"/>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shd w:val="clear" w:color="auto" w:fill="CFF0FC"/>
          </w:tcPr>
          <w:p>
            <w:pPr>
              <w:spacing w:after="0"/>
              <w:rPr>
                <w:sz w:val="12"/>
                <w:szCs w:val="12"/>
                <w:color w:val="auto"/>
              </w:rPr>
            </w:pPr>
          </w:p>
        </w:tc>
        <w:tc>
          <w:tcPr>
            <w:tcW w:w="2360" w:type="dxa"/>
            <w:vAlign w:val="bottom"/>
            <w:tcBorders>
              <w:bottom w:val="single" w:sz="8" w:color="auto"/>
              <w:right w:val="single" w:sz="8" w:color="auto"/>
            </w:tcBorders>
            <w:shd w:val="clear" w:color="auto" w:fill="CFF0FC"/>
          </w:tcPr>
          <w:p>
            <w:pPr>
              <w:spacing w:after="0"/>
              <w:rPr>
                <w:sz w:val="12"/>
                <w:szCs w:val="12"/>
                <w:color w:val="auto"/>
              </w:rPr>
            </w:pPr>
          </w:p>
        </w:tc>
        <w:tc>
          <w:tcPr>
            <w:tcW w:w="3000" w:type="dxa"/>
            <w:vAlign w:val="bottom"/>
            <w:tcBorders>
              <w:bottom w:val="single" w:sz="8" w:color="auto"/>
              <w:right w:val="single" w:sz="8" w:color="auto"/>
            </w:tcBorders>
            <w:shd w:val="clear" w:color="auto" w:fill="CFF0FC"/>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Arial" w:cs="Arial" w:eastAsia="Arial" w:hAnsi="Arial"/>
                <w:sz w:val="18"/>
                <w:szCs w:val="18"/>
                <w:color w:val="auto"/>
              </w:rPr>
              <w:t>3</w:t>
            </w:r>
          </w:p>
        </w:tc>
        <w:tc>
          <w:tcPr>
            <w:tcW w:w="3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summarizes net sales information relating to our products: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consolidated net sales: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30"/>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products</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60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60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our net sales, operating results and total assets for the past three fiscal years, see the Consolidated Financial Statements included in this report.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feedstock and/or the changes in demand for our products.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strategy of developing industrial and mining customers helps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remain focused on upgrading margins by maximizing downstream production. Our strategy calls for further development of industrial customers who assume the volatility risk associated with the raw material costs and mitigate the effects of seasonality in the agricultural sector.</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also includes evaluating acquisitions of strategic assets or companies, mergers with other companies and investment in additional production capacity where we believe those acquisitions, mergers or expansion of production capacity will enhance the value of the Company and provide appropriate returns.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2021</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more detail under “Key Operating Initiatives for 2021” of “Management’s Discussion and Analysis of Financial Condition and Results of Operations” (“MD&amp;A”) contained in Item 7 of this report, we believe our future results of operations and financial condition will depend significantly on our ability to successfully implement the following key initiatives:</w:t>
      </w:r>
    </w:p>
    <w:p>
      <w:pPr>
        <w:spacing w:after="0" w:line="76" w:lineRule="exact"/>
        <w:rPr>
          <w:sz w:val="20"/>
          <w:szCs w:val="20"/>
          <w:color w:val="auto"/>
        </w:rPr>
      </w:pPr>
    </w:p>
    <w:p>
      <w:pPr>
        <w:ind w:left="560" w:hanging="363"/>
        <w:spacing w:after="0" w:line="258"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 Focusing on Becoming a “Best in Class” Chemical Plant Operator with respect to Safe, Reliable Operations that Produce the Highest Quality Product.</w:t>
      </w:r>
    </w:p>
    <w:p>
      <w:pPr>
        <w:spacing w:after="0" w:line="1"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 Broadening the Distribution of our Products.</w:t>
      </w:r>
    </w:p>
    <w:p>
      <w:pPr>
        <w:spacing w:after="0" w:line="9"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 of a Strategy to Capitalize on Ammonia Opportunities in a Renewable Energy Focused Economy.</w:t>
      </w:r>
    </w:p>
    <w:p>
      <w:pPr>
        <w:spacing w:after="0" w:line="9"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Improving Our Capital Structure and Overall Cost of Capital.</w:t>
      </w:r>
    </w:p>
    <w:p>
      <w:pPr>
        <w:spacing w:after="0" w:line="9"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Evaluate Acquisition of Strategic Assets or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the facilities we operate have been designated as 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provider, and therefore, our facilities have remained operational despite the government mandated operational limitations or business closings resulting from the federal, state and local government responses to the evolving global health crisis resulting from the COVID-19 pandemic. Management has taken significant measures to ensure the health and safety of our employees and our business continuity during this challenging situation. For our personnel at our manufacturing facilities and retail agricultural centers, we have developed plans and procedures that have allowed them to operate in a safe manner in order to protect them, their families, our vendors and our customers. These include daily health screenings, including temperature checks and questionnaires, use of proper personal protection equipment, regular disinfection and cleaning of equipment and workspaces, social distancing, working from home where appropriate and quarantining of employees according to specific protocols. We intend to maintain our discipline in this regard for however long the current health risk persists.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The nitrogen chemical industry was under pressure during most of 2020. As a result of the global economic downturn caused by the COVID-19 pandemic and the resultant decline in energy prices, industry operating rates increased globally, resulting in greater supply and lower fertilizer pricing. Pricing for all major agricultural product categories was impacted by the continued oversupply of ammonia in our primary end markets, along with increased imports of some of our downstream products. Industrial and mining sales volume declined as a result of pandemic-related weakness in demand in several of our end markets.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Looking ahead to 2021, while much of the U.S. economy has a least partially reopened, uncertainty remains with respect to our various end markets. On the agricultural side, the corn market has recently experienced some positive indicators as discussed below under “Agricultural Market Conditions.” However, improvements in fertilizer pricing could be tempered from higher natural gas costs and additional imported fertilizers. With respect to industrial and mining sales volume, we are seeing gradual improvement in demand for nitric acid, industrial ammonia and ammonium nitrate as sectors such as automotive manufacturing, home building, and copper mining have increased activity. Also see discussion below under “Industrial and Mining Products” concerning a new long-term nitric acid supply contract with a customer.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liquidity front, as of December 31, 2020, we had approximately $58.1 million of combined cash and borrowing capacity, which, we believe, provides us with ample liquidity to fund our operations and meet our current obligations. Also see discussions under “Liquidity and Capital Resources” of our MD&amp;A.</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Strategically Located Chemical Assets and Long-Standing Customer Relationships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benefits from highly advantageous locations with logistical and distribution benefits. We have access to the Nustar ammonia pipeline from the U.S. Gulf at our El Dorado Facility, which provides low-cost transportation to distribution points. The El Dorado Facility also has rail access providing favorable freight logistics to our industrial and agricultural customers and cost advantaged when selling a number of our products West of the Mississippi River. Our Cherokee Facility is located east of the Mississippi River, allowing it to reach customers that are not freight logical for others. Our Cherokee Facility sits adjacent to the Tennessee River, providing barge receipt and shipping access, in addition to truck and rail delivery access. Our Pryor Facility is located in the heart of the Southern Plains with close proximity to the Port of Catoosa along with strategic rail and truck delivery access.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Advantaged Raw Material Cost Position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produce ammonia at our El Dorado, Cherokee and Pryor Facilities, which allows us to take advantage of the spread between producing and purchasing ammonia at those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Diversified Sources of Revenue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serves a broad range of end markets, which we believe diminishes the cyclicality of our financial performance. Our business serves the agricultural, industrial and mining markets. The flexible nature of our production process and storage capability allows us the ability to shift our product mix based on end market demand.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of Multiple Facilities and High Production Capacity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operate our business through several facilities. Operating multiple facilities diversifies the risk and impact of operational issues that may occur at a single plant, which gives us a strategic advantage over competitors that operate their company through a single facility. Additionally, our competitive production capacity of our combined plants allows us to decrease manufacturing costs, helping us to achieve enhanced margins.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Agricultural Market Conditions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more detail under “Key Industry Factors” of MD&amp;A, the </w:t>
      </w:r>
      <w:r>
        <w:rPr>
          <w:rFonts w:ascii="Arial" w:cs="Arial" w:eastAsia="Arial" w:hAnsi="Arial"/>
          <w:sz w:val="18"/>
          <w:szCs w:val="18"/>
          <w:color w:val="2E2E2E"/>
        </w:rPr>
        <w:t>price at which our agricultural products are ultimately sold depends on numerous</w:t>
      </w:r>
      <w:r>
        <w:rPr>
          <w:rFonts w:ascii="Arial" w:cs="Arial" w:eastAsia="Arial" w:hAnsi="Arial"/>
          <w:sz w:val="18"/>
          <w:szCs w:val="18"/>
          <w:color w:val="auto"/>
        </w:rPr>
        <w:t xml:space="preserve"> </w:t>
      </w:r>
      <w:r>
        <w:rPr>
          <w:rFonts w:ascii="Arial" w:cs="Arial" w:eastAsia="Arial" w:hAnsi="Arial"/>
          <w:sz w:val="18"/>
          <w:szCs w:val="18"/>
          <w:color w:val="2E2E2E"/>
        </w:rPr>
        <w:t>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Looking forward to 2021, favorable dynamics for U.S. agriculture have translated into higher prices to date for a variety of crops, including corn, which has prompted an increase in demand for fertilizers by farmers seeking to maximize yields in the coming spring planting season. Favorable grower income in 2020, coupled with significant increase in Chinese imports of agricultural commodities, lower ending U.S. corn inventory levels, and drought conditions in South America have pushed commodity prices, including corn, to their highest level in over seven years. According to certain industry sources, the estimated corn acres to be planted in 2021 is between 92 to 94 million. These factors have resulted in a price rally for fertilizers over the last several months which we expect will continue through the spring planting season.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“Our Strategy.”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combined with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2020, we completed a key storage project that will allow us to further maximize our production of HDAN at our El Dorado Facility, which we expect to enable us to achieve higher production, a lower cost per ton and increased sales of that product during periods of more attractive pricing.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develop our market position in these areas by emphasizing high quality products, customer service and technical advice.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an agreement with a third-party purchaser, Coffeyville Resources Nitrogen Fertilizers, LLC, (“CVR”), to market and sell a portion of our UAN. Demand for sales under this agreement is based on the expected needs of the purchaser’s customers. The agreement provides the exclusive right (but not the obligation) to purchase, at market prices, substantially all of the UAN produced at our Pryor Facility. The term of the agreement runs through June 2021, with automatic one-year extensions, subject to a 180-day advance notice of termination from CVR or a 90-day advance notice from us.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most of our agricultural products at the current spot market price in effect at the time of shipment, although we periodically enter into forward sales commitments for some of these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and Mining Market Conditions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more detail under “Key Industry Factors” of MD&amp;A, in our industrial markets, our sales volumes are typically driven by changes in general economic conditions, energy prices, metals market prices and our contractual arrangements with certain large customers. In our mining markets, our sales volumes are typically driven by changes in the overall North American consumption levels of mining products that can be impacted by weather. Additionally, changes in natural gas prices and demand in renewable power sources, such as wind and solar in the electrical generation sector, will impact demand for our mining products and impact competition within the other sectors of this market.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Looking forward to 2021, we are seeing gradual recovery in these end markets. As COVID-19 vaccines are increasingly distributed, demand for our products from sectors like automotive manufacturing and power generation is expected to recover to pre-pandemic levels. We expect strong metals mining prices will drive strong demand for our mining products as producers push to extract as much as possible. As it relates to the coal mining, the U.S. Energy Information Administration (“EIA”) is projecting an increase in production driven by a forecasted increase in natural gas prices for electricity generators, making coal more competitive in the electric power sector.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“Our Strategy.”</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and Mining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industrial and mining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2020, one of our subsidiaries, El Dorado Chemical Company (“EDC”) entered into a contract with a customer to supply nitric acid. Under the agreement, EDC will supply between 70,000 to 100,000 tons of nitric acid annually. The initial contract term began in January 2021 and extends through 2027 but includes automatic one-year renewal terms.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EDC and Koch Fertilizer LLC (“Koch Fertilizer”) are parties to an ammonia purchase and sale agreement, under which Koch Fertilizer agreed to purchase, with minimum purchase requirements, a portion of the ammonia that is in excess of EDC’s internal needs. The term of the agreement runs until June 2022, with annual renewal options thereafter.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We operate the Baytown Facility on behalf of a global chemical company, and we believe it is one of the largest and most technologically advanced nitric acid manufacturing units in the U.S. We operate and maintain this facility pursuant to a long-term operating contract. The term of this agreement runs until June 2022 with options for renewal.</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industrial business competes based upon service, price and location of production and distribution sites, product quality and performance and provides inventory management as part of the value-added services offered to certain customers. See our discussion concerning a new contract to capture and sell carbon dioxide out our El Dorado Facility under “Key Operating Initiatives for 2021” in our MD&amp;A.</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produce and sell LDAN, HDAN and AN solution to the mining industry, which are primarily used as AN fuel oil and specialty emulsions for usage in the quarry and the construction industries, for metals mining, and to a lesser extent, for coal mining. We have signed long-term contracts with certain customers that provide for the annual sale of LDAN, which a portion include various natural-gas-based pricing arrangements. One of our customers has a plant located at our El Dorado Facility.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products we manufacture at our facilities are primarily derived from natural gas. This raw material feedstock is a commodity and subject to price fluctuations. Natural gas is the primary raw material for producing ammonia, UAN, nitric acid and acid blends and other products at our El Dorado, Cherokee and Pryor Facilities. For 2020, we purchased approximately 30.1 million MMBtus of natural gas.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chemical facilities’ natural gas feedstock requirements are generally purchased at spot market price. Periodically, we enter into volume purchase commitments and/or forward contracts to lock in the cost of certain of the expected natural gas requirements primarily to match quantities needed to produce product that has been sold forward. At December 31, 2020, we had natural gas contracts of approximately 11.1 million MMBtus, representing approximately 37% of our annual usage, at an average cost of $2.70 per MMBtu. These contracts extend through December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relating to the outlook for our business under “Key Industry Factors.”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highly competitive market with many other larger chemical companies, such as Austin Powder Company: CF Industries Holdings, Inc., Chemtrade Logistics L.L.C.; Cornerstone Chemical, OCI Partners NV, Dyno Nobel, a subsidiary of Incitec Pivot Limited, The Gavilon Group, Helm AG, Koch Industries, Norfalco, Nutrien, Orica Limited; Praxair, Inc., Quad Chemical Corporation, and Trammo Inc.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“Our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employed 573 persons, 188 of whom are represented by unions under agreements, including agreements being negotiated, that expire in July 2021 through November 2022. We believe we have good relationships with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&amp; Management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success depends on the capabilities and strength of our workforce. Our Human Resources Director is responsible for developing and executing our human capital strategy. This strategy includes the acquisition, development, and retention of talent to deliver on our overall strategy. Our Chief Executive Officer (“CEO”) regularly updates our Board of Directors (“Board”) on the operation and status of these human capital activities including:</w:t>
      </w:r>
    </w:p>
    <w:p>
      <w:pPr>
        <w:spacing w:after="0" w:line="57" w:lineRule="exact"/>
        <w:rPr>
          <w:sz w:val="20"/>
          <w:szCs w:val="20"/>
          <w:color w:val="auto"/>
        </w:rPr>
      </w:pPr>
    </w:p>
    <w:p>
      <w:pPr>
        <w:jc w:val="both"/>
        <w:ind w:left="740" w:hanging="368"/>
        <w:spacing w:after="0" w:line="28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Training &amp; Development </w:t>
      </w:r>
      <w:r>
        <w:rPr>
          <w:rFonts w:ascii="Arial" w:cs="Arial" w:eastAsia="Arial" w:hAnsi="Arial"/>
          <w:sz w:val="17"/>
          <w:szCs w:val="17"/>
          <w:color w:val="auto"/>
        </w:rPr>
        <w:t>– We are committed to the continued development of our employees. Quarterly reviews of operations and talent occur</w:t>
      </w:r>
      <w:r>
        <w:rPr>
          <w:rFonts w:ascii="Arial" w:cs="Arial" w:eastAsia="Arial" w:hAnsi="Arial"/>
          <w:sz w:val="17"/>
          <w:szCs w:val="17"/>
          <w:i w:val="1"/>
          <w:iCs w:val="1"/>
          <w:color w:val="auto"/>
        </w:rPr>
        <w:t xml:space="preserve"> </w:t>
      </w:r>
      <w:r>
        <w:rPr>
          <w:rFonts w:ascii="Arial" w:cs="Arial" w:eastAsia="Arial" w:hAnsi="Arial"/>
          <w:sz w:val="17"/>
          <w:szCs w:val="17"/>
          <w:color w:val="auto"/>
        </w:rPr>
        <w:t>across all operational business units and corporate functions. It is the responsibility of the CEO and the executive staff to review talent data on an annual basis and plan development actions to ensure succession and continuous improvement and growth.</w:t>
      </w:r>
    </w:p>
    <w:p>
      <w:pPr>
        <w:spacing w:after="0" w:line="57" w:lineRule="exact"/>
        <w:rPr>
          <w:rFonts w:ascii="Arial" w:cs="Arial" w:eastAsia="Arial" w:hAnsi="Arial"/>
          <w:sz w:val="17"/>
          <w:szCs w:val="17"/>
          <w:color w:val="auto"/>
        </w:rPr>
      </w:pPr>
    </w:p>
    <w:p>
      <w:pPr>
        <w:jc w:val="both"/>
        <w:ind w:left="7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Engagement </w:t>
      </w:r>
      <w:r>
        <w:rPr>
          <w:rFonts w:ascii="Arial" w:cs="Arial" w:eastAsia="Arial" w:hAnsi="Arial"/>
          <w:sz w:val="18"/>
          <w:szCs w:val="18"/>
          <w:color w:val="auto"/>
        </w:rPr>
        <w:t>– We believe that we have favorable relations with our employees. Approximately 33% of our employees are represented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 bargaining agreements. We take proactive measures, such as conducting employee surveys to understand and drive employee engagement. Additionally, we conduct benefit surveys annually in an effort to ensure that any changes to benefits are improvements or add value for employees. Each of our business units conducts roundtable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left="740"/>
        <w:spacing w:after="0" w:line="277" w:lineRule="auto"/>
        <w:rPr>
          <w:sz w:val="20"/>
          <w:szCs w:val="20"/>
          <w:color w:val="auto"/>
        </w:rPr>
      </w:pPr>
      <w:r>
        <w:rPr>
          <w:rFonts w:ascii="Arial" w:cs="Arial" w:eastAsia="Arial" w:hAnsi="Arial"/>
          <w:sz w:val="18"/>
          <w:szCs w:val="18"/>
          <w:color w:val="auto"/>
        </w:rPr>
        <w:t>discussions to develop action plans to improve the work environment. We have continued to increase our communication efforts with employees, which our workforce has recognized favorably.</w:t>
      </w:r>
    </w:p>
    <w:p>
      <w:pPr>
        <w:spacing w:after="0" w:line="62" w:lineRule="exact"/>
        <w:rPr>
          <w:sz w:val="20"/>
          <w:szCs w:val="20"/>
          <w:color w:val="auto"/>
        </w:rPr>
      </w:pPr>
    </w:p>
    <w:p>
      <w:pPr>
        <w:jc w:val="both"/>
        <w:ind w:left="740" w:hanging="368"/>
        <w:spacing w:after="0" w:line="273"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Health and Safety </w:t>
      </w:r>
      <w:r>
        <w:rPr>
          <w:rFonts w:ascii="Arial" w:cs="Arial" w:eastAsia="Arial" w:hAnsi="Arial"/>
          <w:sz w:val="17"/>
          <w:szCs w:val="17"/>
          <w:color w:val="auto"/>
        </w:rPr>
        <w:t>– Our Health and Safety Management System continues to build to establish a consistent approach to enhance the work</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 and culture at each business unit. This system is guided by a newly formed executive committee that provides focus and priority to compliance and industry best practices that protect our employees while performing work within our operations. Each business team is responsible for evaluating its unique operations and applying the defined controls to engage employees and manage injury risk. We use leading and lagging metrics, such as near miss tracking, assigning potential risk consequences to events, incident tracking, and releases to monitor our performance and effectiveness across our operations and individual business teams.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Like many other companies, we have experienced challenges resulting from the COVID-19 pandemic and have focused energy and effort on protecting our employees and their families from potential virus exposure while continuing safe and compliant operations. Since the beginning of the pandemic, we established detailed plans and protocols, executed remote work arrangements, and increased communication to employees. To date, our focused actions, which have aligned with the guidance from the Centers for Disease Control and Prevention, have not resulted in any work stoppage.</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Government Laws and Regulations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facilities and operations are subject to numerous federal, state and local laws and regulations, including matters regarding environmental, health and safety, many of which provide for certain performance obligations, substantial fines and criminal sanctions for violations. Certain of these laws and regulations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These laws and regulations (including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these laws and regulations and are reasonably expected to do so in the future. We will also be obligated to manage certain discharge water outlets and monitor groundwater contaminants at our chemical facilities should we discontinue the operations of a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discussions concerning our risk factors under Item 1A of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available free of charge through our Internet website (</w:t>
      </w:r>
      <w:r>
        <w:rPr>
          <w:rFonts w:ascii="Arial" w:cs="Arial" w:eastAsia="Arial" w:hAnsi="Arial"/>
          <w:sz w:val="18"/>
          <w:szCs w:val="18"/>
          <w:u w:val="single" w:color="auto"/>
          <w:color w:val="auto"/>
        </w:rPr>
        <w:t>www.lsbindustries.com</w:t>
      </w:r>
      <w:r>
        <w:rPr>
          <w:rFonts w:ascii="Arial" w:cs="Arial" w:eastAsia="Arial" w:hAnsi="Arial"/>
          <w:sz w:val="18"/>
          <w:szCs w:val="18"/>
          <w:color w:val="auto"/>
        </w:rPr>
        <w:t>) or by calling Investor Relations (212) 836-9607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directors, officers, and beneficial owners of more than 10% of our common stock to file with the SEC reports of holdings and changes in beneficial ownership of our stock. Based solely on a review of copies of the Forms 3, 4 and 5 furnished to us with respect to 2020, or written representations that no Form 5 was required to be filed, we believe that during 2020 all our directors and officers and beneficial owners of more than 10% of our common stock timely filed their required Forms 3, 4, or 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Liquidity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to service our debt and may be required to take other actions to satisfy the obligations under our debt agreements or to redeem our preferred stock, which may not be successful.</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make scheduled payments on our debt obligations and our ability to satisfy the redemption obligations for our Series E cumulative redeemable Class C preferred stock (“Series E Redeemable Preferred”)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$435 million principal amount of our Senior Secured Notes (the “Senior Secured Notes”), or the outstanding amount of the Working Capital Revolver Loan or to pay the cumulative dividends and redemption payment on the Series E Redeemable Preferred should the holder choose to redeem it on or after October 25, 2023, that applicable optional redemption date with respect thereto.</w:t>
      </w:r>
    </w:p>
    <w:p>
      <w:pPr>
        <w:spacing w:after="0" w:line="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cash flows and capital resources are insufficient to fund our debt, dividend or preferred stock redemption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or redeemable equity. These alternative measures may not be successful, may not be completed on economically attractive terms, or may not be adequate for us to meet our debt or preferred stock redemption obligations when due. Additionally, our debt agreements and the operating agreements associated with our Series E Redeemable Preferred limit the use of the proceeds from many dispositions of assets or operations. As a result, we may not be permitted to use the proceeds from these dispositions to satisfy our debt or preferred stock redemption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indebtedness level, including dividend requirements relating to our preferred stock, could limit our financial and operating activities, and adversely affect our ability to incur additional debt to fund future needs.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substantial amount of indebtedness, as well as dividend and redemption requirements relating to our preferred stock. As a result, this level could, among other things:</w:t>
      </w:r>
    </w:p>
    <w:p>
      <w:pPr>
        <w:spacing w:after="0" w:line="62" w:lineRule="exact"/>
        <w:rPr>
          <w:sz w:val="20"/>
          <w:szCs w:val="20"/>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the payment of principal, interest and dividends, thereby reducing the funds available for operations and future business opportunities;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w:t>
      </w:r>
    </w:p>
    <w:p>
      <w:pPr>
        <w:spacing w:after="0" w:line="9"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ind w:left="1000" w:hanging="493"/>
        <w:spacing w:after="0" w:line="26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affect our ability to obtain financing in the future and increase the cost of such financing.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liquidity, operating results and financial condition.</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debt agreements and our preferred stock contain covenants and restrictions that could restrict or limit our financial and business operations.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debt agreements and our preferred stock contain various covenants and other restrictions that, among other things, limit flexibility in operating our businesses. A breach of any of these covenants or restrictions could result in a significant portion of our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becoming due and payable or could result in significant contractual liability. These covenants and other restrictions limit our ability to, among other things:</w:t>
      </w:r>
    </w:p>
    <w:p>
      <w:pPr>
        <w:spacing w:after="0" w:line="140"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make other restricted payments;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 make investments;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Working Capital Revolver Loan also contains certain affirmative covenants and requires the borrowers to comply with a fixed charge coverage ratio (as defined in the Working Capital Revolver Loan) if their excess availability (as defined in the Working Capital Revolver Loan) falls below a certain level.</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certain failures to make payments when due on, or the acceleration of, significant indebtedness constitutes a default under some of our debt instruments, including the indenture governing the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age of our chemical manufacturing facilities increases the risk for unplanned downtime, which may be significant.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liquidity, operating results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34"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Pandemics or disease outbreaks, such as COVID-19, have and may in the future disrupt our business, which could adversely affect our financial performance.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has evolved into a global pandemic and the full extent of its impact will depend on future developments that are uncertain and cannot be accurately predicted, including new information that may emerge concerning the COVID-19 pandemic and the actions to contain the COVID-19 pandemic or treat its impact. Currently, all of the facilities we own and operate have been designated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and therefore, our facilities are remaining in operation despite the evolving global health crisis resulting from the COVID-19 pandemic. However, if additional mandatory closures of businesses are imposed by the federal, state and local governments to control the spread of the virus, these closures could disrupt the operations of our management, business and finance teams. In addition, a significant downturn in global economic growth, or recessionary conditions in major geographic regions, may lead to reduced demand for a portion or all our products. Legislative, regulatory, judicial or social influences related to the COVID-19 pandemic may affect our financial performance and our ability to conduct our business.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an extended period of remote work arrangements due to the COVID-19 pandemic could exacerbate cybersecurity risks. Our business depends on the proper functioning and availability of our information technology platform, including communications and data processing systems. We are also required to effect electronic transmissions with third parties including clients, vendors and others with whom we do business, and with our Board. We believe we have implemented appropriate security measures, controls and procedures to safeguard our information technology systems and to prevent unauthorized access to such systems and any data processed or stored in such systems, and we periodically evaluate and test the adequacy of such systems, measures, controls and procedures and perform third-party risk assessments; however, there can be no guarantee that such systems, measures, controls and procedures will be effective, that we will be able to establish secure capabilities with all of third parties, or that third parties will have appropriate controls in place to protect the confidentiality of our information. Security breaches could expose us to a risk of loss or misuse of our information, litigation and potential liability.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COVID-19 pandemic continues to impact communities, our business operations could be disrupted or delayed, and our business, financial condition, and results of operations could be adversely affected.</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Terrorist attacks and other acts of violence or war, and natural disasters (such as hurricanes, etc.), have negatively affected and could negatively affect U.S. and foreign companies, the financial markets, the industries where we operate, our operations and our profitability.</w:t>
      </w:r>
    </w:p>
    <w:p>
      <w:pPr>
        <w:spacing w:after="0" w:line="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Terrorist attacks in the U.S and elsewhere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business, financial condition and results of operations.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major factor underlying the current high level of demand for our nitrogen-based fertilizer products is the production of ethanol. A decrease in ethanol production or an increase in ethanol imports could have a material adverse effect on our results of operations, financial condition and ability to make cash distributions.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 Therefore, a decrease in ethanol production or an increase in ethanol imports could have a material adverse effect on our overall business, results of operations, financial condition and liquidity.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reliant on a limited number of key facilities.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nitrogen production is concentrated in four separate complexes. The suspension of operations at any of these complexes could adversely affect our ability to produce our products and fulfill our commitments and could have a material adverse effect on liquidity, financial condition, results of operations and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Seasonality can adversely affect 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be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could adversely affect our operating results, liquidity, financial condition and capital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of imported agricultural products could adversely affect our business.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Russia and Ukraine both have substantial capacity to produce and export fertilizers. Producers in these countries also benefit from below-market prices for natural gas, due to government regulation and other factors. Imports into the U.S. from those countries has increased over the last twelve months.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is dependent upon a limited number of customers.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2020, eight customers accounted for approximately 42% of our consolidated net sales. The loss of, or a material reduction in purchase levels by, one or more of these customers could have a material adverse effect on our business, results of operations, financial condition and liquidity if we are unable to replace a customer with other sales on substantially similar terms.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our customers from time-to-time,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business, financial condition, liquidity and results of operations.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of natural gas in North America and worldwide has been volatile in recent years and has declined on average due in part to the development of significant natural gas reserves, including shale gas, and the rapid improvement in shale gas extraction techniques, such as hydraulic fracturing and horizontal drilling.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business,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involving derivatives and the risk that our hedging activities might not be effective.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utilize natural gas derivatives to hedge our financial exposure to the price volatility of natural gas, the principal raw material used in the production of nitrogen-based products. We may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spacing w:after="0" w:line="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transportation and distribution activities rely on third-party providers, which subject us to risks and uncertainties beyond our control that may adversely affect our operations.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technological innovation could affect our business.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 risks could adversely affect our business.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continue to increase our dependence on information technologies to conduct our operations, including as a result of remote work environments due to COVID-19, the risks associated with cyber security also increase. We rely on our enterprise resource planning software (“ERP”) and other information systems, among other things, to manage our manufacturing, supply chain, accounting and financial functions. Additionally, third parties on whose systems we place significant reliance for the conduct of our business are also subject to cyber security risks.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business, results of operations, liquidity and financial condition.</w:t>
      </w:r>
    </w:p>
    <w:p>
      <w:pPr>
        <w:spacing w:after="0" w:line="53"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Legal, Regulatory and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and the production and handling of our products involve significant risks and hazards.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can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leaks from our equipment. Similar events may occur in the future. As a result, such events could have a material adverse effect on our results of operations and financial condition.</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adequate insurance.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8 to the Consolidated Financial Statements included in this report.</w:t>
      </w:r>
    </w:p>
    <w:p>
      <w:pPr>
        <w:spacing w:after="0" w:line="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U.S. Environmental Protection Agency (“EPA”) finalized revisions to its Risk Management Program (“RMP”).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will be required beginning in 2021. The EPA temporarily delayed the rule’s effective date however, the delay was subsequently vacated with an immediate effective date. On December 3, 2018, the EPA published a final rule that incorporates amendments to the RMP under 40 CFR Part 68. However, on November 21, 2019, EPA finalized its Risk Management Program Reconsideration Rule which rescinded third-party auditing, incident investigation and root cause analysis, and the public sharing of specific chemical and process information. The passage of the Reconsideration Rule has reduced the potential negative effect on the profitability of our AN business compared to the January 2017 RMP amendments. The Occupational Safety and Health Administration (“OSHA”)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75"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Debt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agreements relating to our debt, including the Senior Secured Notes Indenture and the credit agreement governing our Working Capital Revolver Loan, limit but do not prohibit our ability to incur additional debt, including additional secured debt. Notwithstanding the fact that the Senior Secured Notes Indenture and the credit agreement governing our Working Capital Revolver Loan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Borrowings under our Working Capital Revolver Loan bear interest at a variable rate, which subjects us to interest rate risk and could cause our debt service obligations to increase.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borrowings under our Working Capital Revolver Loan are at variable rates of interest and expose us to interest rate risk. If interest rates increase, our debt service obligations on this variable rate indebtedness would increase even though the amount borrowed remained the same. Although we may enter into interest rate swaps to reduce interest rate volatility, we cannot provide assurances that we will be able to do so or that such swaps will be effective.</w:t>
      </w:r>
    </w:p>
    <w:p>
      <w:pPr>
        <w:spacing w:after="0" w:line="75"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performance has been and will continue to be dependent upon the efforts of our principal executive officers. We cannot ensure that our principal executive officers will continue to be available. Although we have employment agreements with certain of our principal executive officers, including Mark T. Behrman and Cheryl A. Maguire, we do not have employment agreements with all of our key personnel. The loss of any of our principal executive officers could have a material adverse effect on us. We believe that our future success will depend in large part on our continued ability to attract and retain highly skilled and qualified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collective bargaining agreements with certain employees.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Approximately 33%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spacing w:after="0" w:line="45"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our stockholders control a significant amount of our voting stock, and their interests could conflict with interests of other stockholders.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Funding LLC (“LSB Funding”), our largest voting shareholder, owned 4,069,324 shares of common stock and one share of Series F redeemable Class C preferred stock (the “Series F Redeemable Preferred”), which has voting rights equal to 456,225 shares of common stock, which together represents approximately 15.3% of the voting power of our common stock and the Series F Redeemable Preferred as of December 31, 2020.</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E. Golsen (“J. Golsen”), Barry H. Golsen and certain of their related parties (collectively, the “Golsen Holders”) owned as of December 31, 2020, an aggregate of 2,531,810 shares of our common stock and 686,855 shares of our voting preferred stock (673,360 of which shares have 0.875 votes per share, or 589,190 votes), which together vote as a class and represent approximately 10.5% of the voting power (prior to conversion of the shares of voting preferred) of our issued and outstanding voting securities as of that date. The series of preferred represented by the 13,495 shares of voting preferred is convertible into an aggregate of 449,835 shares of our common stock.</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a Board Representation and Standstill Agreement, as amended, entered into in connection with LSB Funding’s purchase of preferred stock in, LSB Funding has the right to designate two directors on our Board, and the Golsen Holders have the right to appoint two directors on our Board, subject to reduction in each case in certain circumstances. This is in addition to their ability to vote generally in the election of directors. As a result, each of LSB Funding and the Golsen Holders have significant influence over the election of directors to our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right="20"/>
        <w:spacing w:after="0" w:line="263" w:lineRule="auto"/>
        <w:rPr>
          <w:sz w:val="20"/>
          <w:szCs w:val="20"/>
          <w:color w:val="auto"/>
        </w:rPr>
      </w:pPr>
      <w:r>
        <w:rPr>
          <w:rFonts w:ascii="Arial" w:cs="Arial" w:eastAsia="Arial" w:hAnsi="Arial"/>
          <w:sz w:val="18"/>
          <w:szCs w:val="18"/>
          <w:color w:val="auto"/>
        </w:rPr>
        <w:t>The interests of LSB Funding and the Golsen Holders may conflict with interests of other stockholders (as well as with each other). As a result of the voting power and board designation rights of LSB Funding and the Golsen Holders, the ability of other stockholders to influence our management and policies could be limited.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authorized and unissued (including shares held in treasury) 45,791,355 shares of common stock and 4,090,231 shares of preferred stock as of December 31, 2020. These unissued shares could be used by our management to make it more difficult, and thereby discourage an attempt to acquire control of us.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third-party tender offer, proxy contest, or other attempts to acquire control of us.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62" w:lineRule="exact"/>
        <w:rPr>
          <w:sz w:val="20"/>
          <w:szCs w:val="20"/>
          <w:color w:val="auto"/>
        </w:rPr>
      </w:pPr>
    </w:p>
    <w:p>
      <w:pPr>
        <w:ind w:left="1000" w:hanging="493"/>
        <w:spacing w:after="0" w:line="25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such time the Board of the corporation approved the business combination that results in the stockholder becoming an invested stockholder;</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two-thirds of the stockholders, other than the acquirer, vote to approve the business combination after approval thereof by the Board; or</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dividends on our outstanding common stock in many years.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 Although our Board of Directors (the “Board”) has not made a decision whether or not to pay dividends on our common stock in 2021, it is unlikely we will pay dividends on our common stock until we have repaid or refinanced our debt and our preferred stock. In addition, there are certain limitations contained in our loan and securities purchase agreements that may limit our ability to pay dividends on our outstanding common stock.</w:t>
      </w:r>
    </w:p>
    <w:p>
      <w:pPr>
        <w:spacing w:after="0" w:line="7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sales of substantial amounts of our common stock, preferred stock or equity-related securities in the public market, or the issuance of a substantial amount of our common stock as the result of the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and voting power of our existing common stockholders.</w:t>
      </w:r>
    </w:p>
    <w:p>
      <w:pPr>
        <w:spacing w:after="0" w:line="83"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Deterioration of global market and economic conditions could have a material adverse effect on our business, financial condition, results of operations and cash flow.</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70"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belief that competition is based upon service, price, location of production and distribution sites, and product quality and performance;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volumes at our production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the ongoing COVID-19 pandemic and relate response;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6"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described in “Risk Factors” contained in this report.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Arkansas Department of Environmental Quality.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Ammonium nitrate.</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Asset retirement obligation.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Accounting Standard Update.</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Board of Directors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A consent administrative order.</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Coronavirus Aid, Relief, and Economic Security Act.</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CEO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Chevron Environmental Management Company.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novel coronavirus disease of 2019.</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Coffeyville Resources Nitrogen Fertilizers,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DD&amp;A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Depreciation, depletion and amortization.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DEF</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Diesel Exhaust Fluid.</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DHS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U.S. Department of Homeland Security.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El Dorado Ammonia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El Dorado Chemical Company.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El Dorado Nitrogen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U.S. Energy Information Administration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w w:val="98"/>
              </w:rPr>
              <w:t>Environmental and Health Laws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U.S. Environmental Protection Agency.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Environmental Use Control.</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U.S. Generally Accepted Accounting Principles.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83"/>
        </w:trPr>
        <w:tc>
          <w:tcPr>
            <w:tcW w:w="270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w w:val="98"/>
              </w:rPr>
              <w:t>-   Jack E. Golsen, Barry H. Golsen and certain of their related parties identified as beneficial owners of our</w:t>
            </w:r>
          </w:p>
        </w:tc>
      </w:tr>
      <w:tr>
        <w:trPr>
          <w:trHeight w:val="230"/>
        </w:trPr>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securities.</w:t>
            </w:r>
          </w:p>
        </w:tc>
      </w:tr>
      <w:tr>
        <w:trPr>
          <w:trHeight w:val="432"/>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80" w:type="dxa"/>
            <w:vAlign w:val="bottom"/>
          </w:tcPr>
          <w:p>
            <w:pPr>
              <w:ind w:left="2480"/>
              <w:spacing w:after="0"/>
              <w:rPr>
                <w:sz w:val="20"/>
                <w:szCs w:val="20"/>
                <w:color w:val="auto"/>
              </w:rPr>
            </w:pPr>
            <w:r>
              <w:rPr>
                <w:rFonts w:ascii="Arial" w:cs="Arial" w:eastAsia="Arial" w:hAnsi="Arial"/>
                <w:sz w:val="18"/>
                <w:szCs w:val="18"/>
                <w:color w:val="auto"/>
              </w:rPr>
              <w:t>22</w:t>
            </w:r>
          </w:p>
        </w:tc>
      </w:tr>
      <w:tr>
        <w:trPr>
          <w:trHeight w:val="115"/>
        </w:trPr>
        <w:tc>
          <w:tcPr>
            <w:tcW w:w="2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c>
          <w:tcPr>
            <w:tcW w:w="560" w:type="dxa"/>
            <w:vAlign w:val="bottom"/>
          </w:tcPr>
          <w:p>
            <w:pPr>
              <w:spacing w:after="0"/>
              <w:rPr>
                <w:sz w:val="20"/>
                <w:szCs w:val="20"/>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High density ammonium nitrate prills used in the agricultural industry.</w:t>
            </w:r>
          </w:p>
        </w:tc>
        <w:tc>
          <w:tcPr>
            <w:tcW w:w="560" w:type="dxa"/>
            <w:vAlign w:val="bottom"/>
          </w:tcPr>
          <w:p>
            <w:pPr>
              <w:spacing w:after="0"/>
              <w:rPr>
                <w:sz w:val="24"/>
                <w:szCs w:val="24"/>
                <w:color w:val="auto"/>
              </w:rPr>
            </w:pP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Interim Loan</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A loan agreement between EDC and a lender with up to $7.5 million of available borrowing</w:t>
            </w:r>
          </w:p>
        </w:tc>
        <w:tc>
          <w:tcPr>
            <w:tcW w:w="560" w:type="dxa"/>
            <w:vAlign w:val="bottom"/>
          </w:tcPr>
          <w:p>
            <w:pPr>
              <w:jc w:val="right"/>
              <w:spacing w:after="0"/>
              <w:rPr>
                <w:sz w:val="20"/>
                <w:szCs w:val="20"/>
                <w:color w:val="auto"/>
              </w:rPr>
            </w:pPr>
            <w:r>
              <w:rPr>
                <w:rFonts w:ascii="Arial" w:cs="Arial" w:eastAsia="Arial" w:hAnsi="Arial"/>
                <w:sz w:val="18"/>
                <w:szCs w:val="18"/>
                <w:color w:val="auto"/>
              </w:rPr>
              <w:t>for the</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construction of certain equipment.</w:t>
            </w:r>
          </w:p>
        </w:tc>
        <w:tc>
          <w:tcPr>
            <w:tcW w:w="560" w:type="dxa"/>
            <w:vAlign w:val="bottom"/>
          </w:tcPr>
          <w:p>
            <w:pPr>
              <w:spacing w:after="0"/>
              <w:rPr>
                <w:sz w:val="20"/>
                <w:szCs w:val="20"/>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Interim Loan Period</w:t>
            </w:r>
          </w:p>
        </w:tc>
        <w:tc>
          <w:tcPr>
            <w:tcW w:w="8900" w:type="dxa"/>
            <w:vAlign w:val="bottom"/>
            <w:gridSpan w:val="3"/>
          </w:tcPr>
          <w:p>
            <w:pPr>
              <w:ind w:left="540"/>
              <w:spacing w:after="0"/>
              <w:rPr>
                <w:sz w:val="20"/>
                <w:szCs w:val="20"/>
                <w:color w:val="auto"/>
              </w:rPr>
            </w:pPr>
            <w:r>
              <w:rPr>
                <w:rFonts w:ascii="Arial" w:cs="Arial" w:eastAsia="Arial" w:hAnsi="Arial"/>
                <w:sz w:val="18"/>
                <w:szCs w:val="18"/>
                <w:color w:val="auto"/>
                <w:w w:val="95"/>
              </w:rPr>
              <w:t>-   The time period covered by the Interim Loan for certain equipment construction between EDC and a lender.</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IRS</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U.S. Internal Revenue Service.</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J. Golsen</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Jack E. Golsen.</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The Kansas Department of Health and Environment.</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Koch Fertilizer</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Koch Fertilizer L.L.C.</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Low density ammonium nitrate prills used in the mining industry.</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Leidos Constructors L.L.C.</w:t>
            </w:r>
          </w:p>
        </w:tc>
        <w:tc>
          <w:tcPr>
            <w:tcW w:w="560" w:type="dxa"/>
            <w:vAlign w:val="bottom"/>
          </w:tcPr>
          <w:p>
            <w:pPr>
              <w:spacing w:after="0"/>
              <w:rPr>
                <w:sz w:val="24"/>
                <w:szCs w:val="24"/>
                <w:color w:val="auto"/>
              </w:rPr>
            </w:pP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w w:val="98"/>
              </w:rPr>
              <w:t>-   The Series E Redeemable Preferred liquidation preference of $1,000 per share plus accrued and</w:t>
            </w:r>
          </w:p>
        </w:tc>
        <w:tc>
          <w:tcPr>
            <w:tcW w:w="560" w:type="dxa"/>
            <w:vAlign w:val="bottom"/>
          </w:tcPr>
          <w:p>
            <w:pPr>
              <w:jc w:val="right"/>
              <w:spacing w:after="0"/>
              <w:rPr>
                <w:sz w:val="20"/>
                <w:szCs w:val="20"/>
                <w:color w:val="auto"/>
              </w:rPr>
            </w:pPr>
            <w:r>
              <w:rPr>
                <w:rFonts w:ascii="Arial" w:cs="Arial" w:eastAsia="Arial" w:hAnsi="Arial"/>
                <w:sz w:val="18"/>
                <w:szCs w:val="18"/>
                <w:color w:val="auto"/>
                <w:w w:val="99"/>
              </w:rPr>
              <w:t>unpaid</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dividends plus the participation rights value.</w:t>
            </w:r>
          </w:p>
        </w:tc>
        <w:tc>
          <w:tcPr>
            <w:tcW w:w="560" w:type="dxa"/>
            <w:vAlign w:val="bottom"/>
          </w:tcPr>
          <w:p>
            <w:pPr>
              <w:spacing w:after="0"/>
              <w:rPr>
                <w:sz w:val="20"/>
                <w:szCs w:val="20"/>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LSB Industries, Inc.</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LSB Funding L.L.C.</w:t>
            </w:r>
          </w:p>
        </w:tc>
        <w:tc>
          <w:tcPr>
            <w:tcW w:w="560" w:type="dxa"/>
            <w:vAlign w:val="bottom"/>
          </w:tcPr>
          <w:p>
            <w:pPr>
              <w:spacing w:after="0"/>
              <w:rPr>
                <w:sz w:val="24"/>
                <w:szCs w:val="24"/>
                <w:color w:val="auto"/>
              </w:rPr>
            </w:pP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900" w:type="dxa"/>
            <w:vAlign w:val="bottom"/>
            <w:gridSpan w:val="3"/>
          </w:tcPr>
          <w:p>
            <w:pPr>
              <w:ind w:left="540"/>
              <w:spacing w:after="0"/>
              <w:rPr>
                <w:sz w:val="20"/>
                <w:szCs w:val="20"/>
                <w:color w:val="auto"/>
              </w:rPr>
            </w:pPr>
            <w:r>
              <w:rPr>
                <w:rFonts w:ascii="Arial" w:cs="Arial" w:eastAsia="Arial" w:hAnsi="Arial"/>
                <w:sz w:val="18"/>
                <w:szCs w:val="18"/>
                <w:color w:val="auto"/>
                <w:w w:val="95"/>
              </w:rPr>
              <w:t>-   Management’s Discussion and Analysis of Financial Condition and Results of Operations found in Item 7 of</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this report.</w:t>
            </w:r>
          </w:p>
        </w:tc>
        <w:tc>
          <w:tcPr>
            <w:tcW w:w="560" w:type="dxa"/>
            <w:vAlign w:val="bottom"/>
          </w:tcPr>
          <w:p>
            <w:pPr>
              <w:spacing w:after="0"/>
              <w:rPr>
                <w:sz w:val="20"/>
                <w:szCs w:val="20"/>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The notes issued on June 21, 2019 with an interest rate of 9.625%, which mature in May 2023.</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NOL</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Net Operating Loss.</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A note in the accompanying notes to the consolidated financial statements.</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The notes issued on April 28, 2018 with an interest rate of 9.625%, which mature in May 2023.</w:t>
            </w:r>
          </w:p>
        </w:tc>
        <w:tc>
          <w:tcPr>
            <w:tcW w:w="560" w:type="dxa"/>
            <w:vAlign w:val="bottom"/>
          </w:tcPr>
          <w:p>
            <w:pPr>
              <w:spacing w:after="0"/>
              <w:rPr>
                <w:sz w:val="24"/>
                <w:szCs w:val="24"/>
                <w:color w:val="auto"/>
              </w:rPr>
            </w:pPr>
          </w:p>
        </w:tc>
      </w:tr>
      <w:tr>
        <w:trPr>
          <w:trHeight w:val="351"/>
        </w:trPr>
        <w:tc>
          <w:tcPr>
            <w:tcW w:w="234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National Pollutant Discharge Elimination.</w:t>
            </w:r>
          </w:p>
        </w:tc>
        <w:tc>
          <w:tcPr>
            <w:tcW w:w="560" w:type="dxa"/>
            <w:vAlign w:val="bottom"/>
          </w:tcPr>
          <w:p>
            <w:pPr>
              <w:spacing w:after="0"/>
              <w:rPr>
                <w:sz w:val="24"/>
                <w:szCs w:val="24"/>
                <w:color w:val="auto"/>
              </w:rPr>
            </w:pPr>
          </w:p>
        </w:tc>
      </w:tr>
      <w:tr>
        <w:trPr>
          <w:trHeight w:val="266"/>
        </w:trPr>
        <w:tc>
          <w:tcPr>
            <w:tcW w:w="2340" w:type="dxa"/>
            <w:vAlign w:val="bottom"/>
          </w:tcPr>
          <w:p>
            <w:pPr>
              <w:spacing w:after="0"/>
              <w:rPr>
                <w:sz w:val="20"/>
                <w:szCs w:val="20"/>
                <w:color w:val="auto"/>
              </w:rPr>
            </w:pPr>
            <w:r>
              <w:rPr>
                <w:rFonts w:ascii="Arial" w:cs="Arial" w:eastAsia="Arial" w:hAnsi="Arial"/>
                <w:sz w:val="18"/>
                <w:szCs w:val="18"/>
                <w:b w:val="1"/>
                <w:bCs w:val="1"/>
                <w:color w:val="auto"/>
              </w:rPr>
              <w:t>NPK</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7"/>
                <w:szCs w:val="17"/>
                <w:color w:val="auto"/>
                <w:w w:val="95"/>
              </w:rPr>
              <w:t>Compound fertilizer products which are a solid granular fertilizer product for which the nutrient content is a</w:t>
            </w:r>
          </w:p>
        </w:tc>
        <w:tc>
          <w:tcPr>
            <w:tcW w:w="560" w:type="dxa"/>
            <w:vAlign w:val="bottom"/>
          </w:tcPr>
          <w:p>
            <w:pPr>
              <w:spacing w:after="0"/>
              <w:rPr>
                <w:sz w:val="23"/>
                <w:szCs w:val="23"/>
                <w:color w:val="auto"/>
              </w:rPr>
            </w:pPr>
          </w:p>
        </w:tc>
      </w:tr>
      <w:tr>
        <w:trPr>
          <w:trHeight w:val="216"/>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20" w:type="dxa"/>
            <w:vAlign w:val="bottom"/>
          </w:tcPr>
          <w:p>
            <w:pPr>
              <w:ind w:left="100"/>
              <w:spacing w:after="0"/>
              <w:rPr>
                <w:sz w:val="20"/>
                <w:szCs w:val="20"/>
                <w:color w:val="auto"/>
              </w:rPr>
            </w:pPr>
            <w:r>
              <w:rPr>
                <w:rFonts w:ascii="Arial" w:cs="Arial" w:eastAsia="Arial" w:hAnsi="Arial"/>
                <w:sz w:val="17"/>
                <w:szCs w:val="17"/>
                <w:color w:val="auto"/>
              </w:rPr>
              <w:t>combination of nitrogen, phosphorus, and potassium.</w:t>
            </w:r>
          </w:p>
        </w:tc>
        <w:tc>
          <w:tcPr>
            <w:tcW w:w="560" w:type="dxa"/>
            <w:vAlign w:val="bottom"/>
          </w:tcPr>
          <w:p>
            <w:pPr>
              <w:spacing w:after="0"/>
              <w:rPr>
                <w:sz w:val="18"/>
                <w:szCs w:val="18"/>
                <w:color w:val="auto"/>
              </w:rPr>
            </w:pPr>
          </w:p>
        </w:tc>
      </w:tr>
      <w:tr>
        <w:trPr>
          <w:trHeight w:val="301"/>
        </w:trPr>
        <w:tc>
          <w:tcPr>
            <w:tcW w:w="234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The Oklahoma Department of Environmental Quality.</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OSHA</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Occupational Safety and Health Administration.</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Permit Appeal Resolution</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PBRS</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Performance-based restricted stock.</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Pryor Chemical Company.</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Plant, property and equipment.</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PPP</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Paycheck Protection Program</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Our chemical production facility located in Pryor, Oklahoma.</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LSB Funding L.L.C.</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Retirement Date</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Date of retirement of Jack E. Golsen as Executive Chairman of the Board, December 31, 2017.</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RFS</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Federal renewable fuel standards.</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RMP</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Risk Management Program.</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RSU</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7620" w:type="dxa"/>
            <w:vAlign w:val="bottom"/>
          </w:tcPr>
          <w:p>
            <w:pPr>
              <w:ind w:left="100"/>
              <w:spacing w:after="0"/>
              <w:rPr>
                <w:sz w:val="20"/>
                <w:szCs w:val="20"/>
                <w:color w:val="auto"/>
              </w:rPr>
            </w:pPr>
            <w:r>
              <w:rPr>
                <w:rFonts w:ascii="Arial" w:cs="Arial" w:eastAsia="Arial" w:hAnsi="Arial"/>
                <w:sz w:val="18"/>
                <w:szCs w:val="18"/>
                <w:color w:val="auto"/>
              </w:rPr>
              <w:t>Restricted stock unit.</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SBA</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U.S. Small Business Administration.</w:t>
            </w:r>
          </w:p>
        </w:tc>
        <w:tc>
          <w:tcPr>
            <w:tcW w:w="56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340" w:type="dxa"/>
            <w:vAlign w:val="bottom"/>
            <w:gridSpan w:val="2"/>
          </w:tcPr>
          <w:p>
            <w:pPr>
              <w:ind w:left="540"/>
              <w:spacing w:after="0"/>
              <w:rPr>
                <w:sz w:val="20"/>
                <w:szCs w:val="20"/>
                <w:color w:val="auto"/>
              </w:rPr>
            </w:pPr>
            <w:r>
              <w:rPr>
                <w:rFonts w:ascii="Arial" w:cs="Arial" w:eastAsia="Arial" w:hAnsi="Arial"/>
                <w:sz w:val="18"/>
                <w:szCs w:val="18"/>
                <w:color w:val="auto"/>
              </w:rPr>
              <w:t>-   The U.S. Securities and Exchange Commission.</w:t>
            </w:r>
          </w:p>
        </w:tc>
        <w:tc>
          <w:tcPr>
            <w:tcW w:w="56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20" w:type="dxa"/>
            <w:vAlign w:val="bottom"/>
          </w:tcPr>
          <w:p>
            <w:pPr>
              <w:ind w:left="248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4"/>
                <w:szCs w:val="24"/>
                <w:color w:val="auto"/>
              </w:rPr>
            </w:pPr>
          </w:p>
        </w:tc>
      </w:tr>
      <w:tr>
        <w:trPr>
          <w:trHeight w:val="115"/>
        </w:trPr>
        <w:tc>
          <w:tcPr>
            <w:tcW w:w="2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3" w:name="page24"/>
    <w:bookmarkEnd w:id="23"/>
    <w:p>
      <w:pPr>
        <w:spacing w:after="0"/>
        <w:tabs>
          <w:tab w:leader="none" w:pos="2860" w:val="left"/>
          <w:tab w:leader="none" w:pos="3140" w:val="left"/>
        </w:tabs>
        <w:rPr>
          <w:sz w:val="20"/>
          <w:szCs w:val="20"/>
          <w:color w:val="auto"/>
        </w:rPr>
      </w:pPr>
      <w:r>
        <w:rPr>
          <w:rFonts w:ascii="Arial" w:cs="Arial" w:eastAsia="Arial" w:hAnsi="Arial"/>
          <w:sz w:val="18"/>
          <w:szCs w:val="18"/>
          <w:b w:val="1"/>
          <w:bCs w:val="1"/>
          <w:color w:val="auto"/>
        </w:rPr>
        <w:t>Secured Financing due 2023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secured financing arrangement between EDC and an affiliate of LSB Funding L.L.C. which matures in June</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2023.</w:t>
      </w:r>
    </w:p>
    <w:p>
      <w:pPr>
        <w:spacing w:after="0" w:line="72" w:lineRule="exact"/>
        <w:rPr>
          <w:sz w:val="20"/>
          <w:szCs w:val="20"/>
          <w:color w:val="auto"/>
        </w:rPr>
      </w:pPr>
    </w:p>
    <w:p>
      <w:pPr>
        <w:spacing w:after="0"/>
        <w:tabs>
          <w:tab w:leader="none" w:pos="2860" w:val="left"/>
          <w:tab w:leader="none" w:pos="3140" w:val="left"/>
        </w:tabs>
        <w:rPr>
          <w:sz w:val="20"/>
          <w:szCs w:val="20"/>
          <w:color w:val="auto"/>
        </w:rPr>
      </w:pPr>
      <w:r>
        <w:rPr>
          <w:rFonts w:ascii="Arial" w:cs="Arial" w:eastAsia="Arial" w:hAnsi="Arial"/>
          <w:sz w:val="18"/>
          <w:szCs w:val="18"/>
          <w:b w:val="1"/>
          <w:bCs w:val="1"/>
          <w:color w:val="auto"/>
        </w:rPr>
        <w:t>Secured Financing due 2025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secured financing arrangement between EDA and an affiliate of LSB Funding L.L.C. which matures in</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August 2025.</w:t>
      </w:r>
    </w:p>
    <w:p>
      <w:pPr>
        <w:sectPr>
          <w:pgSz w:w="11900" w:h="16838" w:orient="portrait"/>
          <w:cols w:equalWidth="0" w:num="1">
            <w:col w:w="11240"/>
          </w:cols>
          <w:pgMar w:left="320" w:top="418" w:right="3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Loan Agreement due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Promissory Note due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Promissory Note due 2023</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77" w:hanging="277"/>
        <w:spacing w:after="0"/>
        <w:tabs>
          <w:tab w:leader="none" w:pos="2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secured loan agreement between EDC and an affiliate of LSB Funding L.L.C. which matures in March 2025.</w:t>
      </w:r>
    </w:p>
    <w:p>
      <w:pPr>
        <w:spacing w:after="0" w:line="113" w:lineRule="exact"/>
        <w:rPr>
          <w:rFonts w:ascii="Arial" w:cs="Arial" w:eastAsia="Arial" w:hAnsi="Arial"/>
          <w:sz w:val="16"/>
          <w:szCs w:val="16"/>
          <w:color w:val="auto"/>
        </w:rPr>
      </w:pPr>
    </w:p>
    <w:p>
      <w:pPr>
        <w:ind w:left="277" w:hanging="277"/>
        <w:spacing w:after="0"/>
        <w:tabs>
          <w:tab w:leader="none" w:pos="2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matures in March 2021.</w:t>
      </w:r>
    </w:p>
    <w:p>
      <w:pPr>
        <w:spacing w:after="0" w:line="90" w:lineRule="exact"/>
        <w:rPr>
          <w:rFonts w:ascii="Arial" w:cs="Arial" w:eastAsia="Arial" w:hAnsi="Arial"/>
          <w:sz w:val="18"/>
          <w:szCs w:val="18"/>
          <w:color w:val="auto"/>
        </w:rPr>
      </w:pPr>
    </w:p>
    <w:p>
      <w:pPr>
        <w:ind w:left="277" w:hanging="277"/>
        <w:spacing w:after="0" w:line="277" w:lineRule="auto"/>
        <w:tabs>
          <w:tab w:leader="none" w:pos="2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secured promissory note between EDA and a lender which was paid off during August 2020 with a portion of the proceeds from the Secured Financing due 2025.</w:t>
      </w:r>
    </w:p>
    <w:p>
      <w:pPr>
        <w:spacing w:after="0" w:line="31" w:lineRule="exact"/>
        <w:rPr>
          <w:sz w:val="20"/>
          <w:szCs w:val="20"/>
          <w:color w:val="auto"/>
        </w:rPr>
      </w:pPr>
    </w:p>
    <w:p>
      <w:pPr>
        <w:sectPr>
          <w:pgSz w:w="11900" w:h="16838" w:orient="portrait"/>
          <w:cols w:equalWidth="0" w:num="2">
            <w:col w:w="2700" w:space="183"/>
            <w:col w:w="8357"/>
          </w:cols>
          <w:pgMar w:left="320" w:top="418"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The Senior Secured Notes due on May 1, 2023 with a stated interest rate of 9.625%.</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83"/>
        </w:trPr>
        <w:tc>
          <w:tcPr>
            <w:tcW w:w="2640" w:type="dxa"/>
            <w:vAlign w:val="bottom"/>
          </w:tcPr>
          <w:p>
            <w:pPr>
              <w:spacing w:after="0"/>
              <w:rPr>
                <w:sz w:val="20"/>
                <w:szCs w:val="20"/>
                <w:color w:val="auto"/>
              </w:rPr>
            </w:pPr>
            <w:r>
              <w:rPr>
                <w:rFonts w:ascii="Arial" w:cs="Arial" w:eastAsia="Arial" w:hAnsi="Arial"/>
                <w:sz w:val="18"/>
                <w:szCs w:val="18"/>
                <w:b w:val="1"/>
                <w:bCs w:val="1"/>
                <w:color w:val="auto"/>
                <w:w w:val="98"/>
              </w:rPr>
              <w:t>Series E Redeemable Preferred</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w w:val="92"/>
              </w:rPr>
              <w:t>-   The 14% Series E Redeemable Preferred stock with participating rights and liquidating distributions based on a</w:t>
            </w:r>
          </w:p>
        </w:tc>
      </w:tr>
      <w:tr>
        <w:trPr>
          <w:trHeight w:val="216"/>
        </w:trPr>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w w:val="96"/>
              </w:rPr>
              <w:t>certain number of shares of our common stock, including the amended terms discussed in Note 10 to the</w:t>
            </w:r>
          </w:p>
        </w:tc>
      </w:tr>
      <w:tr>
        <w:trPr>
          <w:trHeight w:val="230"/>
        </w:trPr>
        <w:tc>
          <w:tcPr>
            <w:tcW w:w="2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Consolidated Financial Statements.</w:t>
            </w:r>
          </w:p>
        </w:tc>
      </w:tr>
      <w:tr>
        <w:trPr>
          <w:trHeight w:val="283"/>
        </w:trPr>
        <w:tc>
          <w:tcPr>
            <w:tcW w:w="2640" w:type="dxa"/>
            <w:vAlign w:val="bottom"/>
          </w:tcPr>
          <w:p>
            <w:pPr>
              <w:spacing w:after="0"/>
              <w:rPr>
                <w:sz w:val="20"/>
                <w:szCs w:val="20"/>
                <w:color w:val="auto"/>
              </w:rPr>
            </w:pPr>
            <w:r>
              <w:rPr>
                <w:rFonts w:ascii="Arial" w:cs="Arial" w:eastAsia="Arial" w:hAnsi="Arial"/>
                <w:sz w:val="18"/>
                <w:szCs w:val="18"/>
                <w:b w:val="1"/>
                <w:bCs w:val="1"/>
                <w:color w:val="auto"/>
                <w:w w:val="98"/>
              </w:rPr>
              <w:t>Series F Redeemable Preferred</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w w:val="97"/>
              </w:rPr>
              <w:t>-   The Series F Redeemable Preferred stock with one share to vote as a single class on all matters with our</w:t>
            </w:r>
          </w:p>
        </w:tc>
      </w:tr>
      <w:tr>
        <w:trPr>
          <w:trHeight w:val="216"/>
        </w:trPr>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w w:val="92"/>
              </w:rPr>
              <w:t>common stock equal to 456,225 shares of our common stock, including the amended terms discussed in Note</w:t>
            </w:r>
          </w:p>
        </w:tc>
      </w:tr>
      <w:tr>
        <w:trPr>
          <w:trHeight w:val="230"/>
        </w:trPr>
        <w:tc>
          <w:tcPr>
            <w:tcW w:w="2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10 to the Consolidated Financial Statements.</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Selling, general and administrative expense.</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Transition Agreement</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An agreement between Jack E. Golsen and LSB, dated June 30, 2017.</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TSR</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Total shareholder return.</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A planned major maintenance activity.</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Urea ammonia nitrate.</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U.S.</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United States.</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USDA</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United States Department of Agriculture.</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West Fertilizer Company.</w:t>
            </w:r>
          </w:p>
        </w:tc>
      </w:tr>
      <w:tr>
        <w:trPr>
          <w:trHeight w:val="279"/>
        </w:trPr>
        <w:tc>
          <w:tcPr>
            <w:tcW w:w="264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42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2005 Agreement</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A death benefit agreement with Jack E. Golsen.</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2008 Plan</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The 2008 Incentive Stock Plan.</w:t>
            </w:r>
          </w:p>
        </w:tc>
      </w:tr>
      <w:tr>
        <w:trPr>
          <w:trHeight w:val="297"/>
        </w:trPr>
        <w:tc>
          <w:tcPr>
            <w:tcW w:w="2640" w:type="dxa"/>
            <w:vAlign w:val="bottom"/>
          </w:tcPr>
          <w:p>
            <w:pPr>
              <w:spacing w:after="0"/>
              <w:rPr>
                <w:sz w:val="20"/>
                <w:szCs w:val="20"/>
                <w:color w:val="auto"/>
              </w:rPr>
            </w:pPr>
            <w:r>
              <w:rPr>
                <w:rFonts w:ascii="Arial" w:cs="Arial" w:eastAsia="Arial" w:hAnsi="Arial"/>
                <w:sz w:val="18"/>
                <w:szCs w:val="18"/>
                <w:b w:val="1"/>
                <w:bCs w:val="1"/>
                <w:color w:val="auto"/>
              </w:rPr>
              <w:t>2016 Plan</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   The 2016 Long Term Incentive Plan.</w:t>
            </w:r>
          </w:p>
        </w:tc>
      </w:tr>
      <w:tr>
        <w:trPr>
          <w:trHeight w:val="283"/>
        </w:trPr>
        <w:tc>
          <w:tcPr>
            <w:tcW w:w="2640" w:type="dxa"/>
            <w:vAlign w:val="bottom"/>
          </w:tcPr>
          <w:p>
            <w:pPr>
              <w:spacing w:after="0"/>
              <w:rPr>
                <w:sz w:val="20"/>
                <w:szCs w:val="20"/>
                <w:color w:val="auto"/>
              </w:rPr>
            </w:pPr>
            <w:r>
              <w:rPr>
                <w:rFonts w:ascii="Arial" w:cs="Arial" w:eastAsia="Arial" w:hAnsi="Arial"/>
                <w:sz w:val="18"/>
                <w:szCs w:val="18"/>
                <w:b w:val="1"/>
                <w:bCs w:val="1"/>
                <w:color w:val="auto"/>
              </w:rPr>
              <w:t>2019 Crop</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w w:val="94"/>
              </w:rPr>
              <w:t>-   Corn crop marketing year (September 1 - August 31), which began in 2018 and ended in 2019 and primarily</w:t>
            </w:r>
          </w:p>
        </w:tc>
      </w:tr>
      <w:tr>
        <w:trPr>
          <w:trHeight w:val="230"/>
        </w:trPr>
        <w:tc>
          <w:tcPr>
            <w:tcW w:w="2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relates to corn planted and harvested in 2018.</w:t>
            </w:r>
          </w:p>
        </w:tc>
      </w:tr>
      <w:tr>
        <w:trPr>
          <w:trHeight w:val="283"/>
        </w:trPr>
        <w:tc>
          <w:tcPr>
            <w:tcW w:w="2640" w:type="dxa"/>
            <w:vAlign w:val="bottom"/>
          </w:tcPr>
          <w:p>
            <w:pPr>
              <w:spacing w:after="0"/>
              <w:rPr>
                <w:sz w:val="20"/>
                <w:szCs w:val="20"/>
                <w:color w:val="auto"/>
              </w:rPr>
            </w:pPr>
            <w:r>
              <w:rPr>
                <w:rFonts w:ascii="Arial" w:cs="Arial" w:eastAsia="Arial" w:hAnsi="Arial"/>
                <w:sz w:val="18"/>
                <w:szCs w:val="18"/>
                <w:b w:val="1"/>
                <w:bCs w:val="1"/>
                <w:color w:val="auto"/>
              </w:rPr>
              <w:t>2020 Crop</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w w:val="94"/>
              </w:rPr>
              <w:t>-   Corn crop marketing year (September 1 - August 31), which began in 2019 and ended in 2020 and primarily</w:t>
            </w:r>
          </w:p>
        </w:tc>
      </w:tr>
      <w:tr>
        <w:trPr>
          <w:trHeight w:val="230"/>
        </w:trPr>
        <w:tc>
          <w:tcPr>
            <w:tcW w:w="2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relates to corn planted and harvested in 2019.</w:t>
            </w:r>
          </w:p>
        </w:tc>
      </w:tr>
      <w:tr>
        <w:trPr>
          <w:trHeight w:val="283"/>
        </w:trPr>
        <w:tc>
          <w:tcPr>
            <w:tcW w:w="2640" w:type="dxa"/>
            <w:vAlign w:val="bottom"/>
          </w:tcPr>
          <w:p>
            <w:pPr>
              <w:spacing w:after="0"/>
              <w:rPr>
                <w:sz w:val="20"/>
                <w:szCs w:val="20"/>
                <w:color w:val="auto"/>
              </w:rPr>
            </w:pPr>
            <w:r>
              <w:rPr>
                <w:rFonts w:ascii="Arial" w:cs="Arial" w:eastAsia="Arial" w:hAnsi="Arial"/>
                <w:sz w:val="18"/>
                <w:szCs w:val="18"/>
                <w:b w:val="1"/>
                <w:bCs w:val="1"/>
                <w:color w:val="auto"/>
              </w:rPr>
              <w:t>2021 Crop</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w w:val="93"/>
              </w:rPr>
              <w:t>-   Corn crop marketing year (September 1 - August 31), which began in 2020 and will end in 2021 and primarily</w:t>
            </w:r>
          </w:p>
        </w:tc>
      </w:tr>
      <w:tr>
        <w:trPr>
          <w:trHeight w:val="230"/>
        </w:trPr>
        <w:tc>
          <w:tcPr>
            <w:tcW w:w="2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relates to corn planted and harvested in 2020.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significant properties for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El Dorado</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Cherokee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Baytown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Chemical</w:t>
            </w:r>
          </w:p>
        </w:tc>
        <w:tc>
          <w:tcPr>
            <w:tcW w:w="0" w:type="dxa"/>
            <w:vAlign w:val="bottom"/>
          </w:tcPr>
          <w:p>
            <w:pPr>
              <w:spacing w:after="0"/>
              <w:rPr>
                <w:sz w:val="1"/>
                <w:szCs w:val="1"/>
                <w:color w:val="auto"/>
              </w:rPr>
            </w:pPr>
          </w:p>
        </w:tc>
      </w:tr>
      <w:tr>
        <w:trPr>
          <w:trHeight w:val="148"/>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Facility</w:t>
            </w:r>
          </w:p>
        </w:tc>
        <w:tc>
          <w:tcPr>
            <w:tcW w:w="13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Pryor Facility</w:t>
            </w:r>
          </w:p>
        </w:tc>
        <w:tc>
          <w:tcPr>
            <w:tcW w:w="12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Facility</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Facility</w:t>
            </w:r>
          </w:p>
        </w:tc>
        <w:tc>
          <w:tcPr>
            <w:tcW w:w="1220" w:type="dxa"/>
            <w:vAlign w:val="bottom"/>
            <w:gridSpan w:val="2"/>
            <w:vMerge w:val="continue"/>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Location</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El Dorado, AR</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Cherokee, AL</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Pryor, OK</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Baytown, TX</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Plant Area (acres)</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Site Area (acres)</w:t>
            </w:r>
          </w:p>
        </w:tc>
        <w:tc>
          <w:tcPr>
            <w:tcW w:w="10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9"/>
              </w:rPr>
              <w:t>(B)</w:t>
            </w: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Site Status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Operating</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Agreement</w:t>
            </w:r>
          </w:p>
        </w:tc>
        <w:tc>
          <w:tcPr>
            <w:tcW w:w="112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5"/>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Ammonia Production Capacity (tons)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9"/>
              </w:rPr>
              <w:t>Not</w:t>
            </w: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493,000 (C)</w:t>
            </w: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188,000 (D)</w:t>
            </w:r>
          </w:p>
        </w:tc>
        <w:tc>
          <w:tcPr>
            <w:tcW w:w="12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246,000 (E)</w:t>
            </w: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6"/>
              </w:rPr>
              <w:t>Applicable</w:t>
            </w: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line="25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distribute our agricultural products through 10 wholesale and retail distribution centers, with 9 of the centers located in Texas (8 of which we own and 1 of which we lease); and 1 center located in Missouri (owned).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located within a chemical production complex owned by a global chemical company.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ammonia production capacity is based on optimal 1,350 tons per day of production for the year.</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ammonia production capacity is based on 515 tons per day of production for the year.</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ammonia production capacity is based on 675 tons per day of production for the year.</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2020, our facilities produced approximately 827,000 tons of ammonia. During 2020, we did not perform any ammonia plant Turnarounds at the El Dorado, Cherokee or Pryor Facilities.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Legal Matters under Note 8 to the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February 16, 2021, we had approximately 382 record holders of our common stock. This number does not include investors whose ownership is recorded in the name of their brokerage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Discussions relating to our equity compensation plans under Item 12 of Part III are incorporated by reference to our definitive proxy statement which we intend to file with the SEC on or before April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unregistered sales of equity securities in 2020 that have not been previously reported in a Quarterly Report on Form 10-Q or Current Report on Form 8-K.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6. SELECTED FINANCIAL DATA (1)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1"/>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gridSpan w:val="5"/>
          </w:tcPr>
          <w:p>
            <w:pPr>
              <w:jc w:val="center"/>
              <w:ind w:right="151"/>
              <w:spacing w:after="0" w:line="155" w:lineRule="exact"/>
              <w:rPr>
                <w:sz w:val="20"/>
                <w:szCs w:val="20"/>
                <w:color w:val="auto"/>
              </w:rPr>
            </w:pPr>
            <w:r>
              <w:rPr>
                <w:rFonts w:ascii="Arial" w:cs="Arial" w:eastAsia="Arial" w:hAnsi="Arial"/>
                <w:sz w:val="14"/>
                <w:szCs w:val="14"/>
                <w:color w:val="auto"/>
                <w:w w:val="91"/>
              </w:rPr>
              <w:t>(In Thousands, Except Per Share Data)</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Statement of Operations Data in Dollars: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Net sales (2)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351,316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365,070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378,160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427,504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374,585</w:t>
            </w:r>
          </w:p>
        </w:tc>
        <w:tc>
          <w:tcPr>
            <w:tcW w:w="120" w:type="dxa"/>
            <w:vAlign w:val="bottom"/>
          </w:tcPr>
          <w:p>
            <w:pPr>
              <w:spacing w:after="0"/>
              <w:rPr>
                <w:sz w:val="19"/>
                <w:szCs w:val="19"/>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(23,025)</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(90,223)</w:t>
            </w: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51,115</w:t>
            </w:r>
          </w:p>
        </w:tc>
        <w:tc>
          <w:tcPr>
            <w:tcW w:w="2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46,389</w:t>
            </w:r>
          </w:p>
        </w:tc>
        <w:tc>
          <w:tcPr>
            <w:tcW w:w="2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43,064</w:t>
            </w:r>
          </w:p>
        </w:tc>
        <w:tc>
          <w:tcPr>
            <w:tcW w:w="22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37,267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30,945</w:t>
            </w:r>
          </w:p>
        </w:tc>
        <w:tc>
          <w:tcPr>
            <w:tcW w:w="120" w:type="dxa"/>
            <w:vAlign w:val="bottom"/>
          </w:tcPr>
          <w:p>
            <w:pPr>
              <w:spacing w:after="0"/>
              <w:rPr>
                <w:sz w:val="19"/>
                <w:szCs w:val="19"/>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Provisions (benefit) for income taxes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1,740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(40,759)</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(41,956)</w:t>
            </w:r>
          </w:p>
        </w:tc>
      </w:tr>
      <w:tr>
        <w:trPr>
          <w:trHeight w:val="229"/>
        </w:trPr>
        <w:tc>
          <w:tcPr>
            <w:tcW w:w="5340" w:type="dxa"/>
            <w:vAlign w:val="bottom"/>
          </w:tcPr>
          <w:p>
            <w:pPr>
              <w:ind w:left="260"/>
              <w:spacing w:after="0"/>
              <w:rPr>
                <w:sz w:val="20"/>
                <w:szCs w:val="20"/>
                <w:color w:val="auto"/>
              </w:rPr>
            </w:pPr>
            <w:r>
              <w:rPr>
                <w:rFonts w:ascii="Arial" w:cs="Arial" w:eastAsia="Arial" w:hAnsi="Arial"/>
                <w:sz w:val="18"/>
                <w:szCs w:val="18"/>
                <w:color w:val="auto"/>
              </w:rPr>
              <w:t>Loss from continuing operations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(61,911)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(63,417)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(72,226)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(30,293)</w:t>
            </w: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(88,133)</w:t>
            </w: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 net of taxes (3)</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200,301</w:t>
            </w:r>
          </w:p>
        </w:tc>
        <w:tc>
          <w:tcPr>
            <w:tcW w:w="120" w:type="dxa"/>
            <w:vAlign w:val="bottom"/>
            <w:shd w:val="clear" w:color="auto" w:fill="CFF0FC"/>
          </w:tcPr>
          <w:p>
            <w:pPr>
              <w:spacing w:after="0"/>
              <w:rPr>
                <w:sz w:val="19"/>
                <w:szCs w:val="19"/>
                <w:color w:val="auto"/>
              </w:rPr>
            </w:pPr>
          </w:p>
        </w:tc>
      </w:tr>
      <w:tr>
        <w:trPr>
          <w:trHeight w:val="229"/>
        </w:trPr>
        <w:tc>
          <w:tcPr>
            <w:tcW w:w="534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(61,911)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(63,417)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(72,226)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(29,217)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112,168</w:t>
            </w:r>
          </w:p>
        </w:tc>
        <w:tc>
          <w:tcPr>
            <w:tcW w:w="120" w:type="dxa"/>
            <w:vAlign w:val="bottom"/>
          </w:tcPr>
          <w:p>
            <w:pPr>
              <w:spacing w:after="0"/>
              <w:rPr>
                <w:sz w:val="19"/>
                <w:szCs w:val="19"/>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income attributable to common stockholders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64,760</w:t>
            </w:r>
          </w:p>
        </w:tc>
        <w:tc>
          <w:tcPr>
            <w:tcW w:w="120" w:type="dxa"/>
            <w:vAlign w:val="bottom"/>
            <w:shd w:val="clear" w:color="auto" w:fill="CFF0FC"/>
          </w:tcPr>
          <w:p>
            <w:pPr>
              <w:spacing w:after="0"/>
              <w:rPr>
                <w:sz w:val="19"/>
                <w:szCs w:val="19"/>
                <w:color w:val="auto"/>
              </w:rPr>
            </w:pPr>
          </w:p>
        </w:tc>
      </w:tr>
      <w:tr>
        <w:trPr>
          <w:trHeight w:val="215"/>
        </w:trPr>
        <w:tc>
          <w:tcPr>
            <w:tcW w:w="5340" w:type="dxa"/>
            <w:vAlign w:val="bottom"/>
          </w:tcPr>
          <w:p>
            <w:pPr>
              <w:ind w:left="260"/>
              <w:spacing w:after="0"/>
              <w:rPr>
                <w:sz w:val="20"/>
                <w:szCs w:val="20"/>
                <w:color w:val="auto"/>
              </w:rPr>
            </w:pPr>
            <w:r>
              <w:rPr>
                <w:rFonts w:ascii="Arial" w:cs="Arial" w:eastAsia="Arial" w:hAnsi="Arial"/>
                <w:sz w:val="18"/>
                <w:szCs w:val="18"/>
                <w:color w:val="auto"/>
              </w:rPr>
              <w:t>Income (loss) per common share attributable to</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common stockholders: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ind w:left="740"/>
              <w:spacing w:after="0"/>
              <w:rPr>
                <w:sz w:val="20"/>
                <w:szCs w:val="20"/>
                <w:color w:val="auto"/>
              </w:rPr>
            </w:pPr>
            <w:r>
              <w:rPr>
                <w:rFonts w:ascii="Arial" w:cs="Arial" w:eastAsia="Arial" w:hAnsi="Arial"/>
                <w:sz w:val="18"/>
                <w:szCs w:val="18"/>
                <w:color w:val="auto"/>
              </w:rPr>
              <w:t>Loss from 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r>
      <w:tr>
        <w:trPr>
          <w:trHeight w:val="229"/>
        </w:trPr>
        <w:tc>
          <w:tcPr>
            <w:tcW w:w="5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FF0FC"/>
          </w:tcPr>
          <w:p>
            <w:pPr>
              <w:spacing w:after="0"/>
              <w:rPr>
                <w:sz w:val="19"/>
                <w:szCs w:val="19"/>
                <w:color w:val="auto"/>
              </w:rPr>
            </w:pPr>
          </w:p>
        </w:tc>
      </w:tr>
      <w:tr>
        <w:trPr>
          <w:trHeight w:val="229"/>
        </w:trPr>
        <w:tc>
          <w:tcPr>
            <w:tcW w:w="534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340" w:type="dxa"/>
            <w:vAlign w:val="bottom"/>
          </w:tcPr>
          <w:p>
            <w:pPr>
              <w:ind w:left="740"/>
              <w:spacing w:after="0"/>
              <w:rPr>
                <w:sz w:val="20"/>
                <w:szCs w:val="20"/>
                <w:color w:val="auto"/>
              </w:rPr>
            </w:pPr>
            <w:r>
              <w:rPr>
                <w:rFonts w:ascii="Arial" w:cs="Arial" w:eastAsia="Arial" w:hAnsi="Arial"/>
                <w:sz w:val="18"/>
                <w:szCs w:val="18"/>
                <w:color w:val="auto"/>
              </w:rPr>
              <w:t>Loss from 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r>
      <w:tr>
        <w:trPr>
          <w:trHeight w:val="230"/>
        </w:trPr>
        <w:tc>
          <w:tcPr>
            <w:tcW w:w="5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FF0FC"/>
          </w:tcPr>
          <w:p>
            <w:pPr>
              <w:spacing w:after="0"/>
              <w:rPr>
                <w:sz w:val="19"/>
                <w:szCs w:val="19"/>
                <w:color w:val="auto"/>
              </w:rPr>
            </w:pPr>
          </w:p>
        </w:tc>
      </w:tr>
      <w:tr>
        <w:trPr>
          <w:trHeight w:val="229"/>
        </w:trPr>
        <w:tc>
          <w:tcPr>
            <w:tcW w:w="534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Balance Sheet Data in Dollars: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89"/>
              </w:rPr>
              <w:t>1,053,302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w w:val="89"/>
              </w:rPr>
              <w:t>1,088,489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89"/>
              </w:rPr>
              <w:t>1,148,333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w w:val="87"/>
              </w:rPr>
              <w:t>1,189,182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1,270,420</w:t>
            </w:r>
          </w:p>
        </w:tc>
        <w:tc>
          <w:tcPr>
            <w:tcW w:w="120" w:type="dxa"/>
            <w:vAlign w:val="bottom"/>
          </w:tcPr>
          <w:p>
            <w:pPr>
              <w:spacing w:after="0"/>
              <w:rPr>
                <w:sz w:val="19"/>
                <w:szCs w:val="19"/>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including current portion, net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484,190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459,044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425,199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409,399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420,220</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Redeemable preferred stocks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272,101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234,893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202,169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174,959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145,029</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149,643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247,327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342,197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438,196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492,513</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b w:val="1"/>
                <w:bCs w:val="1"/>
                <w:color w:val="auto"/>
              </w:rPr>
              <w:t>Selected Other Data in Dollars: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per common share</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left="500" w:hanging="492"/>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selected consolidated financial data were derived from our audited consolidated financial statements and should be read in conjunction with, and are qualified by reference, to the MD&amp;A contained in Item 7 of Part II of this report. The financial information presented may not be indicative of our future performance.</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adoption of ASC 606, net sales for the years 2016 and 2017 have not been adjusted under the modified retrospective method.</w:t>
      </w:r>
    </w:p>
    <w:p>
      <w:pPr>
        <w:spacing w:after="0" w:line="9"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discussion of our discontinued operations in Note 2 to the Consolidated Financial Statements included in our 2017 Form 10-K, filed on February 26,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MD&amp;A should be read in conjunction with a review of the other Items included in this Form 10-K and our December 31, 2020 consolidated financial statements included elsewhere in this report. A reference to a “Note” relates to a note in the accompanying notes to the consolidated financial statements. Certain statements contained in this MD&amp;A may be deemed to be forward-looking statements. See “Special Note Regarding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a global chemical company in Baytown, Texas. Our products are sold through distributors and directly to end customers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2021</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hanging="357"/>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Continue Focusing on Becoming a “Best in Class” Chemical Plant Operator with respect to Safe, Reliable Operations that Produce the Highest Quality Product.</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implemented and are currently managing enhanced safety programs at our facilities that focus on improving our safety culture that will reduce risks and continuously improve our safety performance.</w:t>
      </w:r>
    </w:p>
    <w:p>
      <w:pPr>
        <w:spacing w:after="0" w:line="75" w:lineRule="exact"/>
        <w:rPr>
          <w:rFonts w:ascii="Arial" w:cs="Arial" w:eastAsia="Arial" w:hAnsi="Arial"/>
          <w:sz w:val="18"/>
          <w:szCs w:val="18"/>
          <w:color w:val="auto"/>
        </w:rPr>
      </w:pPr>
    </w:p>
    <w:p>
      <w:pPr>
        <w:jc w:val="both"/>
        <w:ind w:left="1260" w:hanging="375"/>
        <w:spacing w:after="0" w:line="279" w:lineRule="auto"/>
        <w:tabs>
          <w:tab w:leader="none" w:pos="12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We have several initiatives underway that we believe will improve the overall reliability of our plants and allow us to produce more products for sale while lowering our cost of production. Those initiatives are focused on, operations excellence through enhancements in the operating procedure program, asset health monitoring optimization and asset care excellence maintenance programs, and product quality programs focused on providing products to the customer that meet the highest quality standards.</w:t>
      </w:r>
    </w:p>
    <w:p>
      <w:pPr>
        <w:spacing w:after="0" w:line="63" w:lineRule="exact"/>
        <w:rPr>
          <w:rFonts w:ascii="Arial" w:cs="Arial" w:eastAsia="Arial" w:hAnsi="Arial"/>
          <w:sz w:val="17"/>
          <w:szCs w:val="17"/>
          <w:color w:val="auto"/>
        </w:rPr>
      </w:pPr>
    </w:p>
    <w:p>
      <w:pPr>
        <w:jc w:val="both"/>
        <w:ind w:left="540" w:hanging="357"/>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of our Products. </w:t>
      </w:r>
      <w:r>
        <w:rPr>
          <w:rFonts w:ascii="Arial" w:cs="Arial" w:eastAsia="Arial" w:hAnsi="Arial"/>
          <w:sz w:val="18"/>
          <w:szCs w:val="18"/>
          <w:color w:val="auto"/>
        </w:rPr>
        <w:t>To further leverage our plants current production capacity, we are continuing to expand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our industrial and mining products by partnering with customers to take product into different markets both within and outside the U.S.</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October 2020, we announced a new long-term nitric acid supply contract with a customer. Under the agreement, we agreed to supply between 70,000 to 100,000 tons of nitric acid per year, with sales beginning the first quarter of 2021. This contract advances our focus to leverage underutilized nitric acid production capacity at our El Dorado Facility.</w:t>
      </w:r>
    </w:p>
    <w:p>
      <w:pPr>
        <w:spacing w:after="0" w:line="75" w:lineRule="exact"/>
        <w:rPr>
          <w:rFonts w:ascii="Arial" w:cs="Arial" w:eastAsia="Arial" w:hAnsi="Arial"/>
          <w:sz w:val="18"/>
          <w:szCs w:val="18"/>
          <w:color w:val="auto"/>
        </w:rPr>
      </w:pPr>
    </w:p>
    <w:p>
      <w:pPr>
        <w:ind w:left="1260" w:hanging="375"/>
        <w:spacing w:after="0" w:line="277"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also executed a new contract to capture and sell carbon dioxide out of our El Dorado Facility, where our customer is building a guest plant. We expect to begin sales under this agreement in the fourth quarter of 2021.</w:t>
      </w:r>
    </w:p>
    <w:p>
      <w:pPr>
        <w:spacing w:after="0" w:line="62"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Additionally, early in the second quarter of 2020, we completed a key storage project that will allow us to further maximize our production of HDAN at our El Dorado Facility, which we expect to enable us to achieve higher production, a lower cost per ton and increased sales of that product during periods of more attractive pricing.</w:t>
      </w:r>
    </w:p>
    <w:p>
      <w:pPr>
        <w:spacing w:after="0" w:line="75" w:lineRule="exact"/>
        <w:rPr>
          <w:rFonts w:ascii="Arial" w:cs="Arial" w:eastAsia="Arial" w:hAnsi="Arial"/>
          <w:sz w:val="18"/>
          <w:szCs w:val="18"/>
          <w:color w:val="auto"/>
        </w:rPr>
      </w:pPr>
    </w:p>
    <w:p>
      <w:pPr>
        <w:jc w:val="both"/>
        <w:ind w:left="540" w:hanging="357"/>
        <w:spacing w:after="0" w:line="290"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Development of a Strategy to Capitalize on Ammonia Opportunities in a Renewable Energy Focused Economy</w:t>
      </w:r>
      <w:r>
        <w:rPr>
          <w:rFonts w:ascii="Arial" w:cs="Arial" w:eastAsia="Arial" w:hAnsi="Arial"/>
          <w:sz w:val="16"/>
          <w:szCs w:val="16"/>
          <w:color w:val="auto"/>
        </w:rPr>
        <w:t>. As there is a heightened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focus on significantly increasing the use of renewable energy to reduce carbon emissions, we are currently developing a strategy to enter the market for low-carbon or no carbon ammonia, a rapidly emerging trend referred to as “blue-green ammonia.” Many studies have shown that ammonia is the best carrier for hydrogen, given higher energy content and relative ease of storage via hydrogen gas. Ammonia can also be used as zero carbon fuel in the maritime sector, a carbon free fertilizer and as a coal substitute in energy constrained countries. If ammonia were to be used for energy consumption globally, this would equate to 5 times the amount of current global annual production of ammonia, or approximately 50 times of the current seaborne trade. We believe we are well-placed to partake in this opportunity given the ability to retrofit our existing plants rather than the need to invest in greenfield projects thereby reducing the time to market and the upfront capital expenditures which will help the overall economics.</w:t>
      </w:r>
    </w:p>
    <w:p>
      <w:pPr>
        <w:spacing w:after="0" w:line="57" w:lineRule="exact"/>
        <w:rPr>
          <w:rFonts w:ascii="Arial" w:cs="Arial" w:eastAsia="Arial" w:hAnsi="Arial"/>
          <w:sz w:val="16"/>
          <w:szCs w:val="16"/>
          <w:color w:val="auto"/>
        </w:rPr>
      </w:pPr>
    </w:p>
    <w:p>
      <w:pPr>
        <w:jc w:val="both"/>
        <w:ind w:left="540" w:hanging="357"/>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Improving Our Capital Structure and Overall Cost of Capital. </w:t>
      </w:r>
      <w:r>
        <w:rPr>
          <w:rFonts w:ascii="Arial" w:cs="Arial" w:eastAsia="Arial" w:hAnsi="Arial"/>
          <w:sz w:val="18"/>
          <w:szCs w:val="18"/>
          <w:color w:val="auto"/>
        </w:rPr>
        <w:t>We are actively seeking ways to improve our capital structure and reduce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capital. We believe that continued improvement in operating performance combined with improving fundamentals in the agriculture market and the continued economic recovery from the COVID-19 pandemic will be a benefit in achieving those efforts.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left="540" w:hanging="357"/>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Evaluate Acquisitions of Strategic Assets or Companies. </w:t>
      </w:r>
      <w:r>
        <w:rPr>
          <w:rFonts w:ascii="Arial" w:cs="Arial" w:eastAsia="Arial" w:hAnsi="Arial"/>
          <w:sz w:val="18"/>
          <w:szCs w:val="18"/>
          <w:color w:val="auto"/>
        </w:rPr>
        <w:t>We are evaluating opportunities to acquire strategic assets or companies, mergers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and investment in additional production capacity where we believe those acquisitions, mergers or expansion of production capacity will enhance the value of the Company and provide appropriate returns.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the facilities we operate have been designated as 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provider, and therefore, our facilities have remained operational despite the government mandated operational limitations or business closings resulting from the federal, state and local government responses to the evolving global health crisis resulting from the COVID-19 pandemic. Management has taken significant measures to ensure the health and safety of our employees and our business continuity during this challenging situation. For our personnel at our manufacturing facilities and retail agricultural centers, we have developed plans and procedures that have allowed them to operate in a safe manner in order to protect them, their families, our vendors and our customers. These include daily health screenings, including temperature checks and questionnaires, use of proper personal protection equipment, regular disinfection and cleaning of equipment and workspaces, social distancing, working from home where appropriate and quarantining of employees according to specific protocols. We intend to maintain our discipline in this regard for however long the current health risk persists.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nitrogen chemical industry was under pressure during most of 2020. As a result of the COVID-19 global economic downturn and the resultant decline in energy prices, industry operating rates globally have risen, resulting in greater supply and lower fertilizer pricing. Pricing for all major agricultural product categories was impacted by the continued oversupply of ammonia in our primary end markets, along with increased imports of some of our downstream products. In addition, our industrial and mining sales volume declined as a result of pandemic-related weakness in demand in several of our end markets.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Looking ahead to 2021, while much of the U.S. economy has a least partially reopened and we have seen a healthy recovery of the economy, we are not yet back to pre-pandemic operating levels and uncertainty still remains for some of our end markets. With respect to our agricultural business, the corn market has experienced positive indicators beginning during the latter part of 2020. According to certain industry sources, the estimated corn acres to be planted in 2021 ranges between 92 to 94 million. Also, the U.S. Department of Agriculture (the “USDA”) currently estimates the U.S. ending corn stocks to be approximately 38.2 million metric tons, compared to 48.8 million metric tons relating to the 2020 crop. In addition, demand from ethanol-related consumption has increased since the second quarter of 2020, although overall demand continues to be lower compared to 2019 due to the stay-at-home orders, we experienced in the U.S. Increased Chinese import of corn and lower than expected ending corn inventory is currently improving corn pricing and is driving higher fertilizer pricing thus far for the 2021 spring season. However, improvements in fertilizer pricing could be tempered higher natural gas costs and from additional imported fertilizers. With respect to our industrial and mining business, we are seeing gradual improvement in demand for nitric acid, industrial ammonia and ammonium nitrate as sectors such as automotive manufacturing, home building, and copper mining have increased activity. Also see discussion below concerning a new long-term nitric acid supply contract with a customer.</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liquidity front, as of December 31, 2020, we had approximately $58.1 million of combined cash and borrowing capacity, which, we believe, provides us with ample liquidity to fund our operations and meet our current obligations.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discussed in footnotes (D) and (G) of Note 6, in April 2020, we received a $10 million loan through the PPP within the CARES Act stimulus package. The funds from this loan, along with the decisive action we implemented to defer expenses and capital expenditures, have enabled us to avoid the need to furlough or terminate employees to counteract the lost volume and pricing impacts we have seen or expect as a result of the COVID-19 pandemic. Also, during August 2020, EDA entered into a $30 million secured financing arrangement with an affiliate of LSB Funding with an interest rate of 8.75%. Beginning in September 2020, principal and interest are payable in 60 equal monthly installments with a final balloon payment of approximately $5 million due in August 2025. This $30 million financing arrangement is secured by an ammonia storage tank and is guaranteed by LSB. A portion of the proceeds from this secured financing arrangement was used to pay off the Secured Promissory Note that was scheduled to mature in May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discussions below under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Nitric Acid Supply Contract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October 2020, EDC entered into a new long-term nitric acid supply contract with a customer. Under the agreement, EDC agreed to supply between 70,000 to 100,000 tons of nitric acid annually, with sales beginning in the first quarter of 2021. The initial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80"/>
        <w:spacing w:after="0" w:line="375" w:lineRule="auto"/>
        <w:rPr>
          <w:sz w:val="20"/>
          <w:szCs w:val="20"/>
          <w:color w:val="auto"/>
        </w:rPr>
      </w:pPr>
      <w:r>
        <w:rPr>
          <w:rFonts w:ascii="Arial" w:cs="Arial" w:eastAsia="Arial" w:hAnsi="Arial"/>
          <w:sz w:val="18"/>
          <w:szCs w:val="18"/>
          <w:color w:val="auto"/>
        </w:rPr>
        <w:t xml:space="preserve">contract term extends through 2027 but includes automatic one-year renewal terms unless terminated by either party pursuant to the terms of the contract. </w:t>
      </w:r>
      <w:r>
        <w:rPr>
          <w:rFonts w:ascii="Arial" w:cs="Arial" w:eastAsia="Arial" w:hAnsi="Arial"/>
          <w:sz w:val="18"/>
          <w:szCs w:val="18"/>
          <w:i w:val="1"/>
          <w:iCs w:val="1"/>
          <w:u w:val="single" w:color="auto"/>
          <w:color w:val="auto"/>
        </w:rPr>
        <w:t>Settlements with Certain Vendors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8, in June 2020, EDC and certain vendors mediated settlements totaling $7.6 million for EDC to recover certain costs associated with our new nitric acid plant at our El Dorado Facility. The construction of this plant was completed and began production in 2016. Of the $7.6 million, approximately $5.7 million is classified as a reduction to cost of sales and approximately $1.9 million is classified as a reduction to PP&amp;E. The recovery amount was applied against the original classification of the underlying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Development-February 2021</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21, 2021, we began the phased restart of our Pryor Facility, which was taken out of service on February 12, 2021 after extreme cold weather caused a surge in natural gas prices in the region, along with the curtailment of gas distribution by the operator of the pipeline that supplies natural gas to the facility.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weather across the middle of the country has improved and temperatures have warmed, natural gas prices have normalized and supply volumes have been restored to levels required for full operation of our facilities. The Pryor Facility is in the process of restarting and we expect the facility to return to pre-shutdown production volume levels as safely and as soon as practicable.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as a result of unprecedented cold weather conditions, on February 17, 2021, the primary natural gas supplier to our El Dorado Facility asserted a claim of force majeure and materially restricted the supply of gas to the facility. However, effective February 23, 2021, the force majeure was lifted and the facility’s ammonia plant is currently in production.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Notably, our Cherokee Facility was not materially impacted by the extreme cold weather and related natural gas price and supply issues and operated at targeted levels throughout February.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“Business Developments-2020.”</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E2E2E"/>
        </w:rPr>
        <w:t>price at which our agricultural products are ultimately sold depends on numerous factors, including the supply and demand for nitrogen fertilizers</w:t>
      </w:r>
      <w:r>
        <w:rPr>
          <w:rFonts w:ascii="Arial" w:cs="Arial" w:eastAsia="Arial" w:hAnsi="Arial"/>
          <w:sz w:val="18"/>
          <w:szCs w:val="18"/>
          <w:color w:val="auto"/>
        </w:rPr>
        <w:t xml:space="preserve"> </w:t>
      </w:r>
      <w:r>
        <w:rPr>
          <w:rFonts w:ascii="Arial" w:cs="Arial" w:eastAsia="Arial" w:hAnsi="Arial"/>
          <w:sz w:val="18"/>
          <w:szCs w:val="18"/>
          <w:color w:val="2E2E2E"/>
        </w:rPr>
        <w:t>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as noted in the table below, the USDA estimates the number of acres of corn planted in the U.S. was approximately 91 million acres and U.S ending stocks to be approximately 38 million metric tons, a 22% decrease from a year ago.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February estimates are associated with the corn market: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2021 Crop</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2019 Crop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(2020 Harvest)</w:t>
            </w: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(2019 Harvest)</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Percentage</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(2018 Harvest)</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Percentage</w:t>
            </w:r>
          </w:p>
        </w:tc>
      </w:tr>
      <w:tr>
        <w:trPr>
          <w:trHeight w:val="171"/>
        </w:trPr>
        <w:tc>
          <w:tcPr>
            <w:tcW w:w="384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Report (1)</w:t>
            </w:r>
          </w:p>
        </w:tc>
        <w:tc>
          <w:tcPr>
            <w:tcW w:w="2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February Report (1)</w:t>
            </w: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 (2)</w:t>
            </w:r>
          </w:p>
        </w:tc>
        <w:tc>
          <w:tcPr>
            <w:tcW w:w="2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Report (1)</w:t>
            </w:r>
          </w:p>
        </w:tc>
        <w:tc>
          <w:tcPr>
            <w:tcW w:w="2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 (3)</w:t>
            </w:r>
          </w:p>
        </w:tc>
        <w:tc>
          <w:tcPr>
            <w:tcW w:w="220" w:type="dxa"/>
            <w:vAlign w:val="bottom"/>
            <w:tcBorders>
              <w:bottom w:val="single" w:sz="8" w:color="CFF0FC"/>
            </w:tcBorders>
          </w:tcPr>
          <w:p>
            <w:pPr>
              <w:spacing w:after="0"/>
              <w:rPr>
                <w:sz w:val="14"/>
                <w:szCs w:val="14"/>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80" w:type="dxa"/>
            <w:vAlign w:val="bottom"/>
          </w:tcPr>
          <w:p>
            <w:pPr>
              <w:jc w:val="right"/>
              <w:spacing w:after="0"/>
              <w:rPr>
                <w:sz w:val="20"/>
                <w:szCs w:val="20"/>
                <w:color w:val="auto"/>
              </w:rPr>
            </w:pPr>
            <w:r>
              <w:rPr>
                <w:rFonts w:ascii="Arial" w:cs="Arial" w:eastAsia="Arial" w:hAnsi="Arial"/>
                <w:sz w:val="18"/>
                <w:szCs w:val="18"/>
                <w:color w:val="auto"/>
              </w:rPr>
              <w:t>172.0</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480" w:type="dxa"/>
            <w:vAlign w:val="bottom"/>
          </w:tcPr>
          <w:p>
            <w:pPr>
              <w:jc w:val="right"/>
              <w:spacing w:after="0"/>
              <w:rPr>
                <w:sz w:val="20"/>
                <w:szCs w:val="20"/>
                <w:color w:val="auto"/>
              </w:rPr>
            </w:pPr>
            <w:r>
              <w:rPr>
                <w:rFonts w:ascii="Arial" w:cs="Arial" w:eastAsia="Arial" w:hAnsi="Arial"/>
                <w:sz w:val="18"/>
                <w:szCs w:val="18"/>
                <w:color w:val="auto"/>
              </w:rPr>
              <w:t>176.4</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14,182</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14,340</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8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1480" w:type="dxa"/>
            <w:vAlign w:val="bottom"/>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r>
    </w:tbl>
    <w:p>
      <w:pPr>
        <w:spacing w:after="0" w:line="229" w:lineRule="exact"/>
        <w:rPr>
          <w:sz w:val="20"/>
          <w:szCs w:val="20"/>
          <w:color w:val="auto"/>
        </w:rPr>
      </w:pPr>
    </w:p>
    <w:p>
      <w:pPr>
        <w:jc w:val="both"/>
        <w:ind w:left="740" w:hanging="368"/>
        <w:spacing w:after="0" w:line="25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obtained from WASDE report dated February 9, 2021 (“February Report”) for the 2020/2021 (“2021 Crop”), 2019/2020 (“2020 Crop”) and 2018/2019 (“2019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2020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2019 Crop amounts.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challenging 2019 for U.S. corn farmers, the number of planted corn acres in 2020 increased slightly and corn production increased 4% year over year. Despite the national restrictions and stay at home orders placed on traveling during 2020, in an attempt to slow the spread of the COVID-19 pandemic, the USDA estimates a slight demand increase in corn for ethanol production compared to last year. Most gasoline has 10% ethanol content. Ethanol is commonly made from corn and ethanol production is the largest user of U.S. corn, representing roughly 40% of total U.S. corn demand. Lastly, due to the overall demand for corn, the USDA significantly decreased the U.S. ending corn stocks to approximately 38 million metric tons, compared to 49 million metric tons relating to the 2020 crop.</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2021, this decrease in ending corn stocks has elevated current and projected corn prices not seen in seven years, which may positively impact fertilizer demand and prices for the spring planting season.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Following the expansions, global nitrogen fertilizer supply outpaced global nitrogen fertilizer demand causing oversupply in the global and North American markets. In addition, the new domestic supply of ammonia and other fertilizer products changed the physical flow of ammonia in North America placing pressure on nitrogen fertilizer selling prices as the new capacity was absorbed by the market.</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late 2019 and into 2020, ammonia pricing was under pressure due to inordinately inclement weather, followed by sluggish industrial demand throughout 2020, as a result of pandemic related weakness, which led to increased supply and resultant lower overall pricing for ammonia. Also, in 2020, ammonia prices in the Southern Plains market were under additional pricing pressure relating to the closure of the Magellan ammonia pipeline during 2019, which also led to a build-up in ammonia supply in this market.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in the latter half of 2019 and throughout 2020, UAN prices traded at a discount to urea on a nitrogen equivalent basis, due in part to European anti-dumping duties that were imposed on imports from certain countries, including the U.S., which resulted in increased imports of UAN into the U.S. primarily from Trinidad and Russia and decreased exports from the U.S., resulting in increased overall supply in the U.S market.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Looking forward to 2021, favorable dynamics for U.S. agriculture have translated into higher prices to date for a variety of crops, including corn, which has prompted an increase in demand for fertilizers by farmers seeking to maximize yields in the coming spring planting season. Favorable grower income in 2020, coupled with significant increase in Chinese imports of agricultural commodities, lower ending U.S. corn inventory levels, and drought conditions in South America have pushed commodity prices, including corn, to their highest level in over seven years. According to certain industry sources, the estimated corn acres to be planted in 2021 is between 92 to 94 million. These factors have resulted in a price rally for fertilizers over the last several months, which we expect will continue through the spring planting season.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Mining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“Business Developments-2020.”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Our industrial products sales volumes are dependent upon general economic conditions primarily in the housing, automotive, and paper industries. According to the American Chemistry Council, the U.S. economic indicators are improving and pointing towards continued improvement despite continuing COVID-19 pandemic related difficulties in the markets we serve. Our sales prices generally vary with the market price of ammonia or natural gas, as applicable, in our pricing arrangements with customers. See discussion above concerning a new long-term nitric acid supply contract under “Business Developments-2020.”</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mining products are LDAN and AN solution, which are primary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Metals mining prices have seen strong pricing during 2020 which in turn we expect will drive strong demand for our mining products for 2021 as producers push to extract as much as possible. Also, although U.S. coal production decreased by 24% during 2020, the EIA is projecting a 12% increase in 2021 because of a forecast 41% increase in natural gas prices for electricity generators, making coal more competitive in the electric power sector. We believe our plants are well located to support the more stable quarry and construction industries and the metals mining industries.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2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Additionally, the Magellan ammonia pipeline, which had an annual capacity to transport approximately 900,000 tons per year, most of which was produced in Oklahoma and Texas and delivered via the pipeline in the Midwest has been permanently shut down. Without the pipeline in place for ammonia transport, producers that relied on the pipeline to transport their ammonia now have to rely on other transportation modes, primarily trucks, but will also include rail and barge transport of ammonia. Due to increases in demand for ammonia trucks during the spring and fall planting seasons, higher transportation costs have and could continue to impact our margins, if we were unable to fully pass through these costs to our customers. As a result, we continue to evaluate supply chain efficiencies to reduce or counter the impact of higher logistics costs.</w:t>
      </w:r>
    </w:p>
    <w:p>
      <w:pPr>
        <w:spacing w:after="0" w:line="80" w:lineRule="exact"/>
        <w:rPr>
          <w:sz w:val="20"/>
          <w:szCs w:val="20"/>
          <w:color w:val="auto"/>
        </w:rPr>
      </w:pPr>
    </w:p>
    <w:p>
      <w:pPr>
        <w:jc w:val="right"/>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lost contribution margin from lost sales of our products, lost fixed cost absorption from lower production of our products, and increased costs related to repairs and maintenance, which repair and maintenance costs are expensed as incurred.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with the next ammonia plant Turnaround planned in the third quarter of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currently on a three-year ammonia plant Turnaround cycle with the next ammonia plant Turnaround planned in the third quarter of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ammonia production in 2020 was 827,000 tons. For 2021, we are targeting total ammonia production of approximately 830,000 tons to 850,000 tons despite a 30-day Turnaround at our Cherokee Facility, which will lower ammonia production during the third quarter by approximately 15,000 tons.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2021.</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for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net sales for 2020 were $351.3 million compared to $365.1 million for 2019. Our consolidated operating loss was $15.5 million compared to $39.1 million for 2019. The items affecting our operating results are discussed below and under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2020, average agricultural selling prices for our ammonia, UAN, and HDAN decreased 29%, 25% and 11%, respectively, compared to 2019. As discussed above under “Key Industry Factors,” the COVID-19 economic downturn and the resultant decline in energy prices has led to lower natural gas prices globally. These factors have led to an increase in operating rates for nitrogen producers around the globe, resulting in greater supply of nitrogen products and lower fertilizer pricing. This, combined with elevated ammonia inventory levels from the inordinately inclement weather throughout the Midwest in 2019 and the closure of the Magellan ammonia pipeline in September 2019, has led to excess ammonia supply in the Southern Plains market. Also pricing pressures were driven by the impact of ammonia producers selling ammonia that would otherwise have been sold into the industrial market but was instead sold into the agricultural market due to the pandemic-related slowdown of the industrial market. UAN prices were negatively impacted by European anti-dumping duties, which resulted in less exports of UAN from the U.S. and more imports of UAN from Russia and Trinidad into the U.S. HDAN prices were impacted by the overall decline in agricultural commodity prices.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2020 average industrial selling prices for our products were lower compared to the same period of 2019 as a result of the aforementioned negative impact on the markets we serve from the COVID-19 pandemic and the elevated ammonia inventory levels. The Tampa Ammonia pricing declined 6% compared to 2019, which led to a decrease in industrial selling prices as many of our industrial contracts are indexed to the Tampa Ammonia benchmark price. Our 2020 average mining selling prices were lower compared to 2019 primarily as a result of certain mining sales contracts are linked to natural gas indexes and as the cost of natural gas declines, the pricing for these products declines accordingly.</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Legal Fees-Leidos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2020 and 2019, certain legal fees were approximately $5.7 million and $9.6 million, respectively. These fees relate to claims we are pursuing against Leidos to recover damages and losses associated with the construction of the ammonia plant at the El Dorado Facility as discussed in footnote B of Note</w:t>
      </w:r>
    </w:p>
    <w:p>
      <w:pPr>
        <w:ind w:firstLine="8"/>
        <w:spacing w:after="0" w:line="260"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Due to the impact from the COVID-19 pandemic, the trial date has been delayed, which resulted in reduced costs in 2020. We are awaiting a new trial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b w:val="1"/>
          <w:bCs w:val="1"/>
          <w:i w:val="1"/>
          <w:iCs w:val="1"/>
          <w:color w:val="auto"/>
        </w:rPr>
        <w:t>Settlements with Certain Vendors (2020 only)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under “Business Developments-2020”, EDC and certain vendors mediated settlements for EDC to recover certain costs associated with a nitric acid plant at our El Dorado Facility. As a result, a recovery from these settlements was recognized which includes approximately $5.7 million classified as a reduction to cost of sales.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Ammonia Plant Turnaround Activities (2019 only)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an ammonia plant Turnaround is performed, overall results are negatively impacted. This impact includes lost contribution margin from lost sales, lost fixed cost absorption from lower production, and increased costs associated with repairs and maintenance. The effects of our ammonia plant Turnarounds, exclusive of the impacts due to lost production during the downtime, are shown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vMerge w:val="restart"/>
          </w:tcPr>
          <w:p>
            <w:pPr>
              <w:jc w:val="center"/>
              <w:ind w:right="280"/>
              <w:spacing w:after="0"/>
              <w:rPr>
                <w:sz w:val="20"/>
                <w:szCs w:val="20"/>
                <w:color w:val="auto"/>
              </w:rPr>
            </w:pPr>
            <w:r>
              <w:rPr>
                <w:rFonts w:ascii="Arial" w:cs="Arial" w:eastAsia="Arial" w:hAnsi="Arial"/>
                <w:sz w:val="18"/>
                <w:szCs w:val="18"/>
                <w:color w:val="auto"/>
                <w:w w:val="89"/>
              </w:rPr>
              <w:t>Turnaround Expense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Estimated Lost</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0"/>
              </w:rPr>
              <w:t>Turnaround</w:t>
            </w:r>
          </w:p>
        </w:tc>
        <w:tc>
          <w:tcPr>
            <w:tcW w:w="1860" w:type="dxa"/>
            <w:vAlign w:val="bottom"/>
            <w:gridSpan w:val="3"/>
            <w:vMerge w:val="continue"/>
          </w:tcPr>
          <w:p>
            <w:pPr>
              <w:spacing w:after="0"/>
              <w:rPr>
                <w:sz w:val="10"/>
                <w:szCs w:val="10"/>
                <w:color w:val="auto"/>
              </w:rPr>
            </w:pP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Production</w:t>
            </w: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2019 Related Period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Downtime</w:t>
            </w:r>
          </w:p>
        </w:tc>
        <w:tc>
          <w:tcPr>
            <w:tcW w:w="16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(In Thousands)</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Tons)</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Pryor Facility</w:t>
            </w:r>
          </w:p>
        </w:tc>
        <w:tc>
          <w:tcPr>
            <w:tcW w:w="16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w:t>
            </w:r>
            <w:r>
              <w:rPr>
                <w:rFonts w:ascii="Arial" w:cs="Arial" w:eastAsia="Arial" w:hAnsi="Arial"/>
                <w:sz w:val="15"/>
                <w:szCs w:val="15"/>
                <w:color w:val="auto"/>
                <w:w w:val="90"/>
              </w:rPr>
              <w:t>rd</w:t>
            </w:r>
            <w:r>
              <w:rPr>
                <w:rFonts w:ascii="Arial" w:cs="Arial" w:eastAsia="Arial" w:hAnsi="Arial"/>
                <w:sz w:val="18"/>
                <w:szCs w:val="18"/>
                <w:color w:val="auto"/>
                <w:w w:val="90"/>
              </w:rPr>
              <w:t>/4</w:t>
            </w:r>
            <w:r>
              <w:rPr>
                <w:rFonts w:ascii="Arial" w:cs="Arial" w:eastAsia="Arial" w:hAnsi="Arial"/>
                <w:sz w:val="15"/>
                <w:szCs w:val="15"/>
                <w:color w:val="auto"/>
                <w:w w:val="90"/>
              </w:rPr>
              <w:t>th</w:t>
            </w:r>
            <w:r>
              <w:rPr>
                <w:rFonts w:ascii="Arial" w:cs="Arial" w:eastAsia="Arial" w:hAnsi="Arial"/>
                <w:sz w:val="18"/>
                <w:szCs w:val="18"/>
                <w:color w:val="auto"/>
                <w:w w:val="90"/>
              </w:rPr>
              <w:t xml:space="preserve"> Quarter</w:t>
            </w:r>
          </w:p>
        </w:tc>
        <w:tc>
          <w:tcPr>
            <w:tcW w:w="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67 days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28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El Dorado Facility</w:t>
            </w:r>
          </w:p>
        </w:tc>
        <w:tc>
          <w:tcPr>
            <w:tcW w:w="212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91"/>
              </w:rPr>
              <w:t>3</w:t>
            </w:r>
            <w:r>
              <w:rPr>
                <w:rFonts w:ascii="Arial" w:cs="Arial" w:eastAsia="Arial" w:hAnsi="Arial"/>
                <w:sz w:val="15"/>
                <w:szCs w:val="15"/>
                <w:color w:val="auto"/>
                <w:w w:val="91"/>
              </w:rPr>
              <w:t>rd</w:t>
            </w:r>
            <w:r>
              <w:rPr>
                <w:rFonts w:ascii="Arial" w:cs="Arial" w:eastAsia="Arial" w:hAnsi="Arial"/>
                <w:sz w:val="18"/>
                <w:szCs w:val="18"/>
                <w:color w:val="auto"/>
                <w:w w:val="91"/>
              </w:rPr>
              <w:t xml:space="preserve"> Quarter</w:t>
            </w:r>
          </w:p>
        </w:tc>
        <w:tc>
          <w:tcPr>
            <w:tcW w:w="138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8"/>
              </w:rPr>
              <w:t>18 days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28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Charge Associated with Assets Held for Sale (2019 only)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2019, we recognized a non-cash charge of $9.7 million associated with assets held for sale, which amount is included in other expense.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2020, the benefit for income taxes was $4.7 million, with an effective benefit rate of 7.1%. The effective tax rate was impacted by adjustments made to our valuation allowances. For 2019, the benefit for income taxes was $20.9 million and the resulting increase in the effective benefit rate for 2019 was 24.8%, which includes changes to the state deferred tax assets and liabilities resulting from state tax law changes enacted and due to federal and state indefinite lived carryforward benefits that can be realized through the reversal of deferred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Results of Operations should be read in conjunction with our consolidated financial statements for the years ended December 31, 2020 and 2019 and accompanying notes and the discussions under “Overview” and “Liquidity and Capital Resources” included in this MD&amp;A. You should carefully review and consider the information in the MD&amp;A of our 2019 Form 10-K, filed with the SEC on February 25, 2020, for an understanding of our results of operations and liquidity discussions and analysis comparing 2019 to 2018.</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Year Ended December 31, 2020 Compared to Year Ended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color w:val="auto"/>
                <w:w w:val="94"/>
              </w:rPr>
              <w:t>(Dollars In Thousands)</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Agricultural products</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180,036</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187,641</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(7,605)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171,280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177,429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(6,149)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7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351,316</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365,070</w:t>
            </w:r>
          </w:p>
        </w:tc>
        <w:tc>
          <w:tcPr>
            <w:tcW w:w="3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(13,754)</w:t>
            </w:r>
          </w:p>
        </w:tc>
        <w:tc>
          <w:tcPr>
            <w:tcW w:w="32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10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19,348</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(9,105)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58,005</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3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86,458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(69,500)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(68,263)</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(1,237)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(13,210)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5,664</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7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12,063</w:t>
            </w: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34,172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(2,088)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(9,405)</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(39,091)</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23,556</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14"/>
                <w:szCs w:val="14"/>
                <w:color w:val="auto"/>
              </w:rPr>
              <w:t>(4)</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(4,749)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(20,924)</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(61,911)</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(63,417)</w:t>
            </w:r>
          </w:p>
        </w:tc>
        <w:tc>
          <w:tcPr>
            <w:tcW w:w="3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32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(5)</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36,081</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and amortization, Turnaround expenses and a recovery from settlements.</w:t>
      </w:r>
    </w:p>
    <w:p>
      <w:pPr>
        <w:spacing w:after="0" w:line="33" w:lineRule="exact"/>
        <w:rPr>
          <w:rFonts w:ascii="Arial" w:cs="Arial" w:eastAsia="Arial" w:hAnsi="Arial"/>
          <w:sz w:val="15"/>
          <w:szCs w:val="15"/>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discussion above under “Business Developments - 2020.”</w:t>
      </w:r>
    </w:p>
    <w:p>
      <w:pPr>
        <w:spacing w:after="0" w:line="18"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interest expense of $1.6 million associated with a litigation judgment issued during 2020 as discussed in footnote (B) of Note 8.</w:t>
      </w:r>
    </w:p>
    <w:p>
      <w:pPr>
        <w:spacing w:after="0" w:line="18"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a percentage of total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8"/>
              </w:rPr>
              <w:t>Industrial</w:t>
            </w:r>
          </w:p>
        </w:tc>
        <w:tc>
          <w:tcPr>
            <w:tcW w:w="3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8"/>
              </w:rPr>
              <w:t>Industrial</w:t>
            </w:r>
          </w:p>
        </w:tc>
        <w:tc>
          <w:tcPr>
            <w:tcW w:w="3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Agricultural</w:t>
            </w:r>
          </w:p>
        </w:tc>
        <w:tc>
          <w:tcPr>
            <w:tcW w:w="1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Agricultural</w:t>
            </w:r>
          </w:p>
        </w:tc>
        <w:tc>
          <w:tcPr>
            <w:tcW w:w="1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Agricultural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Mining</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Products</w:t>
            </w:r>
          </w:p>
        </w:tc>
        <w:tc>
          <w:tcPr>
            <w:tcW w:w="14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Products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171,280</w:t>
            </w:r>
          </w:p>
        </w:tc>
        <w:tc>
          <w:tcPr>
            <w:tcW w:w="30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187,641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177,429</w:t>
            </w:r>
          </w:p>
        </w:tc>
        <w:tc>
          <w:tcPr>
            <w:tcW w:w="30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FF0FC"/>
            </w:tcBorders>
            <w:vMerge w:val="continue"/>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19,348</w:t>
            </w:r>
          </w:p>
        </w:tc>
        <w:tc>
          <w:tcPr>
            <w:tcW w:w="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61,612</w:t>
            </w:r>
          </w:p>
        </w:tc>
        <w:tc>
          <w:tcPr>
            <w:tcW w:w="300" w:type="dxa"/>
            <w:vAlign w:val="bottom"/>
            <w:tcBorders>
              <w:bottom w:val="single" w:sz="8" w:color="CFF0FC"/>
              <w:right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28,453</w:t>
            </w:r>
          </w:p>
        </w:tc>
        <w:tc>
          <w:tcPr>
            <w:tcW w:w="3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58,005</w:t>
            </w:r>
          </w:p>
        </w:tc>
        <w:tc>
          <w:tcPr>
            <w:tcW w:w="300" w:type="dxa"/>
            <w:vAlign w:val="bottom"/>
            <w:tcBorders>
              <w:bottom w:val="single" w:sz="8" w:color="CFF0FC"/>
              <w:right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(9,105)</w:t>
            </w:r>
          </w:p>
        </w:tc>
        <w:tc>
          <w:tcPr>
            <w:tcW w:w="2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0"/>
                <w:szCs w:val="20"/>
                <w:color w:val="auto"/>
              </w:rPr>
            </w:pPr>
          </w:p>
        </w:tc>
        <w:tc>
          <w:tcPr>
            <w:tcW w:w="11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20"/>
                <w:szCs w:val="20"/>
                <w:color w:val="auto"/>
              </w:rPr>
            </w:pPr>
          </w:p>
        </w:tc>
        <w:tc>
          <w:tcPr>
            <w:tcW w:w="11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right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6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depreciation and amortization, Turnaround expenses and a recovery from settlements. See reconciliation included in the financial information table above.</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58"/>
        </w:trPr>
        <w:tc>
          <w:tcPr>
            <w:tcW w:w="11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Product (tons sold)</w:t>
            </w:r>
          </w:p>
        </w:tc>
        <w:tc>
          <w:tcPr>
            <w:tcW w:w="276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center"/>
              <w:ind w:right="150"/>
              <w:spacing w:after="0" w:line="15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394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1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gridSpan w:val="3"/>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498,738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359,905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138,833</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9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292,679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277,820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14,859</w:t>
            </w:r>
          </w:p>
        </w:tc>
        <w:tc>
          <w:tcPr>
            <w:tcW w:w="2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94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906,808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741,304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417"/>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9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Gross Average Selling Prices (price per ton)</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center"/>
              <w:ind w:right="150"/>
              <w:spacing w:after="0" w:line="15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7"/>
        </w:trPr>
        <w:tc>
          <w:tcPr>
            <w:tcW w:w="2680" w:type="dxa"/>
            <w:vAlign w:val="bottom"/>
            <w:tcBorders>
              <w:top w:val="single" w:sz="8" w:color="auto"/>
            </w:tcBorders>
            <w:gridSpan w:val="2"/>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1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11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Product (tons sold)</w:t>
            </w:r>
          </w:p>
        </w:tc>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95"/>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7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gridSpan w:val="2"/>
            <w:vMerge w:val="continue"/>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269,485</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275,253</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(5,768)</w:t>
            </w:r>
          </w:p>
        </w:tc>
        <w:tc>
          <w:tcPr>
            <w:tcW w:w="220" w:type="dxa"/>
            <w:vAlign w:val="bottom"/>
            <w:vMerge w:val="continue"/>
            <w:shd w:val="clear" w:color="auto" w:fill="CFF0FC"/>
          </w:tcPr>
          <w:p>
            <w:pPr>
              <w:spacing w:after="0"/>
              <w:rPr>
                <w:sz w:val="18"/>
                <w:szCs w:val="18"/>
                <w:color w:val="auto"/>
              </w:rPr>
            </w:pPr>
          </w:p>
        </w:tc>
        <w:tc>
          <w:tcPr>
            <w:tcW w:w="138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60"/>
              <w:spacing w:after="0"/>
              <w:rPr>
                <w:sz w:val="20"/>
                <w:szCs w:val="20"/>
                <w:color w:val="auto"/>
              </w:rPr>
            </w:pPr>
            <w:r>
              <w:rPr>
                <w:rFonts w:ascii="Arial" w:cs="Arial" w:eastAsia="Arial" w:hAnsi="Arial"/>
                <w:sz w:val="18"/>
                <w:szCs w:val="18"/>
                <w:color w:val="auto"/>
              </w:rPr>
              <w:t>Nitric Acid</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(5,149)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Industrial Products</w:t>
            </w: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47,875</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35,107</w:t>
            </w:r>
          </w:p>
        </w:tc>
        <w:tc>
          <w:tcPr>
            <w:tcW w:w="1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12,768</w:t>
            </w:r>
          </w:p>
        </w:tc>
        <w:tc>
          <w:tcPr>
            <w:tcW w:w="220" w:type="dxa"/>
            <w:vAlign w:val="bottom"/>
            <w:shd w:val="clear" w:color="auto" w:fill="CFF0FC"/>
          </w:tcPr>
          <w:p>
            <w:pPr>
              <w:spacing w:after="0"/>
              <w:rPr>
                <w:sz w:val="19"/>
                <w:szCs w:val="19"/>
                <w:color w:val="auto"/>
              </w:rPr>
            </w:pPr>
          </w:p>
        </w:tc>
        <w:tc>
          <w:tcPr>
            <w:tcW w:w="138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4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411,755</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Tampa Ammonia Benchmark (price per metric ton)</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138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8380" w:type="dxa"/>
            <w:vAlign w:val="bottom"/>
            <w:gridSpan w:val="9"/>
          </w:tcPr>
          <w:p>
            <w:pPr>
              <w:spacing w:after="0"/>
              <w:rPr>
                <w:sz w:val="20"/>
                <w:szCs w:val="20"/>
                <w:color w:val="auto"/>
              </w:rPr>
            </w:pPr>
            <w:r>
              <w:rPr>
                <w:rFonts w:ascii="Arial" w:cs="Arial" w:eastAsia="Arial" w:hAnsi="Arial"/>
                <w:sz w:val="18"/>
                <w:szCs w:val="18"/>
                <w:color w:val="auto"/>
                <w:w w:val="92"/>
              </w:rPr>
              <w:t>With respect to sales of mining products, the following tables indicate key operating metrics of our major products: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11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Product (tons sold)</w:t>
            </w:r>
          </w:p>
        </w:tc>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LDAN/HDAN/AN Solution</w:t>
            </w:r>
          </w:p>
        </w:tc>
        <w:tc>
          <w:tcPr>
            <w:tcW w:w="7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gridSpan w:val="2"/>
            <w:vMerge w:val="continue"/>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161,516</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151,935</w:t>
            </w:r>
          </w:p>
        </w:tc>
        <w:tc>
          <w:tcPr>
            <w:tcW w:w="120" w:type="dxa"/>
            <w:vAlign w:val="bottom"/>
            <w:vMerge w:val="continue"/>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9,581</w:t>
            </w:r>
          </w:p>
        </w:tc>
        <w:tc>
          <w:tcPr>
            <w:tcW w:w="220" w:type="dxa"/>
            <w:vAlign w:val="bottom"/>
            <w:vMerge w:val="continue"/>
            <w:shd w:val="clear" w:color="auto" w:fill="CFF0FC"/>
          </w:tcPr>
          <w:p>
            <w:pPr>
              <w:spacing w:after="0"/>
              <w:rPr>
                <w:sz w:val="18"/>
                <w:szCs w:val="18"/>
                <w:color w:val="auto"/>
              </w:rPr>
            </w:pPr>
          </w:p>
        </w:tc>
        <w:tc>
          <w:tcPr>
            <w:tcW w:w="138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75"/>
        </w:trPr>
        <w:tc>
          <w:tcPr>
            <w:tcW w:w="1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814"/>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74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Agricultural product sales decreased driven by lower selling prices for all of our agricultural products. The impact from the decline in selling prices was partially offset by an increase in sales volume of all our major agricultural products, including UAN as a result of higher production from the Pryor Facility as a result of the new Urea reactor which was installed in the fourth quarter of 2019.</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Industrial products sales decreased primarily from lower selling prices due primarily to lower Tampa Ammonia benchmark pricing. The average Tampa ammonia pricing was approximately $15 per ton lower compared to 2019. Additionally, overall sales volumes were slightly higher into markets we serve, as a result of higher production, despite the impact from the COVID-19 pandemic.</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Mining products sales increase slightly primarily as the result of overall higher sales volumes as customer demand has recently improved in certain markets we serve partially offset by lower selling prices. Certain mining sales contracts are linked to natural gas indexes and as the cost of natural gas declines, the pricing for these products declines accordingly.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in the tables above, we recognized a gross profit of $17 million for 2020 compared to $5 million for 2019, or an increase of approximately $12 million. Overall, our gross profit percentage increased to 4.9% for 2020 compared to 1.4% for 2019.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agricultural products adjusted gross profit percentage decreased to 11% for 2020 from 15% for 2019 due primarily to decreased selling prices for all of our agricultural products partially offset by increased sales volumes for all of our major products as discussed above.</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Industrial and mining products adjusted gross profit percentage increased for 2020 to 36% from 33% for 2019 primarily driven by a shift of product mix, lower production costs and higher sales volumes of our mining products and certain industrial products partially offset by lower overall Tampa Ammonia pricing, which averaged approximately $233 per metric ton during 2020 compared to approximately $248 per metric ton for 2019 as discussed above.</w:t>
      </w:r>
    </w:p>
    <w:p>
      <w:pPr>
        <w:spacing w:after="0" w:line="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net negative effect on gross profit from activity discussed above was offset by approximately $13.9 million in lower natural gas costs per MMBtu and the result of settlements with certain vendors resulting in a recovery of approximately $5.7 million as discussed in Note 8. Also, during 2019, we incurred Turnaround costs totaling approximately $13.2 million (no Turnarounds were performed during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ectPr>
          <w:pgSz w:w="11900" w:h="16838" w:orient="portrait"/>
          <w:cols w:equalWidth="0" w:num="1">
            <w:col w:w="11240"/>
          </w:cols>
          <w:pgMar w:left="320" w:top="553" w:right="339" w:bottom="1440" w:gutter="0" w:footer="0" w:header="0"/>
        </w:sectPr>
      </w:pP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$32.1 million for 2020, a decrease of $2.1 million compared to 2019. professional fees of $3.3 million, including legal fees discussed above under “Items Affecting compensation-related and other miscellaneous costs of $1.2 million.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firstLine="118"/>
        <w:spacing w:after="0" w:line="308" w:lineRule="auto"/>
        <w:rPr>
          <w:sz w:val="20"/>
          <w:szCs w:val="20"/>
          <w:color w:val="auto"/>
        </w:rPr>
      </w:pPr>
      <w:r>
        <w:rPr>
          <w:rFonts w:ascii="Arial" w:cs="Arial" w:eastAsia="Arial" w:hAnsi="Arial"/>
          <w:sz w:val="17"/>
          <w:szCs w:val="17"/>
          <w:color w:val="auto"/>
        </w:rPr>
        <w:t>This net decrease was primarily driven by lower Comparability”, partially offset by an increase in</w:t>
      </w:r>
    </w:p>
    <w:p>
      <w:pPr>
        <w:spacing w:after="0" w:line="250" w:lineRule="exact"/>
        <w:rPr>
          <w:sz w:val="20"/>
          <w:szCs w:val="20"/>
          <w:color w:val="auto"/>
        </w:rPr>
      </w:pPr>
    </w:p>
    <w:p>
      <w:pPr>
        <w:sectPr>
          <w:pgSz w:w="11900" w:h="16838" w:orient="portrait"/>
          <w:cols w:equalWidth="0" w:num="2">
            <w:col w:w="7400" w:space="20"/>
            <w:col w:w="3820"/>
          </w:cols>
          <w:pgMar w:left="320" w:top="553" w:right="3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Other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2019 was $9.9 million primarily relating to a non-cash charge associated with assets held for sale (minimal for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2020 was $51.1 million compared to $46.4 million for 2019. The net increase relates primarily to interest expense incurred associated with the issuance of the New Notes in 2019, the Secured Financing due 2023 and the Secured Financing Agreement due 2025 as discussed in Note 6 in addition to a litigation judgment discussed in footnote (B) of Note 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benefit for income taxes for 2020 was $4.7 million compared to $20.9 million for 2019. The resulting benefit rate for 2020 was 7.1% compared to 24.8% for 2019. For 2020, the effective tax rate was impacted by adjustments made to our valuation allowances. The 2019 effective tax rate was impacted primarily due to changes to the state deferred tax assets and liabilities resulting from state tax law changes enacted during 2019 and due to federal and state indefinite lived carryforward benefits that can be realized through the reversal of deferred tax liabilities. Also, see discussion in Note 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Change</w:t>
            </w:r>
          </w:p>
        </w:tc>
      </w:tr>
      <w:tr>
        <w:trPr>
          <w:trHeight w:val="156"/>
        </w:trPr>
        <w:tc>
          <w:tcPr>
            <w:tcW w:w="4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right"/>
              <w:ind w:right="660"/>
              <w:spacing w:after="0" w:line="155" w:lineRule="exact"/>
              <w:rPr>
                <w:sz w:val="20"/>
                <w:szCs w:val="20"/>
                <w:color w:val="auto"/>
              </w:rPr>
            </w:pPr>
            <w:r>
              <w:rPr>
                <w:rFonts w:ascii="Arial" w:cs="Arial" w:eastAsia="Arial" w:hAnsi="Arial"/>
                <w:sz w:val="14"/>
                <w:szCs w:val="14"/>
                <w:color w:val="auto"/>
                <w:w w:val="97"/>
              </w:rPr>
              <w:t>(In Thousands)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(2,513)</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(4,612)</w:t>
            </w: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(28,426)</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(35,925)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FF0FC"/>
          </w:tcPr>
          <w:p>
            <w:pPr>
              <w:spacing w:after="0"/>
              <w:rPr>
                <w:sz w:val="21"/>
                <w:szCs w:val="2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24,412</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(6,157)</w:t>
            </w: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by operating activities was $2.5 million for 2020 compared net cash provided of $2.1 million for 2019, a decrease of $4.6 million.</w:t>
      </w:r>
    </w:p>
    <w:p>
      <w:pPr>
        <w:spacing w:after="0" w:line="1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2020, net cash used is the result of a net loss of $61.9 million plus adjustments of $69.6 million for depreciation and amortization of PP&amp;E, and other adjustments of $9.4 million less an adjustment of $4.8 million for deferred taxes and net cash used of approximately $14.8 million primarily from our working capital, including accounts payable, accounts receivable and prepaid deposits.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2019, net cash provided is the result of a net loss of $63.4 million plus adjustments of $68.3 million for depreciation and amortization of PP&amp;E, non-cash charge of $9.7 million associated assets held for sale, and other adjustments of $7.0 million less an adjustment of $20.9 million for deferred taxes and net cash provided of approximately $1.4 million primarily from our working capital.</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investing activities was $28.4 million for 2020 compared to $35.9 million for 2019, a change of $7.5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2020 and 2019, net cash used relates primarily to expenditures for PP&amp;E.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$24.4 million for 2020 compared to $30.6 million for 2019, a change of $6.2 million.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2020, net cash provided primarily consists of proceeds of $57.2 million from other long-term debt and insurance premium short-term financing partially offset by payments on other long-term debt and short-term financing of $32.3 million and payments of $0.5 million for other financing activities.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2019, net cash provided primarily consists of net proceeds of $35.1 million from the New Notes, net proceeds of $7.5 million, net of payments, from other long-term debt and insurance premium short-term financing partially offset by net payments of $10 million on the Working Capital Revolver Loan, and payments of $2.0 million for other financing activities.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0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tcPr>
          <w:p>
            <w:pPr>
              <w:jc w:val="right"/>
              <w:ind w:right="107"/>
              <w:spacing w:after="0" w:line="155" w:lineRule="exact"/>
              <w:rPr>
                <w:sz w:val="20"/>
                <w:szCs w:val="20"/>
                <w:color w:val="auto"/>
              </w:rPr>
            </w:pPr>
            <w:r>
              <w:rPr>
                <w:rFonts w:ascii="Arial" w:cs="Arial" w:eastAsia="Arial" w:hAnsi="Arial"/>
                <w:sz w:val="14"/>
                <w:szCs w:val="14"/>
                <w:color w:val="auto"/>
              </w:rPr>
              <w:t>(In Millions)</w:t>
            </w: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Revolving credit facility and long-term debt:</w:t>
            </w:r>
          </w:p>
        </w:tc>
        <w:tc>
          <w:tcPr>
            <w:tcW w:w="1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 xml:space="preserve">Unsecured Loan Agreement due 2022 </w:t>
            </w:r>
            <w:r>
              <w:rPr>
                <w:rFonts w:ascii="Arial" w:cs="Arial" w:eastAsia="Arial" w:hAnsi="Arial"/>
                <w:sz w:val="14"/>
                <w:szCs w:val="14"/>
                <w:color w:val="auto"/>
              </w:rPr>
              <w:t>(1)</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Secured Loan Agreement due 2025</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Secured Financing due 2025 </w:t>
            </w:r>
            <w:r>
              <w:rPr>
                <w:rFonts w:ascii="Arial" w:cs="Arial" w:eastAsia="Arial" w:hAnsi="Arial"/>
                <w:sz w:val="14"/>
                <w:szCs w:val="14"/>
                <w:color w:val="auto"/>
              </w:rPr>
              <w:t>(1)</w:t>
            </w: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 xml:space="preserve">Secured Promissory Note due 2023 </w:t>
            </w:r>
            <w:r>
              <w:rPr>
                <w:rFonts w:ascii="Arial" w:cs="Arial" w:eastAsia="Arial" w:hAnsi="Arial"/>
                <w:sz w:val="14"/>
                <w:szCs w:val="14"/>
                <w:color w:val="auto"/>
              </w:rPr>
              <w:t>(1)</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484.2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(2)</w:t>
            </w: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272.1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149.6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See discussions below under “Loan Agreements and Redeemable Preferred Stock” concerning these financing transactions during 2020.</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Liquidation preference of $278.0 million as of December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“Business Developments - 2020.”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December 31, 2020, our Working Capital Revolver Loan was undrawn and had approximately $41.8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capital expenditures to be approximately $30 million for 2021, which includes approximately $5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under “Loan Agreements,” the Working Capital Revolver Loan requires, among other things, that we meet certain financial covenants. The Working Capital Revolver Loan does not include financial covenant requirements unless a defined covenant trigger event has occurred and is continuing. As of December 31, 2020,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2023 </w:t>
      </w:r>
      <w:r>
        <w:rPr>
          <w:rFonts w:ascii="Arial" w:cs="Arial" w:eastAsia="Arial" w:hAnsi="Arial"/>
          <w:sz w:val="18"/>
          <w:szCs w:val="18"/>
          <w:color w:val="auto"/>
        </w:rPr>
        <w:t>– LSB has $435 million aggregate principal amount of the 9.625% Senior Secured Notes currently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footnote (B) of Note 6. Interest is to be paid semiannually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 maturing May 1, 2023.</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in March 2021. This promissory note bears interest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5.25%. Principal and interest are payable in monthly installments.</w:t>
      </w:r>
    </w:p>
    <w:p>
      <w:pPr>
        <w:spacing w:after="0" w:line="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Unsecured Loan Agreement due 2022 – </w:t>
      </w:r>
      <w:r>
        <w:rPr>
          <w:rFonts w:ascii="Arial" w:cs="Arial" w:eastAsia="Arial" w:hAnsi="Arial"/>
          <w:sz w:val="17"/>
          <w:szCs w:val="17"/>
          <w:color w:val="auto"/>
        </w:rPr>
        <w:t>As discussed in footnote (D) of Note 6, LSB is a party to an unsecured PPP loan with a lender pursuant to a new</w:t>
      </w:r>
      <w:r>
        <w:rPr>
          <w:rFonts w:ascii="Arial" w:cs="Arial" w:eastAsia="Arial" w:hAnsi="Arial"/>
          <w:sz w:val="17"/>
          <w:szCs w:val="17"/>
          <w:b w:val="1"/>
          <w:bCs w:val="1"/>
          <w:color w:val="auto"/>
        </w:rPr>
        <w:t xml:space="preserve"> </w:t>
      </w:r>
      <w:r>
        <w:rPr>
          <w:rFonts w:ascii="Arial" w:cs="Arial" w:eastAsia="Arial" w:hAnsi="Arial"/>
          <w:sz w:val="17"/>
          <w:szCs w:val="17"/>
          <w:color w:val="auto"/>
        </w:rPr>
        <w:t>loan program through the SBA as the result of the PPP established by the CARES Act and amended by the Paycheck Protection Program Flexibility Act of 2020. We have used all or substantially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8-weeks or 24-weeks after disbursement of the loan. Once the SBA notifies the lender the amount of the loan which has been approved for forgiveness, the lender will determine the date that the equal monthly principal and interest payments will begin for the remaining loan balance, if any. As of December 31, 2020, the loan matures in April 2022, which term may be extended to April 2025 if mutually agreed to by the parties. As for the potential loan forgiveness, once the PPP loan 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wholly or partially, forgiven and a legal release is received, the liability would be reduced by the amount forgiven and a gain on extinguishment would be recorded.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Secured Loan Agreement due 2025 - </w:t>
      </w:r>
      <w:r>
        <w:rPr>
          <w:rFonts w:ascii="Arial" w:cs="Arial" w:eastAsia="Arial" w:hAnsi="Arial"/>
          <w:sz w:val="16"/>
          <w:szCs w:val="16"/>
          <w:color w:val="auto"/>
        </w:rPr>
        <w:t>EDC is party to a secured loan agreement with an affiliate of LSB Funding, which provided for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4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Secured Financing due 2025 – </w:t>
      </w:r>
      <w:r>
        <w:rPr>
          <w:rFonts w:ascii="Arial" w:cs="Arial" w:eastAsia="Arial" w:hAnsi="Arial"/>
          <w:sz w:val="16"/>
          <w:szCs w:val="16"/>
          <w:color w:val="auto"/>
        </w:rPr>
        <w:t>As discussed in footnote (G) of Note 6, EDA is party to a $30 million secured financing arrangement with an affiliate of LSB</w:t>
      </w:r>
      <w:r>
        <w:rPr>
          <w:rFonts w:ascii="Arial" w:cs="Arial" w:eastAsia="Arial" w:hAnsi="Arial"/>
          <w:sz w:val="16"/>
          <w:szCs w:val="16"/>
          <w:b w:val="1"/>
          <w:bCs w:val="1"/>
          <w:color w:val="auto"/>
        </w:rPr>
        <w:t xml:space="preserve"> </w:t>
      </w:r>
      <w:r>
        <w:rPr>
          <w:rFonts w:ascii="Arial" w:cs="Arial" w:eastAsia="Arial" w:hAnsi="Arial"/>
          <w:sz w:val="16"/>
          <w:szCs w:val="16"/>
          <w:color w:val="auto"/>
        </w:rPr>
        <w:t>Funding. Principal and interest are payable in 60 equal monthly installments with a final balloon payment of approximately $5 million due in August 2025.</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December 31, 2020, the Working Capital Revolver Loan was undrawn and the net credit available for borrowings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Working Capital Revolver Loan was approximately $41.8 million, based on our eligible collateral, less outstanding standby letters of credit as of that date. Also see discussion above under “Compliance with Long-Term Debt Covenants.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w:t>
      </w:r>
      <w:r>
        <w:rPr>
          <w:rFonts w:ascii="Arial" w:cs="Arial" w:eastAsia="Arial" w:hAnsi="Arial"/>
          <w:sz w:val="18"/>
          <w:szCs w:val="18"/>
          <w:color w:val="auto"/>
        </w:rPr>
        <w:t>– At December 31, 2020, there were 139,768 outstanding shares of Series E Redeemable Preferred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liquidation preference (par value plus accrued dividends) was $278.0 million.</w:t>
      </w:r>
    </w:p>
    <w:p>
      <w:pPr>
        <w:spacing w:after="0" w:line="5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 in Note 10.</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Expenditures – 2020</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2020, capital expenditures relating to PP&amp;E were $30.5 million, which expenditures include approximately $1.8 million associated with maintaining compliance with environmental laws, regulations and guidelines. The capital expenditures were funded primarily from cash and working capital.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annual capital expenditures for 2021.</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numerous federal, state and local laws and regulations, including matters regarding environmental, health and safety matters. As a result, we incurred expenses of $4.0 million in 2020 in connection with environmental projects. For 2021, we expect to incur expenses ranging from $4.1 million to $4.6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10. Each share of Series E Redeemable Preferred is entitled to receive a semi-annual dividend, only when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t>declared by our Board. In addition, dividends in arrears at the dividend date, until paid, shall compound additional dividends at the current annual rate of 14%, but such annual rate will increase beginning on April 25, 2021. The current semi-annual compounded dividend is approximately $136.29 per share for the current aggregate semi-annual dividend of $19.0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December 31, 2020, the amount of accumulated dividends on the Series E Redeemable Preferred was approximately $138.2 million.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2020, the amount of accumulated dividends on the Series D Preferred and Series B Preferred totaled approximately $1.6 million. All shares of the Series D Preferred and Series B Preferred are owned by the Golsen Holders and an immediate family member. There are no optional or mandatory redemption rights with respect to the Series B Preferred or Series D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2020, we have agreed to indemnify the sureties for payments, up to $10 million, made by them in respect of such bonds. All of these insurance bonds are expected to expire or be renewed in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aggregate contractual obligations are summarized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Payments Due in the Year Ending December 31,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6"/>
        </w:trPr>
        <w:tc>
          <w:tcPr>
            <w:tcW w:w="4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ind w:left="260"/>
              <w:spacing w:after="0"/>
              <w:rPr>
                <w:sz w:val="20"/>
                <w:szCs w:val="20"/>
                <w:color w:val="auto"/>
              </w:rPr>
            </w:pPr>
            <w:r>
              <w:rPr>
                <w:rFonts w:ascii="Arial" w:cs="Arial" w:eastAsia="Arial" w:hAnsi="Arial"/>
                <w:sz w:val="18"/>
                <w:szCs w:val="18"/>
                <w:color w:val="auto"/>
              </w:rPr>
              <w:t>Senior Secured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435,000</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492,838</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16,893</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446,291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color w:val="auto"/>
              </w:rPr>
              <w:t>Interest payments on long-term debt (1)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45,670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stock (2)</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139,768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Dividends earned - Series E redeemable preferred stock</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276,783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276,783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expenditures (3)</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Firm purchase commitments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color w:val="auto"/>
              </w:rPr>
              <w:t>Natural gas pipeline commitment (4)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contractual obligations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gridSpan w:val="2"/>
          </w:tcPr>
          <w:p>
            <w:pPr>
              <w:spacing w:after="0"/>
              <w:rPr>
                <w:sz w:val="20"/>
                <w:szCs w:val="20"/>
                <w:color w:val="auto"/>
              </w:rPr>
            </w:pPr>
            <w:r>
              <w:rPr>
                <w:rFonts w:ascii="Arial" w:cs="Arial" w:eastAsia="Arial" w:hAnsi="Arial"/>
                <w:sz w:val="18"/>
                <w:szCs w:val="18"/>
                <w:color w:val="auto"/>
              </w:rPr>
              <w:t>Other contractual obligations included in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140"/>
              <w:spacing w:after="0"/>
              <w:rPr>
                <w:sz w:val="20"/>
                <w:szCs w:val="20"/>
                <w:color w:val="auto"/>
              </w:rPr>
            </w:pPr>
            <w:r>
              <w:rPr>
                <w:rFonts w:ascii="Arial" w:cs="Arial" w:eastAsia="Arial" w:hAnsi="Arial"/>
                <w:sz w:val="18"/>
                <w:szCs w:val="18"/>
                <w:color w:val="auto"/>
              </w:rPr>
              <w:t>noncurrent accrued and other liabilities (5)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1,116,146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115,135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897,953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estimated interest payments are based on interest rates at December 31, 2020 which debt is all fixed interest rate debt.</w:t>
      </w:r>
    </w:p>
    <w:p>
      <w:pPr>
        <w:spacing w:after="0" w:line="23"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Series E redeemable preferred stock (including dividends) are assumed to be redeemed and paid on the earliest possible redemption date by the holder (October 25, 2023) and that dividends are accrued until that date.</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include only the budgeted amounts at December 31, 2020.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9"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future cash flows relating to executive and death benefits are based on estimates at December 31, 2020. The participation rights value associated with embedded derivative of our Series E redeemable preferred stock is based on the value of our common stock at December 31, 2020 and is based on the earliest possible redemption date by the holder, October 25, 2023.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2020, could change in the near term. The more critical areas of financial reporting affected by management's judgment, estimates and assumptions include the following:</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are involved in various legal matters that require management to make estimates and assumptions, including costs relating to the lawsuit styled </w:t>
      </w:r>
      <w:r>
        <w:rPr>
          <w:rFonts w:ascii="Arial" w:cs="Arial" w:eastAsia="Arial" w:hAnsi="Arial"/>
          <w:sz w:val="18"/>
          <w:szCs w:val="18"/>
          <w:i w:val="1"/>
          <w:iCs w:val="1"/>
          <w:color w:val="auto"/>
        </w:rPr>
        <w:t>City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West, Texas v CF Industries, Inc., et al, </w:t>
      </w:r>
      <w:r>
        <w:rPr>
          <w:rFonts w:ascii="Arial" w:cs="Arial" w:eastAsia="Arial" w:hAnsi="Arial"/>
          <w:sz w:val="18"/>
          <w:szCs w:val="18"/>
          <w:color w:val="auto"/>
        </w:rPr>
        <w:t>discussed under “Other Pending, Threatened or Settled Litigation” of Note 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the actual costs could be significantly different than our estimates.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 As discussed under “Government Laws and Regulations” in Item 1 of this report, we are subject to numerous federal, state, and</w:t>
      </w:r>
      <w:r>
        <w:rPr>
          <w:rFonts w:ascii="Arial" w:cs="Arial" w:eastAsia="Arial" w:hAnsi="Arial"/>
          <w:sz w:val="17"/>
          <w:szCs w:val="17"/>
          <w:b w:val="1"/>
          <w:bCs w:val="1"/>
          <w:color w:val="auto"/>
        </w:rPr>
        <w:t xml:space="preserve"> </w:t>
      </w:r>
      <w:r>
        <w:rPr>
          <w:rFonts w:ascii="Arial" w:cs="Arial" w:eastAsia="Arial" w:hAnsi="Arial"/>
          <w:sz w:val="17"/>
          <w:szCs w:val="17"/>
          <w:color w:val="auto"/>
        </w:rPr>
        <w:t>local laws and regulations, including matters regarding environmental, health and safety matters.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matters discussed under footnote A of Note 8. At December 31, 2020 and 2019, liabilities totaling $0.5 million and $0.2 million, respectively, have been accrued relating to these matters. It is also reasonably possible that the estimates and assumptions utilized as of December 31, 2020 could change in the near term. Actual results could differ materially from these estimates and judgments, as additional information becomes known.</w:t>
      </w:r>
    </w:p>
    <w:p>
      <w:pPr>
        <w:spacing w:after="0" w:line="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Income Tax – </w:t>
      </w:r>
      <w:r>
        <w:rPr>
          <w:rFonts w:ascii="Arial" w:cs="Arial" w:eastAsia="Arial" w:hAnsi="Arial"/>
          <w:sz w:val="16"/>
          <w:szCs w:val="16"/>
          <w:color w:val="auto"/>
        </w:rPr>
        <w:t>As discussed under “Income Taxes” in Note 1 and in Note 7, income taxes are accounted for under the asset and liability method.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At December 31, 2020 and 2019, our valuation allowance on deferred tax assets was $64.7 million and $51.6 million, respectively.</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Redeemable Preferred Stocks – </w:t>
      </w:r>
      <w:r>
        <w:rPr>
          <w:rFonts w:ascii="Arial" w:cs="Arial" w:eastAsia="Arial" w:hAnsi="Arial"/>
          <w:sz w:val="18"/>
          <w:szCs w:val="18"/>
          <w:color w:val="auto"/>
        </w:rPr>
        <w:t>Our outstanding Series E and F Redeemable Preferred are redeemable outside of our control and are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temporary/mezzanine equity on our consolidated balance sheet. In addition, certain embedded features (the “embedded derivative”) included in the Series E Redeemable Preferred required bifurcation and are classified as derivative liabilities.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 Approximately $37 million of accretion (including the amount for earned dividends) was recorded to retained earnings in 2020. At December 31, 2020, the carrying value of these redeemable preferred stocks was $272.1 million.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embedded derivative, changes in fair value are recorded in our statement of operations. At December 31, 2020 and 2019, we had estimated that the contingent redemption features had fair value since we had assessed that it was probable that a portion of the shares of this preferred stock would have been redeemed prior to October 25, 2023.</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and 2019, the fair value of the embedded derivative was $1.0 million and $1.1 million, respectively, primarily relating to the participation rights based on the equivalent of 303,646 shares of our common stock at $3.39 and $4.20 per share, respectively. The valuation is classified as Level 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58" w:lineRule="exact"/>
        <w:rPr>
          <w:sz w:val="20"/>
          <w:szCs w:val="20"/>
          <w:color w:val="auto"/>
        </w:rPr>
      </w:pPr>
    </w:p>
    <w:p>
      <w:pPr>
        <w:ind w:right="3900"/>
        <w:spacing w:after="0" w:line="378" w:lineRule="auto"/>
        <w:rPr>
          <w:sz w:val="20"/>
          <w:szCs w:val="20"/>
          <w:color w:val="auto"/>
        </w:rPr>
      </w:pPr>
      <w:r>
        <w:rPr>
          <w:rFonts w:ascii="Arial" w:cs="Arial" w:eastAsia="Arial" w:hAnsi="Arial"/>
          <w:sz w:val="18"/>
          <w:szCs w:val="18"/>
          <w:b w:val="1"/>
          <w:bCs w:val="1"/>
          <w:u w:val="single" w:color="auto"/>
          <w:color w:val="auto"/>
        </w:rPr>
        <w:t>ITEM 7A. QUANTITATIVE AND QUALITATIVE DISCLOSURES ABOUT MARKET RISK General</w:t>
      </w:r>
    </w:p>
    <w:p>
      <w:pPr>
        <w:jc w:val="both"/>
        <w:spacing w:after="0" w:line="277" w:lineRule="auto"/>
        <w:rPr>
          <w:sz w:val="20"/>
          <w:szCs w:val="20"/>
          <w:color w:val="auto"/>
        </w:rPr>
      </w:pPr>
      <w:r>
        <w:rPr>
          <w:rFonts w:ascii="Arial" w:cs="Arial" w:eastAsia="Arial" w:hAnsi="Arial"/>
          <w:sz w:val="18"/>
          <w:szCs w:val="18"/>
          <w:color w:val="auto"/>
        </w:rPr>
        <w:t>Our results of operations and operating cash flows are affected by changes in market prices of ammonia and natural gas and changes in market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December 31, 2020, we had no embedded losses associated with sales commitments with firm sales prices.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As discussed in Note 9, during 2020, we entered into certain natural gas contracts, which are accounted for on a mark-to-market basis. At December 31, 2020, these natural gas contracts included 7.3 million MMBtus of natural gas and therefore a $0.10 change in natural gas price would impact pre-tax operating results by approximately $0.7 million.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December 31, 2020, we had no outstanding borrowings on this credit facility and no other variable rate borrowings. We currently do not hedge our interest rate risk associated with these variable interest loans.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principal amounts and related weighted-average interest rates by maturity date for our interest rate sensitive debt agreements as of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0"/>
              </w:rPr>
              <w:t>Years ending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060" w:type="dxa"/>
            <w:vAlign w:val="bottom"/>
          </w:tcPr>
          <w:p>
            <w:pPr>
              <w:jc w:val="right"/>
              <w:ind w:right="381"/>
              <w:spacing w:after="0" w:line="155" w:lineRule="exact"/>
              <w:rPr>
                <w:sz w:val="20"/>
                <w:szCs w:val="20"/>
                <w:color w:val="auto"/>
              </w:rPr>
            </w:pPr>
            <w:r>
              <w:rPr>
                <w:rFonts w:ascii="Arial" w:cs="Arial" w:eastAsia="Arial" w:hAnsi="Arial"/>
                <w:sz w:val="14"/>
                <w:szCs w:val="14"/>
                <w:b w:val="1"/>
                <w:bCs w:val="1"/>
                <w:color w:val="auto"/>
              </w:rPr>
              <w:t>2022</w:t>
            </w:r>
          </w:p>
        </w:tc>
        <w:tc>
          <w:tcPr>
            <w:tcW w:w="1120" w:type="dxa"/>
            <w:vAlign w:val="bottom"/>
          </w:tcPr>
          <w:p>
            <w:pPr>
              <w:jc w:val="center"/>
              <w:ind w:right="136"/>
              <w:spacing w:after="0" w:line="155" w:lineRule="exact"/>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3"/>
                <w:szCs w:val="13"/>
                <w:color w:val="auto"/>
              </w:rPr>
            </w:pPr>
          </w:p>
        </w:tc>
        <w:tc>
          <w:tcPr>
            <w:tcW w:w="80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62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2"/>
          </w:tcPr>
          <w:p>
            <w:pPr>
              <w:jc w:val="center"/>
              <w:ind w:left="761"/>
              <w:spacing w:after="0" w:line="155" w:lineRule="exact"/>
              <w:rPr>
                <w:sz w:val="20"/>
                <w:szCs w:val="20"/>
                <w:color w:val="auto"/>
              </w:rPr>
            </w:pPr>
            <w:r>
              <w:rPr>
                <w:rFonts w:ascii="Arial" w:cs="Arial" w:eastAsia="Arial" w:hAnsi="Arial"/>
                <w:sz w:val="14"/>
                <w:szCs w:val="14"/>
                <w:color w:val="auto"/>
                <w:w w:val="94"/>
              </w:rPr>
              <w:t>(Dollars In Thousands)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Expected maturities of long-term debt (1):</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Fixed interest rate debt</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  16,893</w:t>
            </w:r>
          </w:p>
        </w:tc>
        <w:tc>
          <w:tcPr>
            <w:tcW w:w="1060" w:type="dxa"/>
            <w:vAlign w:val="bottom"/>
          </w:tcPr>
          <w:p>
            <w:pPr>
              <w:jc w:val="right"/>
              <w:ind w:right="141"/>
              <w:spacing w:after="0"/>
              <w:rPr>
                <w:sz w:val="20"/>
                <w:szCs w:val="20"/>
                <w:color w:val="auto"/>
              </w:rPr>
            </w:pPr>
            <w:r>
              <w:rPr>
                <w:rFonts w:ascii="Arial" w:cs="Arial" w:eastAsia="Arial" w:hAnsi="Arial"/>
                <w:sz w:val="18"/>
                <w:szCs w:val="18"/>
                <w:color w:val="auto"/>
              </w:rPr>
              <w:t>$  12,641</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$ 446,291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7,427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9,586</w:t>
            </w:r>
          </w:p>
        </w:tc>
        <w:tc>
          <w:tcPr>
            <w:tcW w:w="2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$ 492,838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debt balances and weighted-average interest rate are based on the aggregate amount of debt outstanding as of December 31, 2020.</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and 2019,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2020 that have materially affected, or are reasonably likely to materially affect, our internal control over financial reporting.</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assessed the effectiveness of our internal control over financial reporting as of December 31, 2020. In making this assessment, it used the criteria set forth by the Committee of Sponsoring Organizations of the Treadway Commission in Internal Control - Integrated Framework (2013 Framework). Based on our assessment, we believe that, as of December 31, 2020, our internal control over financial reporting is effective based on those criteria.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April 30,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680" w:type="dxa"/>
            <w:vAlign w:val="bottom"/>
            <w:gridSpan w:val="6"/>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2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(a) (1) Financial Statements</w:t>
            </w:r>
          </w:p>
        </w:tc>
        <w:tc>
          <w:tcPr>
            <w:tcW w:w="3360" w:type="dxa"/>
            <w:vAlign w:val="bottom"/>
            <w:tcBorders>
              <w:top w:val="single" w:sz="8" w:color="auto"/>
            </w:tcBorders>
            <w:gridSpan w:val="3"/>
          </w:tcPr>
          <w:p>
            <w:pPr>
              <w:spacing w:after="0"/>
              <w:rPr>
                <w:sz w:val="24"/>
                <w:szCs w:val="24"/>
                <w:color w:val="auto"/>
              </w:rPr>
            </w:pPr>
          </w:p>
        </w:tc>
        <w:tc>
          <w:tcPr>
            <w:tcW w:w="51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680" w:type="dxa"/>
            <w:vAlign w:val="bottom"/>
            <w:gridSpan w:val="6"/>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331"/>
        </w:trPr>
        <w:tc>
          <w:tcPr>
            <w:tcW w:w="10680" w:type="dxa"/>
            <w:vAlign w:val="bottom"/>
            <w:gridSpan w:val="6"/>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338"/>
        </w:trPr>
        <w:tc>
          <w:tcPr>
            <w:tcW w:w="10680" w:type="dxa"/>
            <w:vAlign w:val="bottom"/>
            <w:gridSpan w:val="6"/>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Consolidated Balance Sheets at December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338"/>
        </w:trPr>
        <w:tc>
          <w:tcPr>
            <w:tcW w:w="10680" w:type="dxa"/>
            <w:vAlign w:val="bottom"/>
            <w:gridSpan w:val="6"/>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 for each of the three years in the period ended December 31, 2020</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338"/>
        </w:trPr>
        <w:tc>
          <w:tcPr>
            <w:tcW w:w="10680" w:type="dxa"/>
            <w:vAlign w:val="bottom"/>
            <w:gridSpan w:val="6"/>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Stockholders' Equity for each of the three years in the period ended December 31, 2020</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38"/>
        </w:trPr>
        <w:tc>
          <w:tcPr>
            <w:tcW w:w="10680" w:type="dxa"/>
            <w:vAlign w:val="bottom"/>
            <w:gridSpan w:val="6"/>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Cash Flows for each of the three years in the period ended December 31, 2020</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338"/>
        </w:trPr>
        <w:tc>
          <w:tcPr>
            <w:tcW w:w="10680" w:type="dxa"/>
            <w:vAlign w:val="bottom"/>
            <w:gridSpan w:val="6"/>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F-10</w:t>
            </w:r>
          </w:p>
        </w:tc>
      </w:tr>
      <w:tr>
        <w:trPr>
          <w:trHeight w:val="338"/>
        </w:trPr>
        <w:tc>
          <w:tcPr>
            <w:tcW w:w="10680" w:type="dxa"/>
            <w:vAlign w:val="bottom"/>
            <w:gridSpan w:val="6"/>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Quarterly Financial Data (Unaudited)</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F-37</w:t>
            </w:r>
          </w:p>
        </w:tc>
      </w:tr>
      <w:tr>
        <w:trPr>
          <w:trHeight w:val="662"/>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 (2) Financial Statement Schedule</w:t>
            </w:r>
          </w:p>
        </w:tc>
        <w:tc>
          <w:tcPr>
            <w:tcW w:w="788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r>
      <w:tr>
        <w:trPr>
          <w:trHeight w:val="344"/>
        </w:trPr>
        <w:tc>
          <w:tcPr>
            <w:tcW w:w="10680" w:type="dxa"/>
            <w:vAlign w:val="bottom"/>
            <w:gridSpan w:val="6"/>
          </w:tcPr>
          <w:p>
            <w:pPr>
              <w:spacing w:after="0"/>
              <w:rPr>
                <w:sz w:val="20"/>
                <w:szCs w:val="20"/>
                <w:color w:val="auto"/>
              </w:rPr>
            </w:pPr>
            <w:r>
              <w:rPr>
                <w:rFonts w:ascii="Arial" w:cs="Arial" w:eastAsia="Arial" w:hAnsi="Arial"/>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432"/>
        </w:trPr>
        <w:tc>
          <w:tcPr>
            <w:tcW w:w="10680" w:type="dxa"/>
            <w:vAlign w:val="bottom"/>
            <w:gridSpan w:val="6"/>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II - Valuation and Qualifying Accounts</w:t>
              </w:r>
            </w:hyperlink>
          </w:p>
        </w:tc>
        <w:tc>
          <w:tcPr>
            <w:tcW w:w="560" w:type="dxa"/>
            <w:vAlign w:val="bottom"/>
          </w:tcPr>
          <w:p>
            <w:pPr>
              <w:ind w:left="160"/>
              <w:spacing w:after="0"/>
              <w:rPr>
                <w:sz w:val="20"/>
                <w:szCs w:val="20"/>
                <w:color w:val="auto"/>
              </w:rPr>
            </w:pPr>
            <w:r>
              <w:rPr>
                <w:rFonts w:ascii="Arial" w:cs="Arial" w:eastAsia="Arial" w:hAnsi="Arial"/>
                <w:sz w:val="18"/>
                <w:szCs w:val="18"/>
                <w:color w:val="auto"/>
              </w:rPr>
              <w:t>F-39</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auto"/>
        </w:rPr>
        <w:t>(a)(3) Exhibits</w:t>
      </w:r>
    </w:p>
    <w:p>
      <w:pPr>
        <w:sectPr>
          <w:pgSz w:w="11900" w:h="16838" w:orient="portrait"/>
          <w:cols w:equalWidth="0" w:num="1">
            <w:col w:w="11240"/>
          </w:cols>
          <w:pgMar w:left="320" w:top="337" w:right="339" w:bottom="1440" w:gutter="0" w:footer="0" w:header="0"/>
        </w:sect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8147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3(i).1</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3(ii).1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4"/>
                <w:szCs w:val="14"/>
                <w:color w:val="auto"/>
              </w:rPr>
            </w:pPr>
          </w:p>
        </w:tc>
        <w:tc>
          <w:tcPr>
            <w:tcW w:w="42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Incorporated by Reference to the Following</w:t>
            </w:r>
          </w:p>
        </w:tc>
      </w:tr>
      <w:tr>
        <w:trPr>
          <w:trHeight w:val="210"/>
        </w:trPr>
        <w:tc>
          <w:tcPr>
            <w:tcW w:w="5520" w:type="dxa"/>
            <w:vAlign w:val="bottom"/>
            <w:gridSpan w:val="4"/>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Restated Certificate of Incorporation of LSB Industries, Inc., dated January</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3(i).1 to the Company’s Form 10-K filed on</w:t>
            </w:r>
          </w:p>
        </w:tc>
      </w:tr>
      <w:tr>
        <w:trPr>
          <w:trHeight w:val="196"/>
        </w:trPr>
        <w:tc>
          <w:tcPr>
            <w:tcW w:w="2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21, 1977, as amended August 27, 1987</w:t>
              </w:r>
            </w:hyperlink>
          </w:p>
        </w:tc>
        <w:tc>
          <w:tcPr>
            <w:tcW w:w="2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February 28, 2013</w:t>
            </w:r>
          </w:p>
        </w:tc>
      </w:tr>
      <w:tr>
        <w:trPr>
          <w:trHeight w:val="237"/>
        </w:trPr>
        <w:tc>
          <w:tcPr>
            <w:tcW w:w="5520" w:type="dxa"/>
            <w:vAlign w:val="bottom"/>
            <w:gridSpan w:val="4"/>
          </w:tcPr>
          <w:p>
            <w:pP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Amended and Restated Bylaws of LSB Industries, Inc. dated August 20,</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3(ii).1  to  the  Company’s  Form  8-K  filed</w:t>
            </w:r>
          </w:p>
        </w:tc>
      </w:tr>
      <w:tr>
        <w:trPr>
          <w:trHeight w:val="20"/>
        </w:trPr>
        <w:tc>
          <w:tcPr>
            <w:tcW w:w="1500" w:type="dxa"/>
            <w:vAlign w:val="bottom"/>
            <w:shd w:val="clear" w:color="auto" w:fill="0000EE"/>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196"/>
        </w:trPr>
        <w:tc>
          <w:tcPr>
            <w:tcW w:w="5520" w:type="dxa"/>
            <w:vAlign w:val="bottom"/>
            <w:gridSpan w:val="4"/>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2009, as amended February 18, 2010, January 17, 2014, February 4, 2014</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August 27, 2014</w:t>
            </w:r>
          </w:p>
        </w:tc>
      </w:tr>
      <w:tr>
        <w:trPr>
          <w:trHeight w:val="196"/>
        </w:trPr>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and August 21, 2014</w:t>
              </w:r>
            </w:hyperlink>
          </w:p>
        </w:tc>
        <w:tc>
          <w:tcPr>
            <w:tcW w:w="40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bl>
    <w:p>
      <w:pPr>
        <w:spacing w:after="0" w:line="36" w:lineRule="exact"/>
        <w:rPr>
          <w:sz w:val="20"/>
          <w:szCs w:val="20"/>
          <w:color w:val="auto"/>
        </w:rPr>
      </w:pPr>
    </w:p>
    <w:p>
      <w:pPr>
        <w:sectPr>
          <w:pgSz w:w="11900" w:h="16838" w:orient="portrait"/>
          <w:cols w:equalWidth="0" w:num="2">
            <w:col w:w="1060" w:space="360"/>
            <w:col w:w="98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100"/>
              <w:spacing w:after="0"/>
              <w:rPr>
                <w:sz w:val="20"/>
                <w:szCs w:val="20"/>
                <w:color w:val="auto"/>
              </w:rPr>
            </w:pPr>
            <w:r>
              <w:rPr>
                <w:rFonts w:ascii="Arial" w:cs="Arial" w:eastAsia="Arial" w:hAnsi="Arial"/>
                <w:sz w:val="18"/>
                <w:szCs w:val="18"/>
                <w:color w:val="auto"/>
              </w:rPr>
              <w:t>3(ii).2</w:t>
            </w:r>
          </w:p>
        </w:tc>
        <w:tc>
          <w:tcPr>
            <w:tcW w:w="5560" w:type="dxa"/>
            <w:vAlign w:val="bottom"/>
            <w:gridSpan w:val="14"/>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Fifth Amendment to the Amended and Restated Bylaws of LSB Industries,</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8"/>
              </w:rPr>
              <w:t>Exhibit 3(ii) to the Company’s Form 8-K filed April 30,</w:t>
            </w:r>
          </w:p>
        </w:tc>
      </w:tr>
      <w:tr>
        <w:trPr>
          <w:trHeight w:val="196"/>
        </w:trPr>
        <w:tc>
          <w:tcPr>
            <w:tcW w:w="14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Inc., dated as of April 26, 2015</w:t>
              </w:r>
            </w:hyperlink>
          </w:p>
        </w:tc>
        <w:tc>
          <w:tcPr>
            <w:tcW w:w="3260" w:type="dxa"/>
            <w:vAlign w:val="bottom"/>
            <w:tcBorders>
              <w:top w:val="single" w:sz="8" w:color="0000EE"/>
            </w:tcBorders>
            <w:gridSpan w:val="8"/>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3(ii).3</w:t>
            </w:r>
          </w:p>
        </w:tc>
        <w:tc>
          <w:tcPr>
            <w:tcW w:w="5560" w:type="dxa"/>
            <w:vAlign w:val="bottom"/>
            <w:gridSpan w:val="14"/>
          </w:tcPr>
          <w:p>
            <w:pPr>
              <w:spacing w:after="0"/>
              <w:rPr>
                <w:rFonts w:ascii="Arial" w:cs="Arial" w:eastAsia="Arial" w:hAnsi="Arial"/>
                <w:sz w:val="18"/>
                <w:szCs w:val="18"/>
                <w:color w:val="0000EE"/>
                <w:w w:val="93"/>
              </w:rPr>
            </w:pPr>
            <w:hyperlink r:id="rId71">
              <w:r>
                <w:rPr>
                  <w:rFonts w:ascii="Arial" w:cs="Arial" w:eastAsia="Arial" w:hAnsi="Arial"/>
                  <w:sz w:val="18"/>
                  <w:szCs w:val="18"/>
                  <w:color w:val="0000EE"/>
                  <w:w w:val="93"/>
                </w:rPr>
                <w:t>Sixth Amendment to the Amended and Restated Bylaws of LSB Industries,</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3(ii)  to  the  Company’s  Form  8-K  filed</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Inc., dated as of December 2, 2015</w:t>
              </w:r>
            </w:hyperlink>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20"/>
        </w:trPr>
        <w:tc>
          <w:tcPr>
            <w:tcW w:w="14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3(ii).4</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Seventh  Amendment  to  the  Amended  and  Restated  Bylaws  of  LSB</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3(ii)  to  the  Company’s  Form  8-K  filed</w:t>
            </w:r>
          </w:p>
        </w:tc>
      </w:tr>
      <w:tr>
        <w:trPr>
          <w:trHeight w:val="196"/>
        </w:trPr>
        <w:tc>
          <w:tcPr>
            <w:tcW w:w="142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Industries, Inc., dated as of December 22, 2015</w:t>
              </w:r>
            </w:hyperlink>
          </w:p>
        </w:tc>
        <w:tc>
          <w:tcPr>
            <w:tcW w:w="2160" w:type="dxa"/>
            <w:vAlign w:val="bottom"/>
            <w:gridSpan w:val="5"/>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December 29, 2015</w:t>
            </w: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3.1</w:t>
            </w:r>
          </w:p>
        </w:tc>
        <w:tc>
          <w:tcPr>
            <w:tcW w:w="5560" w:type="dxa"/>
            <w:vAlign w:val="bottom"/>
            <w:gridSpan w:val="14"/>
          </w:tcPr>
          <w:p>
            <w:pPr>
              <w:spacing w:after="0"/>
              <w:rPr>
                <w:rFonts w:ascii="Arial" w:cs="Arial" w:eastAsia="Arial" w:hAnsi="Arial"/>
                <w:sz w:val="18"/>
                <w:szCs w:val="18"/>
                <w:color w:val="0000EE"/>
                <w:w w:val="98"/>
              </w:rPr>
            </w:pPr>
            <w:hyperlink r:id="rId73">
              <w:r>
                <w:rPr>
                  <w:rFonts w:ascii="Arial" w:cs="Arial" w:eastAsia="Arial" w:hAnsi="Arial"/>
                  <w:sz w:val="18"/>
                  <w:szCs w:val="18"/>
                  <w:color w:val="0000EE"/>
                  <w:w w:val="98"/>
                </w:rPr>
                <w:t>Certificate of Designations of Series G Class C Preferred Stock of LSB</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3.1 to the Company’s Form 8-K filed July 6, 2020</w:t>
            </w:r>
          </w:p>
        </w:tc>
      </w:tr>
      <w:tr>
        <w:trPr>
          <w:trHeight w:val="20"/>
        </w:trPr>
        <w:tc>
          <w:tcPr>
            <w:tcW w:w="14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Industries, Inc., as filed with the Secretary of State of the State of Delaware</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on July 6, 2020</w:t>
              </w:r>
            </w:hyperlink>
          </w:p>
        </w:tc>
        <w:tc>
          <w:tcPr>
            <w:tcW w:w="42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63"/>
        </w:trPr>
        <w:tc>
          <w:tcPr>
            <w:tcW w:w="1420" w:type="dxa"/>
            <w:vAlign w:val="bottom"/>
          </w:tcPr>
          <w:p>
            <w:pPr>
              <w:ind w:left="180"/>
              <w:spacing w:after="0"/>
              <w:rPr>
                <w:sz w:val="20"/>
                <w:szCs w:val="20"/>
                <w:color w:val="auto"/>
              </w:rPr>
            </w:pPr>
            <w:r>
              <w:rPr>
                <w:rFonts w:ascii="Arial" w:cs="Arial" w:eastAsia="Arial" w:hAnsi="Arial"/>
                <w:sz w:val="18"/>
                <w:szCs w:val="18"/>
                <w:color w:val="auto"/>
              </w:rPr>
              <w:t>4.1(P)</w:t>
            </w:r>
          </w:p>
        </w:tc>
        <w:tc>
          <w:tcPr>
            <w:tcW w:w="5560" w:type="dxa"/>
            <w:vAlign w:val="bottom"/>
            <w:gridSpan w:val="14"/>
          </w:tcPr>
          <w:p>
            <w:pPr>
              <w:spacing w:after="0"/>
              <w:rPr>
                <w:sz w:val="20"/>
                <w:szCs w:val="20"/>
                <w:color w:val="auto"/>
              </w:rPr>
            </w:pPr>
            <w:r>
              <w:rPr>
                <w:rFonts w:ascii="Arial" w:cs="Arial" w:eastAsia="Arial" w:hAnsi="Arial"/>
                <w:sz w:val="18"/>
                <w:szCs w:val="18"/>
                <w:color w:val="auto"/>
              </w:rPr>
              <w:t>Specimen Certificate for the Company’s Series B Preferred Stock</w:t>
            </w:r>
          </w:p>
        </w:tc>
        <w:tc>
          <w:tcPr>
            <w:tcW w:w="4260" w:type="dxa"/>
            <w:vAlign w:val="bottom"/>
          </w:tcPr>
          <w:p>
            <w:pPr>
              <w:ind w:left="60"/>
              <w:spacing w:after="0"/>
              <w:rPr>
                <w:sz w:val="20"/>
                <w:szCs w:val="20"/>
                <w:color w:val="auto"/>
              </w:rPr>
            </w:pPr>
            <w:r>
              <w:rPr>
                <w:rFonts w:ascii="Arial" w:cs="Arial" w:eastAsia="Arial" w:hAnsi="Arial"/>
                <w:sz w:val="18"/>
                <w:szCs w:val="18"/>
                <w:color w:val="auto"/>
                <w:w w:val="92"/>
              </w:rPr>
              <w:t>Exhibit 4.27 to the Company’s Registration Statement on</w:t>
            </w:r>
          </w:p>
        </w:tc>
      </w:tr>
      <w:tr>
        <w:trPr>
          <w:trHeight w:val="230"/>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Form S-3 No. 33-9848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4.2</w:t>
            </w:r>
          </w:p>
        </w:tc>
        <w:tc>
          <w:tcPr>
            <w:tcW w:w="5560" w:type="dxa"/>
            <w:vAlign w:val="bottom"/>
            <w:gridSpan w:val="14"/>
          </w:tcPr>
          <w:p>
            <w:pPr>
              <w:spacing w:after="0"/>
              <w:rPr>
                <w:rFonts w:ascii="Arial" w:cs="Arial" w:eastAsia="Arial" w:hAnsi="Arial"/>
                <w:sz w:val="18"/>
                <w:szCs w:val="18"/>
                <w:color w:val="0000EE"/>
                <w:w w:val="98"/>
              </w:rPr>
            </w:pPr>
            <w:hyperlink r:id="rId74">
              <w:r>
                <w:rPr>
                  <w:rFonts w:ascii="Arial" w:cs="Arial" w:eastAsia="Arial" w:hAnsi="Arial"/>
                  <w:sz w:val="18"/>
                  <w:szCs w:val="18"/>
                  <w:color w:val="0000EE"/>
                  <w:w w:val="98"/>
                </w:rPr>
                <w:t>Specimen  Certificate  for  the  Company’s  Series  D  6%  Cumulative,</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6"/>
              </w:rPr>
              <w:t>Exhibit 4.3 to the Company’s Form 10-K filed March 3,</w:t>
            </w:r>
          </w:p>
        </w:tc>
      </w:tr>
      <w:tr>
        <w:trPr>
          <w:trHeight w:val="196"/>
        </w:trPr>
        <w:tc>
          <w:tcPr>
            <w:tcW w:w="14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Convertible Class C Preferred Stock</w:t>
              </w:r>
            </w:hyperlink>
          </w:p>
        </w:tc>
        <w:tc>
          <w:tcPr>
            <w:tcW w:w="288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2011</w:t>
            </w:r>
          </w:p>
        </w:tc>
      </w:tr>
      <w:tr>
        <w:trPr>
          <w:trHeight w:val="263"/>
        </w:trPr>
        <w:tc>
          <w:tcPr>
            <w:tcW w:w="1420" w:type="dxa"/>
            <w:vAlign w:val="bottom"/>
          </w:tcPr>
          <w:p>
            <w:pPr>
              <w:ind w:left="180"/>
              <w:spacing w:after="0"/>
              <w:rPr>
                <w:sz w:val="20"/>
                <w:szCs w:val="20"/>
                <w:color w:val="auto"/>
              </w:rPr>
            </w:pPr>
            <w:r>
              <w:rPr>
                <w:rFonts w:ascii="Arial" w:cs="Arial" w:eastAsia="Arial" w:hAnsi="Arial"/>
                <w:sz w:val="18"/>
                <w:szCs w:val="18"/>
                <w:color w:val="auto"/>
              </w:rPr>
              <w:t>4.3</w:t>
            </w:r>
          </w:p>
        </w:tc>
        <w:tc>
          <w:tcPr>
            <w:tcW w:w="5560" w:type="dxa"/>
            <w:vAlign w:val="bottom"/>
            <w:gridSpan w:val="14"/>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Specimen Certificate for the Company’s Common Stock</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4"/>
              </w:rPr>
              <w:t>Exhibit 4.3 to the Company’s Registration Statement on</w:t>
            </w:r>
          </w:p>
        </w:tc>
      </w:tr>
      <w:tr>
        <w:trPr>
          <w:trHeight w:val="230"/>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Form S-3 ASR filed November 16, 2012</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4.4</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Certificate of Designations of Series E Cumulative Redeemable Class C</w:t>
              </w:r>
            </w:hyperlink>
          </w:p>
        </w:tc>
        <w:tc>
          <w:tcPr>
            <w:tcW w:w="40" w:type="dxa"/>
            <w:vAlign w:val="bottom"/>
            <w:gridSpan w:val="2"/>
          </w:tcPr>
          <w:p>
            <w:pPr>
              <w:spacing w:after="0"/>
              <w:rPr>
                <w:sz w:val="18"/>
                <w:szCs w:val="18"/>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6"/>
              </w:rPr>
              <w:t>Exhibit 4.1 to the Company’s Form 8-K filed December</w:t>
            </w:r>
          </w:p>
        </w:tc>
      </w:tr>
      <w:tr>
        <w:trPr>
          <w:trHeight w:val="237"/>
        </w:trPr>
        <w:tc>
          <w:tcPr>
            <w:tcW w:w="1420" w:type="dxa"/>
            <w:vAlign w:val="bottom"/>
          </w:tcPr>
          <w:p>
            <w:pPr>
              <w:spacing w:after="0"/>
              <w:rPr>
                <w:sz w:val="20"/>
                <w:szCs w:val="20"/>
                <w:color w:val="auto"/>
              </w:rPr>
            </w:pPr>
          </w:p>
        </w:tc>
        <w:tc>
          <w:tcPr>
            <w:tcW w:w="5560" w:type="dxa"/>
            <w:vAlign w:val="bottom"/>
            <w:gridSpan w:val="14"/>
          </w:tcPr>
          <w:p>
            <w:pPr>
              <w:spacing w:after="0"/>
              <w:rPr>
                <w:rFonts w:ascii="Arial" w:cs="Arial" w:eastAsia="Arial" w:hAnsi="Arial"/>
                <w:sz w:val="18"/>
                <w:szCs w:val="18"/>
                <w:u w:val="single" w:color="auto"/>
                <w:color w:val="0000EE"/>
                <w:w w:val="99"/>
              </w:rPr>
            </w:pPr>
            <w:hyperlink r:id="rId76">
              <w:r>
                <w:rPr>
                  <w:rFonts w:ascii="Arial" w:cs="Arial" w:eastAsia="Arial" w:hAnsi="Arial"/>
                  <w:sz w:val="18"/>
                  <w:szCs w:val="18"/>
                  <w:u w:val="single" w:color="auto"/>
                  <w:color w:val="0000EE"/>
                  <w:w w:val="99"/>
                </w:rPr>
                <w:t>Preferred Stock of LSB Industries, Inc., dated as of December 4, 2015</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8, 2015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4.5</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Certificate of Designations of Series E-1 Cumulative Redeemable Class C</w:t>
              </w:r>
            </w:hyperlink>
          </w:p>
        </w:tc>
        <w:tc>
          <w:tcPr>
            <w:tcW w:w="40" w:type="dxa"/>
            <w:vAlign w:val="bottom"/>
            <w:gridSpan w:val="2"/>
          </w:tcPr>
          <w:p>
            <w:pPr>
              <w:spacing w:after="0"/>
              <w:rPr>
                <w:sz w:val="18"/>
                <w:szCs w:val="18"/>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4.1 to the Company’s Form 8-K filed October 19,</w:t>
            </w:r>
          </w:p>
        </w:tc>
      </w:tr>
      <w:tr>
        <w:trPr>
          <w:trHeight w:val="237"/>
        </w:trPr>
        <w:tc>
          <w:tcPr>
            <w:tcW w:w="1420" w:type="dxa"/>
            <w:vAlign w:val="bottom"/>
          </w:tcPr>
          <w:p>
            <w:pPr>
              <w:spacing w:after="0"/>
              <w:rPr>
                <w:sz w:val="20"/>
                <w:szCs w:val="20"/>
                <w:color w:val="auto"/>
              </w:rPr>
            </w:pPr>
          </w:p>
        </w:tc>
        <w:tc>
          <w:tcPr>
            <w:tcW w:w="5560" w:type="dxa"/>
            <w:vAlign w:val="bottom"/>
            <w:gridSpan w:val="14"/>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Preferred Stock of LSB Industries, Inc., dated as of October 18, 2018</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2018</w:t>
            </w:r>
          </w:p>
        </w:tc>
      </w:tr>
      <w:tr>
        <w:trPr>
          <w:trHeight w:val="270"/>
        </w:trPr>
        <w:tc>
          <w:tcPr>
            <w:tcW w:w="1420" w:type="dxa"/>
            <w:vAlign w:val="bottom"/>
          </w:tcPr>
          <w:p>
            <w:pPr>
              <w:ind w:left="180"/>
              <w:spacing w:after="0"/>
              <w:rPr>
                <w:sz w:val="20"/>
                <w:szCs w:val="20"/>
                <w:color w:val="auto"/>
              </w:rPr>
            </w:pPr>
            <w:r>
              <w:rPr>
                <w:rFonts w:ascii="Arial" w:cs="Arial" w:eastAsia="Arial" w:hAnsi="Arial"/>
                <w:sz w:val="18"/>
                <w:szCs w:val="18"/>
                <w:color w:val="auto"/>
              </w:rPr>
              <w:t>4.6</w:t>
            </w:r>
          </w:p>
        </w:tc>
        <w:tc>
          <w:tcPr>
            <w:tcW w:w="5560" w:type="dxa"/>
            <w:vAlign w:val="bottom"/>
            <w:gridSpan w:val="14"/>
          </w:tcPr>
          <w:p>
            <w:pPr>
              <w:spacing w:after="0"/>
              <w:rPr>
                <w:rFonts w:ascii="Arial" w:cs="Arial" w:eastAsia="Arial" w:hAnsi="Arial"/>
                <w:sz w:val="18"/>
                <w:szCs w:val="18"/>
                <w:color w:val="0000EE"/>
                <w:w w:val="98"/>
              </w:rPr>
            </w:pPr>
            <w:hyperlink r:id="rId78">
              <w:r>
                <w:rPr>
                  <w:rFonts w:ascii="Arial" w:cs="Arial" w:eastAsia="Arial" w:hAnsi="Arial"/>
                  <w:sz w:val="18"/>
                  <w:szCs w:val="18"/>
                  <w:color w:val="0000EE"/>
                  <w:w w:val="98"/>
                </w:rPr>
                <w:t>Certificate of Correction to Certificate of Designations of the Series E-1</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6"/>
              </w:rPr>
              <w:t>Exhibit 4.1 to the Company’s Form 8-K filed November</w:t>
            </w:r>
          </w:p>
        </w:tc>
      </w:tr>
      <w:tr>
        <w:trPr>
          <w:trHeight w:val="237"/>
        </w:trPr>
        <w:tc>
          <w:tcPr>
            <w:tcW w:w="1420" w:type="dxa"/>
            <w:vAlign w:val="bottom"/>
          </w:tcPr>
          <w:p>
            <w:pPr>
              <w:spacing w:after="0"/>
              <w:rPr>
                <w:sz w:val="20"/>
                <w:szCs w:val="20"/>
                <w:color w:val="auto"/>
              </w:rPr>
            </w:pPr>
          </w:p>
        </w:tc>
        <w:tc>
          <w:tcPr>
            <w:tcW w:w="5500" w:type="dxa"/>
            <w:vAlign w:val="bottom"/>
            <w:tcBorders>
              <w:top w:val="single" w:sz="8" w:color="0000EE"/>
            </w:tcBorders>
            <w:gridSpan w:val="11"/>
          </w:tcPr>
          <w:p>
            <w:pPr>
              <w:spacing w:after="0"/>
              <w:rPr>
                <w:rFonts w:ascii="Arial" w:cs="Arial" w:eastAsia="Arial" w:hAnsi="Arial"/>
                <w:sz w:val="18"/>
                <w:szCs w:val="18"/>
                <w:u w:val="single" w:color="auto"/>
                <w:color w:val="0000EE"/>
                <w:w w:val="95"/>
              </w:rPr>
            </w:pPr>
            <w:hyperlink r:id="rId78">
              <w:r>
                <w:rPr>
                  <w:rFonts w:ascii="Arial" w:cs="Arial" w:eastAsia="Arial" w:hAnsi="Arial"/>
                  <w:sz w:val="18"/>
                  <w:szCs w:val="18"/>
                  <w:u w:val="single" w:color="auto"/>
                  <w:color w:val="0000EE"/>
                  <w:w w:val="95"/>
                </w:rPr>
                <w:t>Cumulative Redeemable Class C Preferred Stock of LSB Industries, Inc.</w:t>
              </w:r>
            </w:hyperlink>
          </w:p>
        </w:tc>
        <w:tc>
          <w:tcPr>
            <w:tcW w:w="60" w:type="dxa"/>
            <w:vAlign w:val="bottom"/>
            <w:gridSpan w:val="3"/>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2, 2018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4.7</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6"/>
              </w:rPr>
            </w:pPr>
            <w:hyperlink r:id="rId79">
              <w:r>
                <w:rPr>
                  <w:rFonts w:ascii="Arial" w:cs="Arial" w:eastAsia="Arial" w:hAnsi="Arial"/>
                  <w:sz w:val="18"/>
                  <w:szCs w:val="18"/>
                  <w:color w:val="0000EE"/>
                  <w:w w:val="96"/>
                </w:rPr>
                <w:t>Certificate of Designations of Series F Cumulative Redeemable Class C</w:t>
              </w:r>
            </w:hyperlink>
          </w:p>
        </w:tc>
        <w:tc>
          <w:tcPr>
            <w:tcW w:w="40" w:type="dxa"/>
            <w:vAlign w:val="bottom"/>
          </w:tcPr>
          <w:p>
            <w:pPr>
              <w:spacing w:after="0"/>
              <w:rPr>
                <w:sz w:val="18"/>
                <w:szCs w:val="18"/>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4.2  to  the  Company’s  Form  8-K  filed</w:t>
            </w:r>
          </w:p>
        </w:tc>
      </w:tr>
      <w:tr>
        <w:trPr>
          <w:trHeight w:val="237"/>
        </w:trPr>
        <w:tc>
          <w:tcPr>
            <w:tcW w:w="1420" w:type="dxa"/>
            <w:vAlign w:val="bottom"/>
          </w:tcPr>
          <w:p>
            <w:pPr>
              <w:spacing w:after="0"/>
              <w:rPr>
                <w:sz w:val="20"/>
                <w:szCs w:val="20"/>
                <w:color w:val="auto"/>
              </w:rPr>
            </w:pPr>
          </w:p>
        </w:tc>
        <w:tc>
          <w:tcPr>
            <w:tcW w:w="5560" w:type="dxa"/>
            <w:vAlign w:val="bottom"/>
            <w:gridSpan w:val="14"/>
          </w:tcPr>
          <w:p>
            <w:pPr>
              <w:spacing w:after="0"/>
              <w:rPr>
                <w:rFonts w:ascii="Arial" w:cs="Arial" w:eastAsia="Arial" w:hAnsi="Arial"/>
                <w:sz w:val="18"/>
                <w:szCs w:val="18"/>
                <w:u w:val="single" w:color="auto"/>
                <w:color w:val="0000EE"/>
                <w:w w:val="99"/>
              </w:rPr>
            </w:pPr>
            <w:hyperlink r:id="rId79">
              <w:r>
                <w:rPr>
                  <w:rFonts w:ascii="Arial" w:cs="Arial" w:eastAsia="Arial" w:hAnsi="Arial"/>
                  <w:sz w:val="18"/>
                  <w:szCs w:val="18"/>
                  <w:u w:val="single" w:color="auto"/>
                  <w:color w:val="0000EE"/>
                  <w:w w:val="99"/>
                </w:rPr>
                <w:t>Preferred Stock of LSB Industries, Inc., dated as of December 4, 2015</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December 8, 2015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4.8</w:t>
            </w:r>
          </w:p>
        </w:tc>
        <w:tc>
          <w:tcPr>
            <w:tcW w:w="5560" w:type="dxa"/>
            <w:vAlign w:val="bottom"/>
            <w:gridSpan w:val="14"/>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Certificate of Designations of Series F-1 Redeemable Class C Preferred</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4.2 to the Company’s Form 8-K filed October 19,</w:t>
            </w:r>
          </w:p>
        </w:tc>
      </w:tr>
      <w:tr>
        <w:trPr>
          <w:trHeight w:val="196"/>
        </w:trPr>
        <w:tc>
          <w:tcPr>
            <w:tcW w:w="14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Stock of LSB Industries, Inc., dated as of October 18, 2018</w:t>
              </w:r>
            </w:hyperlink>
          </w:p>
        </w:tc>
        <w:tc>
          <w:tcPr>
            <w:tcW w:w="1240" w:type="dxa"/>
            <w:vAlign w:val="bottom"/>
            <w:tcBorders>
              <w:top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236"/>
        </w:trPr>
        <w:tc>
          <w:tcPr>
            <w:tcW w:w="1420" w:type="dxa"/>
            <w:vAlign w:val="bottom"/>
          </w:tcPr>
          <w:p>
            <w:pPr>
              <w:ind w:left="180"/>
              <w:spacing w:after="0"/>
              <w:rPr>
                <w:sz w:val="20"/>
                <w:szCs w:val="20"/>
                <w:color w:val="auto"/>
              </w:rPr>
            </w:pPr>
            <w:r>
              <w:rPr>
                <w:rFonts w:ascii="Arial" w:cs="Arial" w:eastAsia="Arial" w:hAnsi="Arial"/>
                <w:sz w:val="18"/>
                <w:szCs w:val="18"/>
                <w:color w:val="auto"/>
              </w:rPr>
              <w:t>4.9</w:t>
            </w:r>
          </w:p>
        </w:tc>
        <w:tc>
          <w:tcPr>
            <w:tcW w:w="5560" w:type="dxa"/>
            <w:vAlign w:val="bottom"/>
            <w:gridSpan w:val="14"/>
          </w:tcPr>
          <w:p>
            <w:pPr>
              <w:spacing w:after="0"/>
              <w:rPr>
                <w:rFonts w:ascii="Arial" w:cs="Arial" w:eastAsia="Arial" w:hAnsi="Arial"/>
                <w:sz w:val="18"/>
                <w:szCs w:val="18"/>
                <w:color w:val="0000EE"/>
                <w:w w:val="98"/>
              </w:rPr>
            </w:pPr>
            <w:hyperlink r:id="rId81">
              <w:r>
                <w:rPr>
                  <w:rFonts w:ascii="Arial" w:cs="Arial" w:eastAsia="Arial" w:hAnsi="Arial"/>
                  <w:sz w:val="18"/>
                  <w:szCs w:val="18"/>
                  <w:color w:val="0000EE"/>
                  <w:w w:val="98"/>
                </w:rPr>
                <w:t>Section 382 Rights Agreement, dated as of July 6, 2020, between LSB</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4.1 to the Company’s Form 8-K filed July 6, 2020</w:t>
            </w:r>
          </w:p>
        </w:tc>
      </w:tr>
      <w:tr>
        <w:trPr>
          <w:trHeight w:val="237"/>
        </w:trPr>
        <w:tc>
          <w:tcPr>
            <w:tcW w:w="1420" w:type="dxa"/>
            <w:vAlign w:val="bottom"/>
          </w:tcPr>
          <w:p>
            <w:pPr>
              <w:spacing w:after="0"/>
              <w:rPr>
                <w:sz w:val="20"/>
                <w:szCs w:val="20"/>
                <w:color w:val="auto"/>
              </w:rPr>
            </w:pPr>
          </w:p>
        </w:tc>
        <w:tc>
          <w:tcPr>
            <w:tcW w:w="5500" w:type="dxa"/>
            <w:vAlign w:val="bottom"/>
            <w:tcBorders>
              <w:top w:val="single" w:sz="8" w:color="0000EE"/>
            </w:tcBorders>
            <w:gridSpan w:val="11"/>
          </w:tcPr>
          <w:p>
            <w:pPr>
              <w:spacing w:after="0"/>
              <w:rPr>
                <w:rFonts w:ascii="Arial" w:cs="Arial" w:eastAsia="Arial" w:hAnsi="Arial"/>
                <w:sz w:val="18"/>
                <w:szCs w:val="18"/>
                <w:u w:val="single" w:color="auto"/>
                <w:color w:val="0000EE"/>
                <w:w w:val="94"/>
              </w:rPr>
            </w:pPr>
            <w:hyperlink r:id="rId81">
              <w:r>
                <w:rPr>
                  <w:rFonts w:ascii="Arial" w:cs="Arial" w:eastAsia="Arial" w:hAnsi="Arial"/>
                  <w:sz w:val="18"/>
                  <w:szCs w:val="18"/>
                  <w:u w:val="single" w:color="auto"/>
                  <w:color w:val="0000EE"/>
                  <w:w w:val="94"/>
                </w:rPr>
                <w:t>Industries, Inc. and Computershare Trust Company, N.A., as rights agent</w:t>
              </w:r>
            </w:hyperlink>
          </w:p>
        </w:tc>
        <w:tc>
          <w:tcPr>
            <w:tcW w:w="60" w:type="dxa"/>
            <w:vAlign w:val="bottom"/>
            <w:gridSpan w:val="3"/>
          </w:tcPr>
          <w:p>
            <w:pPr>
              <w:spacing w:after="0"/>
              <w:rPr>
                <w:sz w:val="20"/>
                <w:szCs w:val="20"/>
                <w:color w:val="auto"/>
              </w:rPr>
            </w:pPr>
          </w:p>
        </w:tc>
        <w:tc>
          <w:tcPr>
            <w:tcW w:w="4260" w:type="dxa"/>
            <w:vAlign w:val="bottom"/>
          </w:tcPr>
          <w:p>
            <w:pPr>
              <w:spacing w:after="0"/>
              <w:rPr>
                <w:sz w:val="20"/>
                <w:szCs w:val="20"/>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4.10</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Indenture, dated August 7, 2013, among LSB Industries, Inc., the guarantors</w:t>
              </w:r>
            </w:hyperlink>
          </w:p>
        </w:tc>
        <w:tc>
          <w:tcPr>
            <w:tcW w:w="40" w:type="dxa"/>
            <w:vAlign w:val="bottom"/>
          </w:tcPr>
          <w:p>
            <w:pPr>
              <w:spacing w:after="0"/>
              <w:rPr>
                <w:sz w:val="18"/>
                <w:szCs w:val="18"/>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5"/>
              </w:rPr>
              <w:t>Exhibit 4.1 to the Company’s Form 8-K filed August 14,</w:t>
            </w:r>
          </w:p>
        </w:tc>
      </w:tr>
      <w:tr>
        <w:trPr>
          <w:trHeight w:val="196"/>
        </w:trPr>
        <w:tc>
          <w:tcPr>
            <w:tcW w:w="1420" w:type="dxa"/>
            <w:vAlign w:val="bottom"/>
          </w:tcPr>
          <w:p>
            <w:pPr>
              <w:spacing w:after="0"/>
              <w:rPr>
                <w:sz w:val="17"/>
                <w:szCs w:val="17"/>
                <w:color w:val="auto"/>
              </w:rPr>
            </w:pPr>
          </w:p>
        </w:tc>
        <w:tc>
          <w:tcPr>
            <w:tcW w:w="33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named therein and UMB Bank, n.a., as trustee</w:t>
              </w:r>
            </w:hyperlink>
          </w:p>
        </w:tc>
        <w:tc>
          <w:tcPr>
            <w:tcW w:w="2240" w:type="dxa"/>
            <w:vAlign w:val="bottom"/>
            <w:gridSpan w:val="6"/>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2013</w:t>
            </w:r>
          </w:p>
        </w:tc>
      </w:tr>
      <w:tr>
        <w:trPr>
          <w:trHeight w:val="236"/>
        </w:trPr>
        <w:tc>
          <w:tcPr>
            <w:tcW w:w="1420" w:type="dxa"/>
            <w:vAlign w:val="bottom"/>
          </w:tcPr>
          <w:p>
            <w:pPr>
              <w:ind w:left="180"/>
              <w:spacing w:after="0"/>
              <w:rPr>
                <w:sz w:val="20"/>
                <w:szCs w:val="20"/>
                <w:color w:val="auto"/>
              </w:rPr>
            </w:pPr>
            <w:r>
              <w:rPr>
                <w:rFonts w:ascii="Arial" w:cs="Arial" w:eastAsia="Arial" w:hAnsi="Arial"/>
                <w:sz w:val="18"/>
                <w:szCs w:val="18"/>
                <w:color w:val="auto"/>
              </w:rPr>
              <w:t>4.11</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First Supplemental Indenture, dated as of September 7, 2016, by and among</w:t>
              </w:r>
            </w:hyperlink>
          </w:p>
        </w:tc>
        <w:tc>
          <w:tcPr>
            <w:tcW w:w="40" w:type="dxa"/>
            <w:vAlign w:val="bottom"/>
            <w:gridSpan w:val="2"/>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5"/>
              </w:rPr>
              <w:t>Exhibit 4.1 to the Company’s Form 8-K filed October 4,</w:t>
            </w: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LSB Industries, Inc., the guarantors party thereto and UMB Bank, n.a., as</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14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trustee and notes collateral agent</w:t>
              </w:r>
            </w:hyperlink>
          </w:p>
        </w:tc>
        <w:tc>
          <w:tcPr>
            <w:tcW w:w="3140" w:type="dxa"/>
            <w:vAlign w:val="bottom"/>
            <w:tcBorders>
              <w:top w:val="single" w:sz="8" w:color="0000EE"/>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7"/>
        </w:trPr>
        <w:tc>
          <w:tcPr>
            <w:tcW w:w="1420" w:type="dxa"/>
            <w:vAlign w:val="bottom"/>
          </w:tcPr>
          <w:p>
            <w:pPr>
              <w:ind w:left="180"/>
              <w:spacing w:after="0"/>
              <w:rPr>
                <w:sz w:val="20"/>
                <w:szCs w:val="20"/>
                <w:color w:val="auto"/>
              </w:rPr>
            </w:pPr>
            <w:r>
              <w:rPr>
                <w:rFonts w:ascii="Arial" w:cs="Arial" w:eastAsia="Arial" w:hAnsi="Arial"/>
                <w:sz w:val="18"/>
                <w:szCs w:val="18"/>
                <w:color w:val="auto"/>
              </w:rPr>
              <w:t>4.12</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Intercreditor Agreement, dated August 7, 2013, by and among Wells Fargo</w:t>
              </w:r>
            </w:hyperlink>
          </w:p>
        </w:tc>
        <w:tc>
          <w:tcPr>
            <w:tcW w:w="40" w:type="dxa"/>
            <w:vAlign w:val="bottom"/>
            <w:gridSpan w:val="2"/>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99.1 to the Company’s Form 8-K filed August 14,</w:t>
            </w: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Capital Finance, Inc., as agent and UMB Bank, n.a., as collateral agent, and</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2013</w:t>
            </w:r>
          </w:p>
        </w:tc>
      </w:tr>
      <w:tr>
        <w:trPr>
          <w:trHeight w:val="20"/>
        </w:trPr>
        <w:tc>
          <w:tcPr>
            <w:tcW w:w="14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acknowledged and agreed to by LSB Industries, Inc. and the other grantors</w:t>
              </w:r>
            </w:hyperlink>
          </w:p>
        </w:tc>
        <w:tc>
          <w:tcPr>
            <w:tcW w:w="42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named therein</w:t>
              </w:r>
            </w:hyperlink>
          </w:p>
        </w:tc>
        <w:tc>
          <w:tcPr>
            <w:tcW w:w="4480" w:type="dxa"/>
            <w:vAlign w:val="bottom"/>
            <w:tcBorders>
              <w:top w:val="single" w:sz="8" w:color="0000EE"/>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420" w:type="dxa"/>
            <w:vAlign w:val="bottom"/>
          </w:tcPr>
          <w:p>
            <w:pPr>
              <w:ind w:left="180"/>
              <w:spacing w:after="0"/>
              <w:rPr>
                <w:sz w:val="20"/>
                <w:szCs w:val="20"/>
                <w:color w:val="auto"/>
              </w:rPr>
            </w:pPr>
            <w:r>
              <w:rPr>
                <w:rFonts w:ascii="Arial" w:cs="Arial" w:eastAsia="Arial" w:hAnsi="Arial"/>
                <w:sz w:val="18"/>
                <w:szCs w:val="18"/>
                <w:color w:val="auto"/>
              </w:rPr>
              <w:t>4.13</w:t>
            </w:r>
          </w:p>
        </w:tc>
        <w:tc>
          <w:tcPr>
            <w:tcW w:w="5560" w:type="dxa"/>
            <w:vAlign w:val="bottom"/>
            <w:gridSpan w:val="14"/>
          </w:tcPr>
          <w:p>
            <w:pPr>
              <w:spacing w:after="0"/>
              <w:rPr>
                <w:rFonts w:ascii="Arial" w:cs="Arial" w:eastAsia="Arial" w:hAnsi="Arial"/>
                <w:sz w:val="18"/>
                <w:szCs w:val="18"/>
                <w:color w:val="0000EE"/>
              </w:rPr>
            </w:pPr>
            <w:hyperlink r:id="rId85">
              <w:r>
                <w:rPr>
                  <w:rFonts w:ascii="Arial" w:cs="Arial" w:eastAsia="Arial" w:hAnsi="Arial"/>
                  <w:sz w:val="18"/>
                  <w:szCs w:val="18"/>
                  <w:color w:val="0000EE"/>
                </w:rPr>
                <w:t>Indenture, dated as of April 25, 2018, among LSB Industries, Inc., the</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9"/>
              </w:rPr>
              <w:t>Exhibit 4.1 to the Company’s Form 8-K filed April 25,</w:t>
            </w:r>
          </w:p>
        </w:tc>
      </w:tr>
      <w:tr>
        <w:trPr>
          <w:trHeight w:val="20"/>
        </w:trPr>
        <w:tc>
          <w:tcPr>
            <w:tcW w:w="1420" w:type="dxa"/>
            <w:vAlign w:val="bottom"/>
          </w:tcPr>
          <w:p>
            <w:pPr>
              <w:spacing w:after="0" w:line="20" w:lineRule="exact"/>
              <w:rPr>
                <w:sz w:val="1"/>
                <w:szCs w:val="1"/>
                <w:color w:val="auto"/>
              </w:rPr>
            </w:pPr>
          </w:p>
        </w:tc>
        <w:tc>
          <w:tcPr>
            <w:tcW w:w="3100" w:type="dxa"/>
            <w:vAlign w:val="bottom"/>
            <w:gridSpan w:val="7"/>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85">
              <w:r>
                <w:rPr>
                  <w:rFonts w:ascii="Arial" w:cs="Arial" w:eastAsia="Arial" w:hAnsi="Arial"/>
                  <w:sz w:val="18"/>
                  <w:szCs w:val="18"/>
                  <w:color w:val="0000EE"/>
                  <w:w w:val="97"/>
                </w:rPr>
                <w:t>subsidiary  guarantors  party  thereto  and  Wilmington  Trust,  National</w:t>
              </w:r>
            </w:hyperlink>
          </w:p>
        </w:tc>
        <w:tc>
          <w:tcPr>
            <w:tcW w:w="40" w:type="dxa"/>
            <w:vAlign w:val="bottom"/>
            <w:gridSpan w:val="2"/>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Association, as trustee and collateral agent.</w:t>
              </w:r>
            </w:hyperlink>
          </w:p>
        </w:tc>
        <w:tc>
          <w:tcPr>
            <w:tcW w:w="4260" w:type="dxa"/>
            <w:vAlign w:val="bottom"/>
          </w:tcPr>
          <w:p>
            <w:pPr>
              <w:spacing w:after="0"/>
              <w:rPr>
                <w:sz w:val="17"/>
                <w:szCs w:val="17"/>
                <w:color w:val="auto"/>
              </w:rPr>
            </w:pPr>
          </w:p>
        </w:tc>
      </w:tr>
      <w:tr>
        <w:trPr>
          <w:trHeight w:val="493"/>
        </w:trPr>
        <w:tc>
          <w:tcPr>
            <w:tcW w:w="1420" w:type="dxa"/>
            <w:vAlign w:val="bottom"/>
          </w:tcPr>
          <w:p>
            <w:pPr>
              <w:spacing w:after="0"/>
              <w:rPr>
                <w:sz w:val="24"/>
                <w:szCs w:val="24"/>
                <w:color w:val="auto"/>
              </w:rPr>
            </w:pPr>
          </w:p>
        </w:tc>
        <w:tc>
          <w:tcPr>
            <w:tcW w:w="3100" w:type="dxa"/>
            <w:vAlign w:val="bottom"/>
            <w:tcBorders>
              <w:top w:val="single" w:sz="8" w:color="0000EE"/>
            </w:tcBorders>
            <w:gridSpan w:val="7"/>
          </w:tcPr>
          <w:p>
            <w:pPr>
              <w:spacing w:after="0"/>
              <w:rPr>
                <w:sz w:val="24"/>
                <w:szCs w:val="24"/>
                <w:color w:val="auto"/>
              </w:rPr>
            </w:pPr>
          </w:p>
        </w:tc>
        <w:tc>
          <w:tcPr>
            <w:tcW w:w="2400" w:type="dxa"/>
            <w:vAlign w:val="bottom"/>
            <w:gridSpan w:val="4"/>
          </w:tcPr>
          <w:p>
            <w:pPr>
              <w:jc w:val="right"/>
              <w:ind w:right="12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7" w:name="page48"/>
    <w:bookmarkEnd w:id="47"/>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0" w:type="dxa"/>
        <w:tblCellMar>
          <w:top w:w="0" w:type="dxa"/>
          <w:left w:w="0" w:type="dxa"/>
          <w:bottom w:w="0" w:type="dxa"/>
          <w:right w:w="0" w:type="dxa"/>
        </w:tblCellMar>
      </w:tblPr>
      <w:tr>
        <w:trPr>
          <w:trHeight w:val="200"/>
        </w:trPr>
        <w:tc>
          <w:tcPr>
            <w:tcW w:w="1420" w:type="dxa"/>
            <w:vAlign w:val="bottom"/>
          </w:tcPr>
          <w:p>
            <w:pPr>
              <w:ind w:left="180"/>
              <w:spacing w:after="0" w:line="200" w:lineRule="exact"/>
              <w:rPr>
                <w:sz w:val="20"/>
                <w:szCs w:val="20"/>
                <w:color w:val="auto"/>
              </w:rPr>
            </w:pPr>
            <w:r>
              <w:rPr>
                <w:rFonts w:ascii="Arial" w:cs="Arial" w:eastAsia="Arial" w:hAnsi="Arial"/>
                <w:sz w:val="18"/>
                <w:szCs w:val="18"/>
                <w:color w:val="auto"/>
              </w:rPr>
              <w:t>4.14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tcPr>
          <w:p>
            <w:pPr>
              <w:ind w:left="100"/>
              <w:spacing w:after="0" w:line="200" w:lineRule="exact"/>
              <w:rPr>
                <w:sz w:val="20"/>
                <w:szCs w:val="20"/>
                <w:color w:val="auto"/>
              </w:rPr>
            </w:pPr>
            <w:r>
              <w:rPr>
                <w:rFonts w:ascii="Arial" w:cs="Arial" w:eastAsia="Arial" w:hAnsi="Arial"/>
                <w:sz w:val="18"/>
                <w:szCs w:val="18"/>
                <w:color w:val="auto"/>
                <w:w w:val="99"/>
              </w:rPr>
              <w:t>Exhibit 4.2 to the Company’s Form 8-K filed April 25,</w:t>
            </w:r>
          </w:p>
        </w:tc>
      </w:tr>
      <w:tr>
        <w:trPr>
          <w:trHeight w:val="230"/>
        </w:trPr>
        <w:tc>
          <w:tcPr>
            <w:tcW w:w="1420" w:type="dxa"/>
            <w:vAlign w:val="bottom"/>
          </w:tcPr>
          <w:p>
            <w:pPr>
              <w:spacing w:after="0"/>
              <w:rPr>
                <w:sz w:val="20"/>
                <w:szCs w:val="20"/>
                <w:color w:val="auto"/>
              </w:rPr>
            </w:pPr>
          </w:p>
        </w:tc>
        <w:tc>
          <w:tcPr>
            <w:tcW w:w="5520" w:type="dxa"/>
            <w:vAlign w:val="bottom"/>
            <w:gridSpan w:val="19"/>
          </w:tcPr>
          <w:p>
            <w:pPr>
              <w:spacing w:after="0"/>
              <w:rPr>
                <w:rFonts w:ascii="Arial" w:cs="Arial" w:eastAsia="Arial" w:hAnsi="Arial"/>
                <w:sz w:val="18"/>
                <w:szCs w:val="18"/>
                <w:u w:val="single" w:color="auto"/>
                <w:color w:val="0000EE"/>
                <w:w w:val="93"/>
              </w:rPr>
            </w:pPr>
            <w:hyperlink r:id="rId85">
              <w:r>
                <w:rPr>
                  <w:rFonts w:ascii="Arial" w:cs="Arial" w:eastAsia="Arial" w:hAnsi="Arial"/>
                  <w:sz w:val="18"/>
                  <w:szCs w:val="18"/>
                  <w:u w:val="single" w:color="auto"/>
                  <w:color w:val="0000EE"/>
                  <w:w w:val="93"/>
                </w:rPr>
                <w:t>Form of 9.625% Senior Secured Notes due 2023 (included in Exhibit 4.1).</w:t>
              </w:r>
            </w:hyperlink>
          </w:p>
        </w:tc>
        <w:tc>
          <w:tcPr>
            <w:tcW w:w="3880" w:type="dxa"/>
            <w:vAlign w:val="bottom"/>
          </w:tcPr>
          <w:p>
            <w:pPr>
              <w:ind w:left="10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4.15(a)</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Description of Registrant’s Securities Registered Pursuant to Section 12 of</w:t>
              </w:r>
            </w:hyperlink>
          </w:p>
        </w:tc>
        <w:tc>
          <w:tcPr>
            <w:tcW w:w="38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6"/>
        </w:trPr>
        <w:tc>
          <w:tcPr>
            <w:tcW w:w="14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the Securities Exchange Act of 1934</w:t>
              </w:r>
            </w:hyperlink>
          </w:p>
        </w:tc>
        <w:tc>
          <w:tcPr>
            <w:tcW w:w="38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1420" w:type="dxa"/>
            <w:vAlign w:val="bottom"/>
          </w:tcPr>
          <w:p>
            <w:pPr>
              <w:ind w:left="100"/>
              <w:spacing w:after="0"/>
              <w:rPr>
                <w:sz w:val="20"/>
                <w:szCs w:val="20"/>
                <w:color w:val="auto"/>
              </w:rPr>
            </w:pPr>
            <w:r>
              <w:rPr>
                <w:rFonts w:ascii="Arial" w:cs="Arial" w:eastAsia="Arial" w:hAnsi="Arial"/>
                <w:sz w:val="18"/>
                <w:szCs w:val="18"/>
                <w:color w:val="auto"/>
              </w:rPr>
              <w:t>10.1*</w:t>
            </w:r>
          </w:p>
        </w:tc>
        <w:tc>
          <w:tcPr>
            <w:tcW w:w="5520" w:type="dxa"/>
            <w:vAlign w:val="bottom"/>
            <w:gridSpan w:val="19"/>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Death Benefit Plan Agreement, dated April 1, 1981</w:t>
              </w:r>
            </w:hyperlink>
          </w:p>
        </w:tc>
        <w:tc>
          <w:tcPr>
            <w:tcW w:w="3880" w:type="dxa"/>
            <w:vAlign w:val="bottom"/>
          </w:tcPr>
          <w:p>
            <w:pPr>
              <w:ind w:left="100"/>
              <w:spacing w:after="0"/>
              <w:rPr>
                <w:sz w:val="20"/>
                <w:szCs w:val="20"/>
                <w:color w:val="auto"/>
              </w:rPr>
            </w:pPr>
            <w:r>
              <w:rPr>
                <w:rFonts w:ascii="Arial" w:cs="Arial" w:eastAsia="Arial" w:hAnsi="Arial"/>
                <w:sz w:val="18"/>
                <w:szCs w:val="18"/>
                <w:color w:val="auto"/>
              </w:rPr>
              <w:t>Exhibit  10.2  to  the  Company’s  Form  10-K</w:t>
            </w:r>
          </w:p>
        </w:tc>
        <w:tc>
          <w:tcPr>
            <w:tcW w:w="420" w:type="dxa"/>
            <w:vAlign w:val="bottom"/>
          </w:tcPr>
          <w:p>
            <w:pPr>
              <w:ind w:left="80"/>
              <w:spacing w:after="0"/>
              <w:rPr>
                <w:sz w:val="20"/>
                <w:szCs w:val="20"/>
                <w:color w:val="auto"/>
              </w:rPr>
            </w:pPr>
            <w:r>
              <w:rPr>
                <w:rFonts w:ascii="Arial" w:cs="Arial" w:eastAsia="Arial" w:hAnsi="Arial"/>
                <w:sz w:val="18"/>
                <w:szCs w:val="18"/>
                <w:color w:val="auto"/>
                <w:w w:val="96"/>
              </w:rPr>
              <w:t>filed</w:t>
            </w:r>
          </w:p>
        </w:tc>
      </w:tr>
      <w:tr>
        <w:trPr>
          <w:trHeight w:val="230"/>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March 31, 2006</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10.2*</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LSB Industries, Inc. Outside Directors Stock Purchase Plan, dated May 24,</w:t>
              </w:r>
            </w:hyperlink>
          </w:p>
        </w:tc>
        <w:tc>
          <w:tcPr>
            <w:tcW w:w="3880" w:type="dxa"/>
            <w:vAlign w:val="bottom"/>
          </w:tcPr>
          <w:p>
            <w:pPr>
              <w:ind w:left="100"/>
              <w:spacing w:after="0"/>
              <w:rPr>
                <w:sz w:val="20"/>
                <w:szCs w:val="20"/>
                <w:color w:val="auto"/>
              </w:rPr>
            </w:pPr>
            <w:r>
              <w:rPr>
                <w:rFonts w:ascii="Arial" w:cs="Arial" w:eastAsia="Arial" w:hAnsi="Arial"/>
                <w:sz w:val="18"/>
                <w:szCs w:val="18"/>
                <w:color w:val="auto"/>
              </w:rPr>
              <w:t>Exhibit  99.2  to  the  Company’s  Form  8-K</w:t>
            </w:r>
          </w:p>
        </w:tc>
        <w:tc>
          <w:tcPr>
            <w:tcW w:w="420" w:type="dxa"/>
            <w:vAlign w:val="bottom"/>
          </w:tcPr>
          <w:p>
            <w:pPr>
              <w:ind w:left="8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90">
              <w:r>
                <w:rPr>
                  <w:rFonts w:ascii="Arial" w:cs="Arial" w:eastAsia="Arial" w:hAnsi="Arial"/>
                  <w:sz w:val="18"/>
                  <w:szCs w:val="18"/>
                  <w:color w:val="0000EE"/>
                  <w:w w:val="84"/>
                </w:rPr>
                <w:t>1999</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October 23, 2014</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10.3*</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LSB Industries, Inc. 2008 Incentive Stock Plan, effective June 5, 2008, as</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99.3 to the Company’s Form 8-K filed June 11,</w:t>
            </w:r>
          </w:p>
        </w:tc>
      </w:tr>
      <w:tr>
        <w:trPr>
          <w:trHeight w:val="196"/>
        </w:trPr>
        <w:tc>
          <w:tcPr>
            <w:tcW w:w="142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amended by First Amendment, effective June 5, 2014</w:t>
              </w:r>
            </w:hyperlink>
          </w:p>
        </w:tc>
        <w:tc>
          <w:tcPr>
            <w:tcW w:w="1660" w:type="dxa"/>
            <w:vAlign w:val="bottom"/>
            <w:gridSpan w:val="3"/>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2014</w:t>
            </w:r>
          </w:p>
        </w:tc>
        <w:tc>
          <w:tcPr>
            <w:tcW w:w="420" w:type="dxa"/>
            <w:vAlign w:val="bottom"/>
          </w:tcPr>
          <w:p>
            <w:pPr>
              <w:spacing w:after="0"/>
              <w:rPr>
                <w:sz w:val="17"/>
                <w:szCs w:val="17"/>
                <w:color w:val="auto"/>
              </w:rPr>
            </w:pPr>
          </w:p>
        </w:tc>
      </w:tr>
      <w:tr>
        <w:trPr>
          <w:trHeight w:val="263"/>
        </w:trPr>
        <w:tc>
          <w:tcPr>
            <w:tcW w:w="1420" w:type="dxa"/>
            <w:vAlign w:val="bottom"/>
          </w:tcPr>
          <w:p>
            <w:pPr>
              <w:ind w:left="100"/>
              <w:spacing w:after="0"/>
              <w:rPr>
                <w:sz w:val="20"/>
                <w:szCs w:val="20"/>
                <w:color w:val="auto"/>
              </w:rPr>
            </w:pPr>
            <w:r>
              <w:rPr>
                <w:rFonts w:ascii="Arial" w:cs="Arial" w:eastAsia="Arial" w:hAnsi="Arial"/>
                <w:sz w:val="18"/>
                <w:szCs w:val="18"/>
                <w:color w:val="auto"/>
              </w:rPr>
              <w:t>10.4*</w:t>
            </w:r>
          </w:p>
        </w:tc>
        <w:tc>
          <w:tcPr>
            <w:tcW w:w="5520" w:type="dxa"/>
            <w:vAlign w:val="bottom"/>
            <w:gridSpan w:val="19"/>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Form of Restricted Stock Agreement</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10.3 to the Company’s Form 8-K filed January 8,</w:t>
            </w:r>
          </w:p>
        </w:tc>
      </w:tr>
      <w:tr>
        <w:trPr>
          <w:trHeight w:val="230"/>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r>
      <w:tr>
        <w:trPr>
          <w:trHeight w:val="242"/>
        </w:trPr>
        <w:tc>
          <w:tcPr>
            <w:tcW w:w="1420" w:type="dxa"/>
            <w:vAlign w:val="bottom"/>
          </w:tcPr>
          <w:p>
            <w:pPr>
              <w:ind w:left="100"/>
              <w:spacing w:after="0"/>
              <w:rPr>
                <w:sz w:val="20"/>
                <w:szCs w:val="20"/>
                <w:color w:val="auto"/>
              </w:rPr>
            </w:pPr>
            <w:r>
              <w:rPr>
                <w:rFonts w:ascii="Arial" w:cs="Arial" w:eastAsia="Arial" w:hAnsi="Arial"/>
                <w:sz w:val="18"/>
                <w:szCs w:val="18"/>
                <w:color w:val="auto"/>
              </w:rPr>
              <w:t>10.5*</w:t>
            </w:r>
          </w:p>
        </w:tc>
        <w:tc>
          <w:tcPr>
            <w:tcW w:w="5520" w:type="dxa"/>
            <w:vAlign w:val="bottom"/>
            <w:gridSpan w:val="19"/>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Form of Incentive Stock Option Agreement for 2008 Plan</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4"/>
              </w:rPr>
              <w:t>Exhibit 10.8 to the Company’s Form 10-K filed February</w:t>
            </w:r>
          </w:p>
        </w:tc>
      </w:tr>
      <w:tr>
        <w:trPr>
          <w:trHeight w:val="230"/>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29, 2016</w:t>
            </w:r>
          </w:p>
        </w:tc>
        <w:tc>
          <w:tcPr>
            <w:tcW w:w="420" w:type="dxa"/>
            <w:vAlign w:val="bottom"/>
          </w:tcPr>
          <w:p>
            <w:pPr>
              <w:spacing w:after="0"/>
              <w:rPr>
                <w:sz w:val="20"/>
                <w:szCs w:val="20"/>
                <w:color w:val="auto"/>
              </w:rPr>
            </w:pPr>
          </w:p>
        </w:tc>
      </w:tr>
      <w:tr>
        <w:trPr>
          <w:trHeight w:val="242"/>
        </w:trPr>
        <w:tc>
          <w:tcPr>
            <w:tcW w:w="1420" w:type="dxa"/>
            <w:vAlign w:val="bottom"/>
          </w:tcPr>
          <w:p>
            <w:pPr>
              <w:ind w:left="100"/>
              <w:spacing w:after="0"/>
              <w:rPr>
                <w:sz w:val="20"/>
                <w:szCs w:val="20"/>
                <w:color w:val="auto"/>
              </w:rPr>
            </w:pPr>
            <w:r>
              <w:rPr>
                <w:rFonts w:ascii="Arial" w:cs="Arial" w:eastAsia="Arial" w:hAnsi="Arial"/>
                <w:sz w:val="18"/>
                <w:szCs w:val="18"/>
                <w:color w:val="auto"/>
              </w:rPr>
              <w:t>10.6*</w:t>
            </w:r>
          </w:p>
        </w:tc>
        <w:tc>
          <w:tcPr>
            <w:tcW w:w="5520" w:type="dxa"/>
            <w:vAlign w:val="bottom"/>
            <w:gridSpan w:val="19"/>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LSB Industries, Inc. 2016 Long Term Incentive Plan</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9"/>
              </w:rPr>
              <w:t>Exhibit 4.8 to the Company’s Form S-8 filed June 28,</w:t>
            </w:r>
          </w:p>
        </w:tc>
      </w:tr>
      <w:tr>
        <w:trPr>
          <w:trHeight w:val="230"/>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10.7*</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3"/>
              </w:rPr>
            </w:pPr>
            <w:hyperlink r:id="rId95">
              <w:r>
                <w:rPr>
                  <w:rFonts w:ascii="Arial" w:cs="Arial" w:eastAsia="Arial" w:hAnsi="Arial"/>
                  <w:sz w:val="18"/>
                  <w:szCs w:val="18"/>
                  <w:color w:val="0000EE"/>
                  <w:w w:val="93"/>
                </w:rPr>
                <w:t>Form of LSB Industries, Inc. 2016 Long Term Incentive Plan Stock Option</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9"/>
              </w:rPr>
              <w:t>Exhibit 4.9 to the Company’s Form S-8 filed June 28,</w:t>
            </w:r>
          </w:p>
        </w:tc>
      </w:tr>
      <w:tr>
        <w:trPr>
          <w:trHeight w:val="196"/>
        </w:trPr>
        <w:tc>
          <w:tcPr>
            <w:tcW w:w="14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Agreement</w:t>
              </w:r>
            </w:hyperlink>
          </w:p>
        </w:tc>
        <w:tc>
          <w:tcPr>
            <w:tcW w:w="4720" w:type="dxa"/>
            <w:vAlign w:val="bottom"/>
            <w:gridSpan w:val="16"/>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10.8*</w:t>
            </w:r>
          </w:p>
        </w:tc>
        <w:tc>
          <w:tcPr>
            <w:tcW w:w="5520" w:type="dxa"/>
            <w:vAlign w:val="bottom"/>
            <w:gridSpan w:val="19"/>
          </w:tcPr>
          <w:p>
            <w:pPr>
              <w:spacing w:after="0"/>
              <w:rPr>
                <w:rFonts w:ascii="Arial" w:cs="Arial" w:eastAsia="Arial" w:hAnsi="Arial"/>
                <w:sz w:val="18"/>
                <w:szCs w:val="18"/>
                <w:color w:val="0000EE"/>
                <w:w w:val="97"/>
              </w:rPr>
            </w:pPr>
            <w:hyperlink r:id="rId96">
              <w:r>
                <w:rPr>
                  <w:rFonts w:ascii="Arial" w:cs="Arial" w:eastAsia="Arial" w:hAnsi="Arial"/>
                  <w:sz w:val="18"/>
                  <w:szCs w:val="18"/>
                  <w:color w:val="0000EE"/>
                  <w:w w:val="97"/>
                </w:rPr>
                <w:t>Form of LSB Industries, Inc. 2016 Long Term Incentive Plan Restricted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4.10 to the Company’s Form S-8 filed June 28,</w:t>
            </w:r>
          </w:p>
        </w:tc>
      </w:tr>
      <w:tr>
        <w:trPr>
          <w:trHeight w:val="196"/>
        </w:trPr>
        <w:tc>
          <w:tcPr>
            <w:tcW w:w="14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Stock Unit Agreement (Director Award)</w:t>
              </w:r>
            </w:hyperlink>
          </w:p>
        </w:tc>
        <w:tc>
          <w:tcPr>
            <w:tcW w:w="26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10.9*</w:t>
            </w:r>
          </w:p>
        </w:tc>
        <w:tc>
          <w:tcPr>
            <w:tcW w:w="5520" w:type="dxa"/>
            <w:vAlign w:val="bottom"/>
            <w:gridSpan w:val="19"/>
          </w:tcPr>
          <w:p>
            <w:pPr>
              <w:spacing w:after="0"/>
              <w:rPr>
                <w:rFonts w:ascii="Arial" w:cs="Arial" w:eastAsia="Arial" w:hAnsi="Arial"/>
                <w:sz w:val="18"/>
                <w:szCs w:val="18"/>
                <w:color w:val="0000EE"/>
                <w:w w:val="97"/>
              </w:rPr>
            </w:pPr>
            <w:hyperlink r:id="rId97">
              <w:r>
                <w:rPr>
                  <w:rFonts w:ascii="Arial" w:cs="Arial" w:eastAsia="Arial" w:hAnsi="Arial"/>
                  <w:sz w:val="18"/>
                  <w:szCs w:val="18"/>
                  <w:color w:val="0000EE"/>
                  <w:w w:val="97"/>
                </w:rPr>
                <w:t>Form of LSB Industries, Inc. 2016 Long Term Incentive Plan Restricted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4.11 to the Company’s Form S-8 filed June 28,</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Stock Agreement</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63"/>
        </w:trPr>
        <w:tc>
          <w:tcPr>
            <w:tcW w:w="1420" w:type="dxa"/>
            <w:vAlign w:val="bottom"/>
          </w:tcPr>
          <w:p>
            <w:pPr>
              <w:ind w:left="100"/>
              <w:spacing w:after="0"/>
              <w:rPr>
                <w:sz w:val="20"/>
                <w:szCs w:val="20"/>
                <w:color w:val="auto"/>
              </w:rPr>
            </w:pPr>
            <w:r>
              <w:rPr>
                <w:rFonts w:ascii="Arial" w:cs="Arial" w:eastAsia="Arial" w:hAnsi="Arial"/>
                <w:sz w:val="18"/>
                <w:szCs w:val="18"/>
                <w:color w:val="auto"/>
              </w:rPr>
              <w:t>10.10*</w:t>
            </w:r>
          </w:p>
        </w:tc>
        <w:tc>
          <w:tcPr>
            <w:tcW w:w="5520" w:type="dxa"/>
            <w:vAlign w:val="bottom"/>
            <w:gridSpan w:val="19"/>
          </w:tcPr>
          <w:p>
            <w:pPr>
              <w:spacing w:after="0"/>
              <w:rPr>
                <w:rFonts w:ascii="Arial" w:cs="Arial" w:eastAsia="Arial" w:hAnsi="Arial"/>
                <w:sz w:val="18"/>
                <w:szCs w:val="18"/>
                <w:u w:val="single" w:color="auto"/>
                <w:color w:val="0000EE"/>
                <w:w w:val="95"/>
              </w:rPr>
            </w:pPr>
            <w:hyperlink r:id="rId98">
              <w:r>
                <w:rPr>
                  <w:rFonts w:ascii="Arial" w:cs="Arial" w:eastAsia="Arial" w:hAnsi="Arial"/>
                  <w:sz w:val="18"/>
                  <w:szCs w:val="18"/>
                  <w:u w:val="single" w:color="auto"/>
                  <w:color w:val="0000EE"/>
                  <w:w w:val="95"/>
                </w:rPr>
                <w:t>Form of Time-Based Restricted Stock Agreement of LSB Industries, Inc.</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10.4 to the Company’s Form 8-K filed January 3,</w:t>
            </w:r>
          </w:p>
        </w:tc>
      </w:tr>
      <w:tr>
        <w:trPr>
          <w:trHeight w:val="230"/>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10.11*</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Performance-Based Restricted Stock Agreement of LSB Industries,</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10.5 to the Company’s Form 8-K filed January 3,</w:t>
            </w:r>
          </w:p>
        </w:tc>
      </w:tr>
      <w:tr>
        <w:trPr>
          <w:trHeight w:val="196"/>
        </w:trPr>
        <w:tc>
          <w:tcPr>
            <w:tcW w:w="14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Inc.</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10.12*</w:t>
            </w:r>
          </w:p>
        </w:tc>
        <w:tc>
          <w:tcPr>
            <w:tcW w:w="5520" w:type="dxa"/>
            <w:vAlign w:val="bottom"/>
            <w:gridSpan w:val="19"/>
          </w:tcPr>
          <w:p>
            <w:pPr>
              <w:spacing w:after="0"/>
              <w:rPr>
                <w:rFonts w:ascii="Arial" w:cs="Arial" w:eastAsia="Arial" w:hAnsi="Arial"/>
                <w:sz w:val="18"/>
                <w:szCs w:val="18"/>
                <w:color w:val="0000EE"/>
                <w:w w:val="96"/>
              </w:rPr>
            </w:pPr>
            <w:hyperlink r:id="rId100">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10.12  to  the  Company’s  Form  10-K  filed</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between LSB Industries, Inc. and Mark Behrman</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10.13*</w:t>
            </w:r>
          </w:p>
        </w:tc>
        <w:tc>
          <w:tcPr>
            <w:tcW w:w="5520" w:type="dxa"/>
            <w:vAlign w:val="bottom"/>
            <w:gridSpan w:val="19"/>
          </w:tcPr>
          <w:p>
            <w:pPr>
              <w:spacing w:after="0"/>
              <w:rPr>
                <w:rFonts w:ascii="Arial" w:cs="Arial" w:eastAsia="Arial" w:hAnsi="Arial"/>
                <w:sz w:val="18"/>
                <w:szCs w:val="18"/>
                <w:color w:val="0000EE"/>
                <w:w w:val="96"/>
              </w:rPr>
            </w:pPr>
            <w:hyperlink r:id="rId101">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10.4 to the Company’s Form 10-Q filed October</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between LSB Industries, Inc. and Mark Behrman</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24, 2018</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10.14*</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Employment  Agreement,  dated  December  30,  2018,  between  LSB</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10.1 to the Company’s Form 8-K filed January 3,</w:t>
            </w:r>
          </w:p>
        </w:tc>
      </w:tr>
      <w:tr>
        <w:trPr>
          <w:trHeight w:val="196"/>
        </w:trPr>
        <w:tc>
          <w:tcPr>
            <w:tcW w:w="1420" w:type="dxa"/>
            <w:vAlign w:val="bottom"/>
          </w:tcPr>
          <w:p>
            <w:pPr>
              <w:spacing w:after="0"/>
              <w:rPr>
                <w:sz w:val="17"/>
                <w:szCs w:val="17"/>
                <w:color w:val="auto"/>
              </w:rPr>
            </w:pPr>
          </w:p>
        </w:tc>
        <w:tc>
          <w:tcPr>
            <w:tcW w:w="27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Industries, Inc. and Mark T. Behrman</w:t>
              </w:r>
            </w:hyperlink>
          </w:p>
        </w:tc>
        <w:tc>
          <w:tcPr>
            <w:tcW w:w="2820" w:type="dxa"/>
            <w:vAlign w:val="bottom"/>
            <w:gridSpan w:val="11"/>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10.15*</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Restricted Stock Agreement by and between LSB Industries, Inc. and Mark</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10.17  to  the  Company’s  Form  10-K  filed</w:t>
            </w:r>
          </w:p>
        </w:tc>
      </w:tr>
      <w:tr>
        <w:trPr>
          <w:trHeight w:val="196"/>
        </w:trPr>
        <w:tc>
          <w:tcPr>
            <w:tcW w:w="142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Behrman, dated as of December 31, 2015</w:t>
              </w:r>
            </w:hyperlink>
          </w:p>
        </w:tc>
        <w:tc>
          <w:tcPr>
            <w:tcW w:w="2540" w:type="dxa"/>
            <w:vAlign w:val="bottom"/>
            <w:gridSpan w:val="9"/>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29, 2016</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10.16*</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Employment Agreement by and between LSB Industries, Inc. and Daniel 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4"/>
              </w:rPr>
              <w:t>Exhibit 10.1 to the Company’s Form 8-K/A filed January</w:t>
            </w:r>
          </w:p>
        </w:tc>
      </w:tr>
      <w:tr>
        <w:trPr>
          <w:trHeight w:val="196"/>
        </w:trPr>
        <w:tc>
          <w:tcPr>
            <w:tcW w:w="14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Greenwell, dated as of December 31, 2015</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7, 2016</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10.17*</w:t>
            </w:r>
          </w:p>
        </w:tc>
        <w:tc>
          <w:tcPr>
            <w:tcW w:w="5520" w:type="dxa"/>
            <w:vAlign w:val="bottom"/>
            <w:gridSpan w:val="19"/>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10.3 to the Company’s Form 10-Q filed October</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between LSB Industries, Inc. and Daniel D. Greenwell</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24, 2018</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10.18*</w:t>
            </w:r>
          </w:p>
        </w:tc>
        <w:tc>
          <w:tcPr>
            <w:tcW w:w="5520" w:type="dxa"/>
            <w:vAlign w:val="bottom"/>
            <w:gridSpan w:val="19"/>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10.18  to  the  Company’s  Form  10-K  filed</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between LSB Industries, Inc. and Daniel D. Greenwell</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10.19*</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General Release Agreement by and between LSB Industries, Inc. and Daniel</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10.19  to  the  Company’s  Form  10-K  filed</w:t>
            </w:r>
          </w:p>
        </w:tc>
      </w:tr>
      <w:tr>
        <w:trPr>
          <w:trHeight w:val="196"/>
        </w:trPr>
        <w:tc>
          <w:tcPr>
            <w:tcW w:w="14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D. Greenwell, dated as of January 14, 2019</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10.20*</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Restricted Stock Agreement by and between LSB Industries, Inc.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  to  the  Company’s  Form  8-K/A  filed</w:t>
            </w:r>
          </w:p>
        </w:tc>
      </w:tr>
      <w:tr>
        <w:trPr>
          <w:trHeight w:val="196"/>
        </w:trPr>
        <w:tc>
          <w:tcPr>
            <w:tcW w:w="14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Daniel D. Greenwell, dated as of December 31, 2015</w:t>
              </w:r>
            </w:hyperlink>
          </w:p>
        </w:tc>
        <w:tc>
          <w:tcPr>
            <w:tcW w:w="1700" w:type="dxa"/>
            <w:vAlign w:val="bottom"/>
            <w:gridSpan w:val="4"/>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January 7, 2016</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10.21*</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Employment Agreement by and between LSB Industries, Inc. and Michael</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10.25  to  the  Company’s  Form  10-K  filed</w:t>
            </w:r>
          </w:p>
        </w:tc>
      </w:tr>
      <w:tr>
        <w:trPr>
          <w:trHeight w:val="196"/>
        </w:trPr>
        <w:tc>
          <w:tcPr>
            <w:tcW w:w="142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09">
              <w:r>
                <w:rPr>
                  <w:rFonts w:ascii="Arial" w:cs="Arial" w:eastAsia="Arial" w:hAnsi="Arial"/>
                  <w:sz w:val="18"/>
                  <w:szCs w:val="18"/>
                  <w:color w:val="0000EE"/>
                  <w:w w:val="87"/>
                </w:rPr>
                <w:t>Foster, dated as of January 5, 2016</w:t>
              </w:r>
            </w:hyperlink>
          </w:p>
        </w:tc>
        <w:tc>
          <w:tcPr>
            <w:tcW w:w="3020" w:type="dxa"/>
            <w:vAlign w:val="bottom"/>
            <w:gridSpan w:val="14"/>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29, 2016</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10.22*</w:t>
            </w:r>
          </w:p>
        </w:tc>
        <w:tc>
          <w:tcPr>
            <w:tcW w:w="5520" w:type="dxa"/>
            <w:vAlign w:val="bottom"/>
            <w:gridSpan w:val="19"/>
          </w:tcPr>
          <w:p>
            <w:pPr>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10.5 to the Company’s Form 10-Q filed October</w:t>
            </w:r>
          </w:p>
        </w:tc>
      </w:tr>
      <w:tr>
        <w:trPr>
          <w:trHeight w:val="196"/>
        </w:trPr>
        <w:tc>
          <w:tcPr>
            <w:tcW w:w="14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between LSB Industries, Inc. and Michael J. Foster</w:t>
              </w:r>
            </w:hyperlink>
          </w:p>
        </w:tc>
        <w:tc>
          <w:tcPr>
            <w:tcW w:w="18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24, 2018</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10.23*</w:t>
            </w:r>
          </w:p>
        </w:tc>
        <w:tc>
          <w:tcPr>
            <w:tcW w:w="5520" w:type="dxa"/>
            <w:vAlign w:val="bottom"/>
            <w:gridSpan w:val="19"/>
          </w:tcPr>
          <w:p>
            <w:pPr>
              <w:spacing w:after="0"/>
              <w:rPr>
                <w:rFonts w:ascii="Arial" w:cs="Arial" w:eastAsia="Arial" w:hAnsi="Arial"/>
                <w:sz w:val="18"/>
                <w:szCs w:val="18"/>
                <w:color w:val="0000EE"/>
                <w:w w:val="96"/>
              </w:rPr>
            </w:pPr>
            <w:hyperlink r:id="rId111">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10.23  to  the  Company’s  Form  10-K  filed</w:t>
            </w:r>
          </w:p>
        </w:tc>
      </w:tr>
      <w:tr>
        <w:trPr>
          <w:trHeight w:val="196"/>
        </w:trPr>
        <w:tc>
          <w:tcPr>
            <w:tcW w:w="14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between LSB Industries, Inc. and Michael J. Foster</w:t>
              </w:r>
            </w:hyperlink>
          </w:p>
        </w:tc>
        <w:tc>
          <w:tcPr>
            <w:tcW w:w="18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10.24*</w:t>
            </w:r>
          </w:p>
        </w:tc>
        <w:tc>
          <w:tcPr>
            <w:tcW w:w="5520" w:type="dxa"/>
            <w:vAlign w:val="bottom"/>
            <w:tcBorders>
              <w:bottom w:val="single" w:sz="8" w:color="0000EE"/>
            </w:tcBorders>
            <w:gridSpan w:val="19"/>
          </w:tcPr>
          <w:p>
            <w:pPr>
              <w:spacing w:after="0"/>
              <w:rPr>
                <w:rFonts w:ascii="Arial" w:cs="Arial" w:eastAsia="Arial" w:hAnsi="Arial"/>
                <w:sz w:val="18"/>
                <w:szCs w:val="18"/>
                <w:color w:val="0000EE"/>
                <w:w w:val="97"/>
              </w:rPr>
            </w:pPr>
            <w:hyperlink r:id="rId112">
              <w:r>
                <w:rPr>
                  <w:rFonts w:ascii="Arial" w:cs="Arial" w:eastAsia="Arial" w:hAnsi="Arial"/>
                  <w:sz w:val="18"/>
                  <w:szCs w:val="18"/>
                  <w:color w:val="0000EE"/>
                  <w:w w:val="97"/>
                </w:rPr>
                <w:t>Employment  Agreement,  dated  December  30,  2018,  between  LSB</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10.3 to the Company’s Form 8-K filed January 3,</w:t>
            </w:r>
          </w:p>
        </w:tc>
      </w:tr>
      <w:tr>
        <w:trPr>
          <w:trHeight w:val="196"/>
        </w:trPr>
        <w:tc>
          <w:tcPr>
            <w:tcW w:w="14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Industries, Inc. and Michael J. Foster</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r>
      <w:tr>
        <w:trPr>
          <w:trHeight w:val="493"/>
        </w:trPr>
        <w:tc>
          <w:tcPr>
            <w:tcW w:w="1420" w:type="dxa"/>
            <w:vAlign w:val="bottom"/>
          </w:tcPr>
          <w:p>
            <w:pPr>
              <w:spacing w:after="0"/>
              <w:rPr>
                <w:sz w:val="24"/>
                <w:szCs w:val="24"/>
                <w:color w:val="auto"/>
              </w:rPr>
            </w:pPr>
          </w:p>
        </w:tc>
        <w:tc>
          <w:tcPr>
            <w:tcW w:w="2660" w:type="dxa"/>
            <w:vAlign w:val="bottom"/>
            <w:tcBorders>
              <w:top w:val="single" w:sz="8" w:color="0000EE"/>
            </w:tcBorders>
            <w:gridSpan w:val="7"/>
          </w:tcPr>
          <w:p>
            <w:pPr>
              <w:spacing w:after="0"/>
              <w:rPr>
                <w:sz w:val="24"/>
                <w:szCs w:val="24"/>
                <w:color w:val="auto"/>
              </w:rPr>
            </w:pPr>
          </w:p>
        </w:tc>
        <w:tc>
          <w:tcPr>
            <w:tcW w:w="2840" w:type="dxa"/>
            <w:vAlign w:val="bottom"/>
            <w:gridSpan w:val="11"/>
          </w:tcPr>
          <w:p>
            <w:pPr>
              <w:jc w:val="right"/>
              <w:ind w:right="12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48" w:name="page49"/>
    <w:bookmarkEnd w:id="48"/>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100" w:type="dxa"/>
        <w:tblCellMar>
          <w:top w:w="0" w:type="dxa"/>
          <w:left w:w="0" w:type="dxa"/>
          <w:bottom w:w="0" w:type="dxa"/>
          <w:right w:w="0" w:type="dxa"/>
        </w:tblCellMar>
      </w:tblPr>
      <w:tr>
        <w:trPr>
          <w:trHeight w:val="174"/>
        </w:trPr>
        <w:tc>
          <w:tcPr>
            <w:tcW w:w="1320" w:type="dxa"/>
            <w:vAlign w:val="bottom"/>
          </w:tcPr>
          <w:p>
            <w:pPr>
              <w:spacing w:after="0" w:line="174" w:lineRule="exact"/>
              <w:rPr>
                <w:sz w:val="20"/>
                <w:szCs w:val="20"/>
                <w:color w:val="auto"/>
              </w:rPr>
            </w:pPr>
            <w:r>
              <w:rPr>
                <w:rFonts w:ascii="Arial" w:cs="Arial" w:eastAsia="Arial" w:hAnsi="Arial"/>
                <w:sz w:val="18"/>
                <w:szCs w:val="18"/>
                <w:color w:val="auto"/>
              </w:rPr>
              <w:t>10.25*</w:t>
            </w:r>
          </w:p>
        </w:tc>
        <w:tc>
          <w:tcPr>
            <w:tcW w:w="5560" w:type="dxa"/>
            <w:vAlign w:val="bottom"/>
            <w:gridSpan w:val="12"/>
          </w:tcPr>
          <w:p>
            <w:pPr>
              <w:spacing w:after="0" w:line="174" w:lineRule="exact"/>
              <w:rPr>
                <w:rFonts w:ascii="Arial" w:cs="Arial" w:eastAsia="Arial" w:hAnsi="Arial"/>
                <w:sz w:val="18"/>
                <w:szCs w:val="18"/>
                <w:color w:val="0000EE"/>
              </w:rPr>
            </w:pPr>
            <w:hyperlink r:id="rId116">
              <w:r>
                <w:rPr>
                  <w:rFonts w:ascii="Arial" w:cs="Arial" w:eastAsia="Arial" w:hAnsi="Arial"/>
                  <w:sz w:val="18"/>
                  <w:szCs w:val="18"/>
                  <w:color w:val="0000EE"/>
                </w:rPr>
                <w:t>Restricted Stock Agreement by and between LSB Industries, Inc. and</w:t>
              </w:r>
            </w:hyperlink>
          </w:p>
        </w:tc>
        <w:tc>
          <w:tcPr>
            <w:tcW w:w="4260" w:type="dxa"/>
            <w:vAlign w:val="bottom"/>
          </w:tcPr>
          <w:p>
            <w:pPr>
              <w:ind w:left="60"/>
              <w:spacing w:after="0" w:line="174" w:lineRule="exact"/>
              <w:rPr>
                <w:sz w:val="20"/>
                <w:szCs w:val="20"/>
                <w:color w:val="auto"/>
              </w:rPr>
            </w:pPr>
            <w:r>
              <w:rPr>
                <w:rFonts w:ascii="Arial" w:cs="Arial" w:eastAsia="Arial" w:hAnsi="Arial"/>
                <w:sz w:val="18"/>
                <w:szCs w:val="18"/>
                <w:color w:val="auto"/>
              </w:rPr>
              <w:t>Exhibit  10.26  to  the  Company’s  Form  10-K  filed</w:t>
            </w:r>
          </w:p>
        </w:tc>
      </w:tr>
      <w:tr>
        <w:trPr>
          <w:trHeight w:val="196"/>
        </w:trPr>
        <w:tc>
          <w:tcPr>
            <w:tcW w:w="1320" w:type="dxa"/>
            <w:vAlign w:val="bottom"/>
          </w:tcPr>
          <w:p>
            <w:pPr>
              <w:spacing w:after="0"/>
              <w:rPr>
                <w:sz w:val="17"/>
                <w:szCs w:val="17"/>
                <w:color w:val="auto"/>
              </w:rPr>
            </w:pPr>
          </w:p>
        </w:tc>
        <w:tc>
          <w:tcPr>
            <w:tcW w:w="5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Michael Foster, dated as of January 5, 2016</w:t>
              </w:r>
            </w:hyperlink>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February 29, 2016</w:t>
            </w:r>
          </w:p>
        </w:tc>
      </w:tr>
      <w:tr>
        <w:trPr>
          <w:trHeight w:val="20"/>
        </w:trPr>
        <w:tc>
          <w:tcPr>
            <w:tcW w:w="13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10.26*</w:t>
            </w:r>
          </w:p>
        </w:tc>
        <w:tc>
          <w:tcPr>
            <w:tcW w:w="5560" w:type="dxa"/>
            <w:vAlign w:val="bottom"/>
            <w:gridSpan w:val="12"/>
          </w:tcPr>
          <w:p>
            <w:pPr>
              <w:spacing w:after="0"/>
              <w:rPr>
                <w:rFonts w:ascii="Arial" w:cs="Arial" w:eastAsia="Arial" w:hAnsi="Arial"/>
                <w:sz w:val="18"/>
                <w:szCs w:val="18"/>
                <w:color w:val="0000EE"/>
                <w:w w:val="97"/>
              </w:rPr>
            </w:pPr>
            <w:hyperlink r:id="rId117">
              <w:r>
                <w:rPr>
                  <w:rFonts w:ascii="Arial" w:cs="Arial" w:eastAsia="Arial" w:hAnsi="Arial"/>
                  <w:sz w:val="18"/>
                  <w:szCs w:val="18"/>
                  <w:color w:val="0000EE"/>
                  <w:w w:val="97"/>
                </w:rPr>
                <w:t>Employment Agreement by and between LSB Industries, Inc. and John</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5"/>
              </w:rPr>
              <w:t>Exhibit 10.1 to the Company’s Form 8-K filed August 2,</w:t>
            </w:r>
          </w:p>
        </w:tc>
      </w:tr>
      <w:tr>
        <w:trPr>
          <w:trHeight w:val="196"/>
        </w:trPr>
        <w:tc>
          <w:tcPr>
            <w:tcW w:w="13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Diesch, executed as of July 21, 2016</w:t>
              </w:r>
            </w:hyperlink>
          </w:p>
        </w:tc>
        <w:tc>
          <w:tcPr>
            <w:tcW w:w="2860" w:type="dxa"/>
            <w:vAlign w:val="bottom"/>
            <w:tcBorders>
              <w:top w:val="single" w:sz="8" w:color="0000EE"/>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10.27*</w:t>
            </w:r>
          </w:p>
        </w:tc>
        <w:tc>
          <w:tcPr>
            <w:tcW w:w="5560" w:type="dxa"/>
            <w:vAlign w:val="bottom"/>
            <w:gridSpan w:val="12"/>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Employment Agreement by and between LSB Industries, Inc. and John</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6"/>
              </w:rPr>
              <w:t>Exhibit 10.1 to the Company’s Form 8-K filed February</w:t>
            </w:r>
          </w:p>
        </w:tc>
      </w:tr>
      <w:tr>
        <w:trPr>
          <w:trHeight w:val="196"/>
        </w:trPr>
        <w:tc>
          <w:tcPr>
            <w:tcW w:w="13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Diesch, executed as of February 8, 2019</w:t>
              </w:r>
            </w:hyperlink>
          </w:p>
        </w:tc>
        <w:tc>
          <w:tcPr>
            <w:tcW w:w="260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11, 2019</w:t>
            </w: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10.28*</w:t>
            </w:r>
          </w:p>
        </w:tc>
        <w:tc>
          <w:tcPr>
            <w:tcW w:w="5520" w:type="dxa"/>
            <w:vAlign w:val="bottom"/>
            <w:tcBorders>
              <w:bottom w:val="single" w:sz="8" w:color="0000EE"/>
            </w:tcBorders>
            <w:gridSpan w:val="10"/>
          </w:tcPr>
          <w:p>
            <w:pPr>
              <w:spacing w:after="0"/>
              <w:rPr>
                <w:rFonts w:ascii="Arial" w:cs="Arial" w:eastAsia="Arial" w:hAnsi="Arial"/>
                <w:sz w:val="18"/>
                <w:szCs w:val="18"/>
                <w:color w:val="0000EE"/>
                <w:w w:val="97"/>
              </w:rPr>
            </w:pPr>
            <w:hyperlink r:id="rId119">
              <w:r>
                <w:rPr>
                  <w:rFonts w:ascii="Arial" w:cs="Arial" w:eastAsia="Arial" w:hAnsi="Arial"/>
                  <w:sz w:val="18"/>
                  <w:szCs w:val="18"/>
                  <w:color w:val="0000EE"/>
                  <w:w w:val="97"/>
                </w:rPr>
                <w:t>Employment  Agreement,  dated  December  30,  2018,  between  LSB</w:t>
              </w:r>
            </w:hyperlink>
          </w:p>
        </w:tc>
        <w:tc>
          <w:tcPr>
            <w:tcW w:w="40" w:type="dxa"/>
            <w:vAlign w:val="bottom"/>
            <w:gridSpan w:val="2"/>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10.2 to the Company’s Form 8-K filed January 3,</w:t>
            </w: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Industries, Inc. and Cheryl Maguire</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2019</w:t>
            </w:r>
          </w:p>
        </w:tc>
      </w:tr>
      <w:tr>
        <w:trPr>
          <w:trHeight w:val="20"/>
        </w:trPr>
        <w:tc>
          <w:tcPr>
            <w:tcW w:w="13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10.29*</w:t>
            </w:r>
          </w:p>
        </w:tc>
        <w:tc>
          <w:tcPr>
            <w:tcW w:w="5560" w:type="dxa"/>
            <w:vAlign w:val="bottom"/>
            <w:gridSpan w:val="12"/>
          </w:tcPr>
          <w:p>
            <w:pPr>
              <w:spacing w:after="0"/>
              <w:rPr>
                <w:rFonts w:ascii="Arial" w:cs="Arial" w:eastAsia="Arial" w:hAnsi="Arial"/>
                <w:sz w:val="18"/>
                <w:szCs w:val="18"/>
                <w:color w:val="0000EE"/>
                <w:w w:val="93"/>
              </w:rPr>
            </w:pPr>
            <w:hyperlink r:id="rId120">
              <w:r>
                <w:rPr>
                  <w:rFonts w:ascii="Arial" w:cs="Arial" w:eastAsia="Arial" w:hAnsi="Arial"/>
                  <w:sz w:val="18"/>
                  <w:szCs w:val="18"/>
                  <w:color w:val="0000EE"/>
                  <w:w w:val="93"/>
                </w:rPr>
                <w:t>Employment Agreement, dated December 20, 2019 and to be effective not</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10.30  to  the  Company’s  Form  10-K  filed</w:t>
            </w:r>
          </w:p>
        </w:tc>
      </w:tr>
      <w:tr>
        <w:trPr>
          <w:trHeight w:val="237"/>
        </w:trPr>
        <w:tc>
          <w:tcPr>
            <w:tcW w:w="1320" w:type="dxa"/>
            <w:vAlign w:val="bottom"/>
          </w:tcPr>
          <w:p>
            <w:pPr>
              <w:spacing w:after="0"/>
              <w:rPr>
                <w:sz w:val="20"/>
                <w:szCs w:val="20"/>
                <w:color w:val="auto"/>
              </w:rPr>
            </w:pPr>
          </w:p>
        </w:tc>
        <w:tc>
          <w:tcPr>
            <w:tcW w:w="5500" w:type="dxa"/>
            <w:vAlign w:val="bottom"/>
            <w:tcBorders>
              <w:top w:val="single" w:sz="8" w:color="0000EE"/>
            </w:tcBorders>
            <w:gridSpan w:val="9"/>
          </w:tcPr>
          <w:p>
            <w:pPr>
              <w:spacing w:after="0"/>
              <w:rPr>
                <w:rFonts w:ascii="Arial" w:cs="Arial" w:eastAsia="Arial" w:hAnsi="Arial"/>
                <w:sz w:val="18"/>
                <w:szCs w:val="18"/>
                <w:u w:val="single" w:color="auto"/>
                <w:color w:val="0000EE"/>
                <w:w w:val="93"/>
              </w:rPr>
            </w:pPr>
            <w:hyperlink r:id="rId120">
              <w:r>
                <w:rPr>
                  <w:rFonts w:ascii="Arial" w:cs="Arial" w:eastAsia="Arial" w:hAnsi="Arial"/>
                  <w:sz w:val="18"/>
                  <w:szCs w:val="18"/>
                  <w:u w:val="single" w:color="auto"/>
                  <w:color w:val="0000EE"/>
                  <w:w w:val="93"/>
                </w:rPr>
                <w:t>later than February 3, 2020, between LSB Industries, Inc. and John Burns</w:t>
              </w:r>
            </w:hyperlink>
          </w:p>
        </w:tc>
        <w:tc>
          <w:tcPr>
            <w:tcW w:w="60" w:type="dxa"/>
            <w:vAlign w:val="bottom"/>
            <w:gridSpan w:val="3"/>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February 25, 2019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10.30*</w:t>
            </w:r>
          </w:p>
        </w:tc>
        <w:tc>
          <w:tcPr>
            <w:tcW w:w="5560" w:type="dxa"/>
            <w:vAlign w:val="bottom"/>
            <w:gridSpan w:val="12"/>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Severance and Change in Control Agreement, dated April 6, 2020, between</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10-Q filed May 7,</w:t>
            </w:r>
          </w:p>
        </w:tc>
      </w:tr>
      <w:tr>
        <w:trPr>
          <w:trHeight w:val="196"/>
        </w:trPr>
        <w:tc>
          <w:tcPr>
            <w:tcW w:w="13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LSB Industries, Inc. and Kristy Carver</w:t>
              </w:r>
            </w:hyperlink>
          </w:p>
        </w:tc>
        <w:tc>
          <w:tcPr>
            <w:tcW w:w="272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2020</w:t>
            </w: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10.31*</w:t>
            </w:r>
          </w:p>
        </w:tc>
        <w:tc>
          <w:tcPr>
            <w:tcW w:w="5560" w:type="dxa"/>
            <w:vAlign w:val="bottom"/>
            <w:gridSpan w:val="12"/>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Form of Retention Bonus Agreement</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10.28  to  the  Company’s  Form  10-K  filed</w:t>
            </w:r>
          </w:p>
        </w:tc>
      </w:tr>
      <w:tr>
        <w:trPr>
          <w:trHeight w:val="230"/>
        </w:trPr>
        <w:tc>
          <w:tcPr>
            <w:tcW w:w="1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February 29, 2016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10.32</w:t>
            </w:r>
          </w:p>
        </w:tc>
        <w:tc>
          <w:tcPr>
            <w:tcW w:w="5560" w:type="dxa"/>
            <w:vAlign w:val="bottom"/>
            <w:gridSpan w:val="12"/>
          </w:tcPr>
          <w:p>
            <w:pPr>
              <w:spacing w:after="0"/>
              <w:rPr>
                <w:rFonts w:ascii="Arial" w:cs="Arial" w:eastAsia="Arial" w:hAnsi="Arial"/>
                <w:sz w:val="18"/>
                <w:szCs w:val="18"/>
                <w:color w:val="0000EE"/>
                <w:w w:val="95"/>
              </w:rPr>
            </w:pPr>
            <w:hyperlink r:id="rId123">
              <w:r>
                <w:rPr>
                  <w:rFonts w:ascii="Arial" w:cs="Arial" w:eastAsia="Arial" w:hAnsi="Arial"/>
                  <w:sz w:val="18"/>
                  <w:szCs w:val="18"/>
                  <w:color w:val="0000EE"/>
                  <w:w w:val="95"/>
                </w:rPr>
                <w:t>Indemnification Agreement, dated October 14, 2015, by and between the</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20"/>
        </w:trPr>
        <w:tc>
          <w:tcPr>
            <w:tcW w:w="1320" w:type="dxa"/>
            <w:vAlign w:val="bottom"/>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Company and Jack E. Golsen, together with a schedule identifying other</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October 19, 2015</w:t>
            </w:r>
          </w:p>
        </w:tc>
      </w:tr>
      <w:tr>
        <w:trPr>
          <w:trHeight w:val="20"/>
        </w:trPr>
        <w:tc>
          <w:tcPr>
            <w:tcW w:w="1320" w:type="dxa"/>
            <w:vAlign w:val="bottom"/>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substantially identical agreements between the Company and each of the</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other directors identified on the schedule</w:t>
              </w:r>
            </w:hyperlink>
          </w:p>
        </w:tc>
        <w:tc>
          <w:tcPr>
            <w:tcW w:w="2560" w:type="dxa"/>
            <w:vAlign w:val="bottom"/>
            <w:tcBorders>
              <w:top w:val="single" w:sz="8" w:color="0000EE"/>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10.33</w:t>
            </w:r>
          </w:p>
        </w:tc>
        <w:tc>
          <w:tcPr>
            <w:tcW w:w="5540" w:type="dxa"/>
            <w:vAlign w:val="bottom"/>
            <w:tcBorders>
              <w:bottom w:val="single" w:sz="8" w:color="0000EE"/>
            </w:tcBorders>
            <w:gridSpan w:val="11"/>
          </w:tcPr>
          <w:p>
            <w:pPr>
              <w:spacing w:after="0"/>
              <w:rPr>
                <w:rFonts w:ascii="Arial" w:cs="Arial" w:eastAsia="Arial" w:hAnsi="Arial"/>
                <w:sz w:val="18"/>
                <w:szCs w:val="18"/>
                <w:color w:val="0000EE"/>
                <w:w w:val="95"/>
              </w:rPr>
            </w:pPr>
            <w:hyperlink r:id="rId124">
              <w:r>
                <w:rPr>
                  <w:rFonts w:ascii="Arial" w:cs="Arial" w:eastAsia="Arial" w:hAnsi="Arial"/>
                  <w:sz w:val="18"/>
                  <w:szCs w:val="18"/>
                  <w:color w:val="0000EE"/>
                  <w:w w:val="95"/>
                </w:rPr>
                <w:t>Indemnification Agreement, dated October 14, 2015 by and between the</w:t>
              </w:r>
            </w:hyperlink>
          </w:p>
        </w:tc>
        <w:tc>
          <w:tcPr>
            <w:tcW w:w="2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8"/>
              </w:rPr>
              <w:t>Exhibit 10.2 to the Company’s Form 8-K filed October</w:t>
            </w: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Company and David M. Shear, together with a schedule identifying other</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19, 2015</w:t>
            </w:r>
          </w:p>
        </w:tc>
      </w:tr>
      <w:tr>
        <w:trPr>
          <w:trHeight w:val="20"/>
        </w:trPr>
        <w:tc>
          <w:tcPr>
            <w:tcW w:w="1320" w:type="dxa"/>
            <w:vAlign w:val="bottom"/>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substantially identical agreements between the Company and each of its</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executive officers identified on the schedule</w:t>
              </w:r>
            </w:hyperlink>
          </w:p>
        </w:tc>
        <w:tc>
          <w:tcPr>
            <w:tcW w:w="2380" w:type="dxa"/>
            <w:vAlign w:val="bottom"/>
            <w:gridSpan w:val="5"/>
          </w:tcPr>
          <w:p>
            <w:pPr>
              <w:spacing w:after="0"/>
              <w:rPr>
                <w:sz w:val="17"/>
                <w:szCs w:val="17"/>
                <w:color w:val="auto"/>
              </w:rPr>
            </w:pPr>
          </w:p>
        </w:tc>
        <w:tc>
          <w:tcPr>
            <w:tcW w:w="426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10.34</w:t>
            </w:r>
          </w:p>
        </w:tc>
        <w:tc>
          <w:tcPr>
            <w:tcW w:w="5520" w:type="dxa"/>
            <w:vAlign w:val="bottom"/>
            <w:tcBorders>
              <w:bottom w:val="single" w:sz="8" w:color="0000EE"/>
            </w:tcBorders>
            <w:gridSpan w:val="10"/>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Indemnification Agreement, dated as of December 4, 2015, by and between</w:t>
              </w:r>
            </w:hyperlink>
          </w:p>
        </w:tc>
        <w:tc>
          <w:tcPr>
            <w:tcW w:w="40" w:type="dxa"/>
            <w:vAlign w:val="bottom"/>
            <w:gridSpan w:val="2"/>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10.5 to the Company’s Form 8-K filed December</w:t>
            </w: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LSB Industries, Inc. and Jonathan S. Bobb, together with a schedule</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8, 2015</w:t>
            </w:r>
          </w:p>
        </w:tc>
      </w:tr>
      <w:tr>
        <w:trPr>
          <w:trHeight w:val="20"/>
        </w:trPr>
        <w:tc>
          <w:tcPr>
            <w:tcW w:w="1320" w:type="dxa"/>
            <w:vAlign w:val="bottom"/>
          </w:tcPr>
          <w:p>
            <w:pPr>
              <w:spacing w:after="0" w:line="20" w:lineRule="exact"/>
              <w:rPr>
                <w:sz w:val="1"/>
                <w:szCs w:val="1"/>
                <w:color w:val="auto"/>
              </w:rPr>
            </w:pPr>
          </w:p>
        </w:tc>
        <w:tc>
          <w:tcPr>
            <w:tcW w:w="4080" w:type="dxa"/>
            <w:vAlign w:val="bottom"/>
            <w:gridSpan w:val="8"/>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identifying other substantially identical agreements between the Company</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and each of the other directors identified on the schedule</w:t>
              </w:r>
            </w:hyperlink>
          </w:p>
        </w:tc>
        <w:tc>
          <w:tcPr>
            <w:tcW w:w="1420" w:type="dxa"/>
            <w:vAlign w:val="bottom"/>
            <w:tcBorders>
              <w:top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10.35</w:t>
            </w:r>
          </w:p>
        </w:tc>
        <w:tc>
          <w:tcPr>
            <w:tcW w:w="5560" w:type="dxa"/>
            <w:vAlign w:val="bottom"/>
            <w:gridSpan w:val="12"/>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Asset Purchase Agreement, dated as of December 6, 2002, by and among</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2.1  to  the  Company’s  Form  8-K  dated</w:t>
            </w:r>
          </w:p>
        </w:tc>
      </w:tr>
      <w:tr>
        <w:trPr>
          <w:trHeight w:val="20"/>
        </w:trPr>
        <w:tc>
          <w:tcPr>
            <w:tcW w:w="1320" w:type="dxa"/>
            <w:vAlign w:val="bottom"/>
          </w:tcPr>
          <w:p>
            <w:pPr>
              <w:spacing w:after="0" w:line="20" w:lineRule="exact"/>
              <w:rPr>
                <w:sz w:val="1"/>
                <w:szCs w:val="1"/>
                <w:color w:val="auto"/>
              </w:rPr>
            </w:pPr>
          </w:p>
        </w:tc>
        <w:tc>
          <w:tcPr>
            <w:tcW w:w="5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Energetic Systems Inc. LLC, UTeC Corporation, LLC, SEC Investment</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December 27, 2002</w:t>
            </w:r>
          </w:p>
        </w:tc>
      </w:tr>
      <w:tr>
        <w:trPr>
          <w:trHeight w:val="20"/>
        </w:trPr>
        <w:tc>
          <w:tcPr>
            <w:tcW w:w="1320" w:type="dxa"/>
            <w:vAlign w:val="bottom"/>
          </w:tcPr>
          <w:p>
            <w:pPr>
              <w:spacing w:after="0" w:line="20" w:lineRule="exact"/>
              <w:rPr>
                <w:sz w:val="1"/>
                <w:szCs w:val="1"/>
                <w:color w:val="auto"/>
              </w:rPr>
            </w:pPr>
          </w:p>
        </w:tc>
        <w:tc>
          <w:tcPr>
            <w:tcW w:w="5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Corp.  LLC,  DetaCorp  Inc.  LLC,  Energetic  Properties,  LLC,  Slurry</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Explosive Corporation, Universal Tech Corporation, El Dorado Chemical</w:t>
              </w:r>
            </w:hyperlink>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22"/>
        </w:trPr>
        <w:tc>
          <w:tcPr>
            <w:tcW w:w="1320" w:type="dxa"/>
            <w:vAlign w:val="bottom"/>
          </w:tcPr>
          <w:p>
            <w:pPr>
              <w:spacing w:after="0"/>
              <w:rPr>
                <w:sz w:val="19"/>
                <w:szCs w:val="19"/>
                <w:color w:val="auto"/>
              </w:rPr>
            </w:pPr>
          </w:p>
        </w:tc>
        <w:tc>
          <w:tcPr>
            <w:tcW w:w="5560" w:type="dxa"/>
            <w:vAlign w:val="bottom"/>
            <w:gridSpan w:val="12"/>
          </w:tcPr>
          <w:p>
            <w:pPr>
              <w:spacing w:after="0"/>
              <w:rPr>
                <w:rFonts w:ascii="Arial" w:cs="Arial" w:eastAsia="Arial" w:hAnsi="Arial"/>
                <w:sz w:val="18"/>
                <w:szCs w:val="18"/>
                <w:u w:val="single" w:color="auto"/>
                <w:color w:val="0000EE"/>
                <w:w w:val="94"/>
              </w:rPr>
            </w:pPr>
            <w:hyperlink r:id="rId126">
              <w:r>
                <w:rPr>
                  <w:rFonts w:ascii="Arial" w:cs="Arial" w:eastAsia="Arial" w:hAnsi="Arial"/>
                  <w:sz w:val="18"/>
                  <w:szCs w:val="18"/>
                  <w:u w:val="single" w:color="auto"/>
                  <w:color w:val="0000EE"/>
                  <w:w w:val="94"/>
                </w:rPr>
                <w:t>Company, LSB Chemical Corp., LSB Industries, Inc. and Slurry Explosive</w:t>
              </w:r>
            </w:hyperlink>
          </w:p>
        </w:tc>
        <w:tc>
          <w:tcPr>
            <w:tcW w:w="4260" w:type="dxa"/>
            <w:vAlign w:val="bottom"/>
          </w:tcPr>
          <w:p>
            <w:pPr>
              <w:spacing w:after="0"/>
              <w:rPr>
                <w:sz w:val="19"/>
                <w:szCs w:val="19"/>
                <w:color w:val="auto"/>
              </w:rPr>
            </w:pPr>
          </w:p>
        </w:tc>
      </w:tr>
      <w:tr>
        <w:trPr>
          <w:trHeight w:val="230"/>
        </w:trPr>
        <w:tc>
          <w:tcPr>
            <w:tcW w:w="1320" w:type="dxa"/>
            <w:vAlign w:val="bottom"/>
          </w:tcPr>
          <w:p>
            <w:pPr>
              <w:spacing w:after="0"/>
              <w:rPr>
                <w:sz w:val="20"/>
                <w:szCs w:val="20"/>
                <w:color w:val="auto"/>
              </w:rPr>
            </w:pPr>
          </w:p>
        </w:tc>
        <w:tc>
          <w:tcPr>
            <w:tcW w:w="5560" w:type="dxa"/>
            <w:vAlign w:val="bottom"/>
            <w:gridSpan w:val="12"/>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Manufacturing Corporation, LLC</w:t>
              </w:r>
            </w:hyperlink>
          </w:p>
        </w:tc>
        <w:tc>
          <w:tcPr>
            <w:tcW w:w="4260" w:type="dxa"/>
            <w:vAlign w:val="bottom"/>
          </w:tcPr>
          <w:p>
            <w:pPr>
              <w:spacing w:after="0"/>
              <w:rPr>
                <w:sz w:val="20"/>
                <w:szCs w:val="20"/>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10.36</w:t>
            </w:r>
          </w:p>
        </w:tc>
        <w:tc>
          <w:tcPr>
            <w:tcW w:w="5520" w:type="dxa"/>
            <w:vAlign w:val="bottom"/>
            <w:tcBorders>
              <w:bottom w:val="single" w:sz="8" w:color="0000EE"/>
            </w:tcBorders>
            <w:gridSpan w:val="10"/>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Exhibits and Disclosure Letters to the Asset Purchase Agreement, dated as</w:t>
              </w:r>
            </w:hyperlink>
          </w:p>
        </w:tc>
        <w:tc>
          <w:tcPr>
            <w:tcW w:w="40" w:type="dxa"/>
            <w:vAlign w:val="bottom"/>
            <w:gridSpan w:val="2"/>
          </w:tcPr>
          <w:p>
            <w:pPr>
              <w:spacing w:after="0"/>
              <w:rPr>
                <w:sz w:val="18"/>
                <w:szCs w:val="18"/>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10.1b  to  the  Company’s  Form  10-Q  filed</w:t>
            </w: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of December 6, 2002, by and among Energetic Systems Inc. LLC, UTeC</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August 6, 2010</w:t>
            </w:r>
          </w:p>
        </w:tc>
      </w:tr>
      <w:tr>
        <w:trPr>
          <w:trHeight w:val="20"/>
        </w:trPr>
        <w:tc>
          <w:tcPr>
            <w:tcW w:w="1320" w:type="dxa"/>
            <w:vAlign w:val="bottom"/>
          </w:tcPr>
          <w:p>
            <w:pPr>
              <w:spacing w:after="0" w:line="20" w:lineRule="exact"/>
              <w:rPr>
                <w:sz w:val="1"/>
                <w:szCs w:val="1"/>
                <w:color w:val="auto"/>
              </w:rPr>
            </w:pPr>
          </w:p>
        </w:tc>
        <w:tc>
          <w:tcPr>
            <w:tcW w:w="5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Corporation,  LLC,  SEC  Investment  Corp.  LLC,  DetaCorp  Inc.  LLC,</w:t>
              </w:r>
            </w:hyperlink>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Energetic Properties, LLC, Slurry Explosive Corporation, Universal Tech</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222"/>
        </w:trPr>
        <w:tc>
          <w:tcPr>
            <w:tcW w:w="1320" w:type="dxa"/>
            <w:vAlign w:val="bottom"/>
          </w:tcPr>
          <w:p>
            <w:pPr>
              <w:spacing w:after="0"/>
              <w:rPr>
                <w:sz w:val="19"/>
                <w:szCs w:val="19"/>
                <w:color w:val="auto"/>
              </w:rPr>
            </w:pPr>
          </w:p>
        </w:tc>
        <w:tc>
          <w:tcPr>
            <w:tcW w:w="5560" w:type="dxa"/>
            <w:vAlign w:val="bottom"/>
            <w:gridSpan w:val="12"/>
          </w:tcPr>
          <w:p>
            <w:pPr>
              <w:spacing w:after="0"/>
              <w:rPr>
                <w:rFonts w:ascii="Arial" w:cs="Arial" w:eastAsia="Arial" w:hAnsi="Arial"/>
                <w:sz w:val="18"/>
                <w:szCs w:val="18"/>
                <w:u w:val="single" w:color="auto"/>
                <w:color w:val="0000EE"/>
                <w:w w:val="98"/>
              </w:rPr>
            </w:pPr>
            <w:hyperlink r:id="rId127">
              <w:r>
                <w:rPr>
                  <w:rFonts w:ascii="Arial" w:cs="Arial" w:eastAsia="Arial" w:hAnsi="Arial"/>
                  <w:sz w:val="18"/>
                  <w:szCs w:val="18"/>
                  <w:u w:val="single" w:color="auto"/>
                  <w:color w:val="0000EE"/>
                  <w:w w:val="98"/>
                </w:rPr>
                <w:t>Corporation, El Dorado Chemical Company, LSB Chemical Corp., LSB</w:t>
              </w:r>
            </w:hyperlink>
          </w:p>
        </w:tc>
        <w:tc>
          <w:tcPr>
            <w:tcW w:w="4260" w:type="dxa"/>
            <w:vAlign w:val="bottom"/>
          </w:tcPr>
          <w:p>
            <w:pPr>
              <w:spacing w:after="0"/>
              <w:rPr>
                <w:sz w:val="19"/>
                <w:szCs w:val="19"/>
                <w:color w:val="auto"/>
              </w:rPr>
            </w:pPr>
          </w:p>
        </w:tc>
      </w:tr>
      <w:tr>
        <w:trPr>
          <w:trHeight w:val="230"/>
        </w:trPr>
        <w:tc>
          <w:tcPr>
            <w:tcW w:w="1320" w:type="dxa"/>
            <w:vAlign w:val="bottom"/>
          </w:tcPr>
          <w:p>
            <w:pPr>
              <w:spacing w:after="0"/>
              <w:rPr>
                <w:sz w:val="20"/>
                <w:szCs w:val="20"/>
                <w:color w:val="auto"/>
              </w:rPr>
            </w:pPr>
          </w:p>
        </w:tc>
        <w:tc>
          <w:tcPr>
            <w:tcW w:w="5560" w:type="dxa"/>
            <w:vAlign w:val="bottom"/>
            <w:gridSpan w:val="12"/>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Industries, Inc. and Slurry Explosive Manufacturing Corporation, LLC</w:t>
              </w:r>
            </w:hyperlink>
          </w:p>
        </w:tc>
        <w:tc>
          <w:tcPr>
            <w:tcW w:w="4260" w:type="dxa"/>
            <w:vAlign w:val="bottom"/>
          </w:tcPr>
          <w:p>
            <w:pPr>
              <w:spacing w:after="0"/>
              <w:rPr>
                <w:sz w:val="20"/>
                <w:szCs w:val="20"/>
                <w:color w:val="auto"/>
              </w:rPr>
            </w:pPr>
          </w:p>
        </w:tc>
      </w:tr>
    </w:tbl>
    <w:p>
      <w:pPr>
        <w:spacing w:after="0" w:line="26" w:lineRule="exact"/>
        <w:rPr>
          <w:sz w:val="20"/>
          <w:szCs w:val="20"/>
          <w:color w:val="auto"/>
        </w:rPr>
      </w:pPr>
    </w:p>
    <w:p>
      <w:pPr>
        <w:jc w:val="both"/>
        <w:ind w:left="1420" w:hanging="1313"/>
        <w:spacing w:after="0" w:line="258" w:lineRule="auto"/>
        <w:tabs>
          <w:tab w:leader="none" w:pos="1400" w:val="left"/>
        </w:tabs>
        <w:rPr>
          <w:rFonts w:ascii="Arial" w:cs="Arial" w:eastAsia="Arial" w:hAnsi="Arial"/>
          <w:sz w:val="18"/>
          <w:szCs w:val="18"/>
          <w:color w:val="0000EE"/>
        </w:rPr>
      </w:pPr>
      <w:r>
        <w:rPr>
          <w:rFonts w:ascii="Arial" w:cs="Arial" w:eastAsia="Arial" w:hAnsi="Arial"/>
          <w:sz w:val="18"/>
          <w:szCs w:val="18"/>
          <w:color w:val="auto"/>
        </w:rPr>
        <w:t>10.37</w:t>
      </w:r>
      <w:r>
        <w:rPr>
          <w:sz w:val="20"/>
          <w:szCs w:val="20"/>
          <w:color w:val="auto"/>
        </w:rPr>
        <w:tab/>
      </w:r>
      <w:hyperlink r:id="rId128">
        <w:r>
          <w:rPr>
            <w:rFonts w:ascii="Arial" w:cs="Arial" w:eastAsia="Arial" w:hAnsi="Arial"/>
            <w:sz w:val="18"/>
            <w:szCs w:val="18"/>
            <w:u w:val="single" w:color="auto"/>
            <w:color w:val="0000EE"/>
          </w:rPr>
          <w:t xml:space="preserve">Ammonia Purchase and Sale Agreement by and between El Dorado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10.49 to the Company’s Form 10-K filed</w:t>
      </w:r>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Chemical Company and Koch Fertilizer, LLC, dated as of November 2,</w:t>
        </w:r>
        <w:r>
          <w:rPr>
            <w:rFonts w:ascii="Arial" w:cs="Arial" w:eastAsia="Arial" w:hAnsi="Arial"/>
            <w:sz w:val="18"/>
            <w:szCs w:val="18"/>
            <w:color w:val="0000EE"/>
          </w:rPr>
          <w:t xml:space="preserve"> </w:t>
        </w:r>
      </w:hyperlink>
      <w:r>
        <w:rPr>
          <w:rFonts w:ascii="Arial" w:cs="Arial" w:eastAsia="Arial" w:hAnsi="Arial"/>
          <w:sz w:val="18"/>
          <w:szCs w:val="18"/>
          <w:color w:val="000000"/>
        </w:rPr>
        <w:t>February</w:t>
      </w:r>
      <w:r>
        <w:rPr>
          <w:rFonts w:ascii="Arial" w:cs="Arial" w:eastAsia="Arial" w:hAnsi="Arial"/>
          <w:sz w:val="18"/>
          <w:szCs w:val="18"/>
          <w:color w:val="0000EE"/>
        </w:rPr>
        <w:t xml:space="preserve"> </w:t>
      </w:r>
      <w:r>
        <w:rPr>
          <w:rFonts w:ascii="Arial" w:cs="Arial" w:eastAsia="Arial" w:hAnsi="Arial"/>
          <w:sz w:val="18"/>
          <w:szCs w:val="18"/>
          <w:color w:val="000000"/>
        </w:rPr>
        <w:t>29, 2016</w:t>
      </w:r>
    </w:p>
    <w:tbl>
      <w:tblPr>
        <w:tblLayout w:type="fixed"/>
        <w:tblInd w:w="0" w:type="dxa"/>
        <w:tblCellMar>
          <w:top w:w="0" w:type="dxa"/>
          <w:left w:w="0" w:type="dxa"/>
          <w:bottom w:w="0" w:type="dxa"/>
          <w:right w:w="0" w:type="dxa"/>
        </w:tblCellMar>
      </w:tblPr>
      <w:tr>
        <w:trPr>
          <w:trHeight w:val="177"/>
        </w:trPr>
        <w:tc>
          <w:tcPr>
            <w:tcW w:w="1780" w:type="dxa"/>
            <w:vAlign w:val="bottom"/>
            <w:gridSpan w:val="2"/>
          </w:tcPr>
          <w:p>
            <w:pPr>
              <w:jc w:val="right"/>
              <w:spacing w:after="0" w:line="177" w:lineRule="exact"/>
              <w:rPr>
                <w:rFonts w:ascii="Arial" w:cs="Arial" w:eastAsia="Arial" w:hAnsi="Arial"/>
                <w:sz w:val="18"/>
                <w:szCs w:val="18"/>
                <w:color w:val="0000EE"/>
              </w:rPr>
            </w:pPr>
            <w:hyperlink r:id="rId128">
              <w:r>
                <w:rPr>
                  <w:rFonts w:ascii="Arial" w:cs="Arial" w:eastAsia="Arial" w:hAnsi="Arial"/>
                  <w:sz w:val="18"/>
                  <w:szCs w:val="18"/>
                  <w:color w:val="0000EE"/>
                </w:rPr>
                <w:t>2015</w:t>
              </w:r>
            </w:hyperlink>
          </w:p>
        </w:tc>
        <w:tc>
          <w:tcPr>
            <w:tcW w:w="9460" w:type="dxa"/>
            <w:vAlign w:val="bottom"/>
            <w:vMerge w:val="restart"/>
          </w:tcPr>
          <w:p>
            <w:pPr>
              <w:ind w:left="526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w w:val="98"/>
              </w:rPr>
              <w:t>HAS BEEN OMITTED AS IT IS THE SUBJECT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w w:val="97"/>
              </w:rPr>
              <w:t>COMMISSION ORDER CF #33502, DATED APRIL 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2016, GRANTING REQUEST BY THE COMPANY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513"/>
        </w:trPr>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tcPr>
          <w:p>
            <w:pPr>
              <w:ind w:left="37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49" w:name="page50"/>
    <w:bookmarkEnd w:id="49"/>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20" w:type="dxa"/>
            <w:vAlign w:val="bottom"/>
          </w:tcPr>
          <w:p>
            <w:pPr>
              <w:jc w:val="right"/>
              <w:ind w:right="830"/>
              <w:spacing w:after="0" w:line="174" w:lineRule="exact"/>
              <w:rPr>
                <w:sz w:val="20"/>
                <w:szCs w:val="20"/>
                <w:color w:val="auto"/>
              </w:rPr>
            </w:pPr>
            <w:r>
              <w:rPr>
                <w:rFonts w:ascii="Arial" w:cs="Arial" w:eastAsia="Arial" w:hAnsi="Arial"/>
                <w:sz w:val="18"/>
                <w:szCs w:val="18"/>
                <w:color w:val="auto"/>
              </w:rPr>
              <w:t>10.38</w:t>
            </w:r>
          </w:p>
        </w:tc>
        <w:tc>
          <w:tcPr>
            <w:tcW w:w="5520" w:type="dxa"/>
            <w:vAlign w:val="bottom"/>
            <w:tcBorders>
              <w:bottom w:val="single" w:sz="8" w:color="0000EE"/>
            </w:tcBorders>
            <w:gridSpan w:val="12"/>
          </w:tcPr>
          <w:p>
            <w:pPr>
              <w:spacing w:after="0" w:line="174"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Second Amendment to Ammonia Purchase and Sale Agreement Between</w:t>
              </w:r>
            </w:hyperlink>
          </w:p>
        </w:tc>
        <w:tc>
          <w:tcPr>
            <w:tcW w:w="40" w:type="dxa"/>
            <w:vAlign w:val="bottom"/>
            <w:gridSpan w:val="3"/>
          </w:tcPr>
          <w:p>
            <w:pPr>
              <w:spacing w:after="0"/>
              <w:rPr>
                <w:sz w:val="15"/>
                <w:szCs w:val="15"/>
                <w:color w:val="auto"/>
              </w:rPr>
            </w:pPr>
          </w:p>
        </w:tc>
        <w:tc>
          <w:tcPr>
            <w:tcW w:w="4260" w:type="dxa"/>
            <w:vAlign w:val="bottom"/>
            <w:gridSpan w:val="4"/>
          </w:tcPr>
          <w:p>
            <w:pPr>
              <w:ind w:left="60"/>
              <w:spacing w:after="0" w:line="174" w:lineRule="exact"/>
              <w:rPr>
                <w:sz w:val="20"/>
                <w:szCs w:val="20"/>
                <w:color w:val="auto"/>
              </w:rPr>
            </w:pPr>
            <w:r>
              <w:rPr>
                <w:rFonts w:ascii="Arial" w:cs="Arial" w:eastAsia="Arial" w:hAnsi="Arial"/>
                <w:sz w:val="18"/>
                <w:szCs w:val="18"/>
                <w:color w:val="auto"/>
                <w:w w:val="95"/>
              </w:rPr>
              <w:t>Exhibit 10.1 to the Company’s Form 10-Q filed October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Koch</w:t>
              </w:r>
            </w:hyperlink>
          </w:p>
        </w:tc>
        <w:tc>
          <w:tcPr>
            <w:tcW w:w="5040" w:type="dxa"/>
            <w:vAlign w:val="bottom"/>
            <w:tcBorders>
              <w:bottom w:val="single" w:sz="8" w:color="0000EE"/>
            </w:tcBorders>
            <w:gridSpan w:val="10"/>
          </w:tcPr>
          <w:p>
            <w:pPr>
              <w:jc w:val="right"/>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Fertilizer, LLC  and El Dorado Chemical Company, dated as of</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29, 2019</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September 30, 2019</w:t>
              </w:r>
            </w:hyperlink>
          </w:p>
        </w:tc>
        <w:tc>
          <w:tcPr>
            <w:tcW w:w="4260" w:type="dxa"/>
            <w:vAlign w:val="bottom"/>
            <w:gridSpan w:val="4"/>
            <w:vMerge w:val="restart"/>
          </w:tcPr>
          <w:p>
            <w:pPr>
              <w:ind w:left="60"/>
              <w:spacing w:after="0"/>
              <w:rPr>
                <w:sz w:val="20"/>
                <w:szCs w:val="20"/>
                <w:color w:val="auto"/>
              </w:rPr>
            </w:pPr>
            <w:r>
              <w:rPr>
                <w:rFonts w:ascii="Arial" w:cs="Arial" w:eastAsia="Arial" w:hAnsi="Arial"/>
                <w:sz w:val="18"/>
                <w:szCs w:val="18"/>
                <w:color w:val="auto"/>
              </w:rPr>
              <w:t>CERTAIN CONFIDENTIAL INFORMATION WITHIN</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960" w:type="dxa"/>
            <w:vAlign w:val="bottom"/>
            <w:tcBorders>
              <w:top w:val="single" w:sz="8" w:color="0000EE"/>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THIS EXHIBIT HAS BEEN OMITTED.</w:t>
            </w: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10.39</w:t>
            </w:r>
          </w:p>
        </w:tc>
        <w:tc>
          <w:tcPr>
            <w:tcW w:w="5540" w:type="dxa"/>
            <w:vAlign w:val="bottom"/>
            <w:tcBorders>
              <w:bottom w:val="single" w:sz="8" w:color="0000EE"/>
            </w:tcBorders>
            <w:gridSpan w:val="14"/>
          </w:tcPr>
          <w:p>
            <w:pPr>
              <w:spacing w:after="0"/>
              <w:rPr>
                <w:rFonts w:ascii="Arial" w:cs="Arial" w:eastAsia="Arial" w:hAnsi="Arial"/>
                <w:sz w:val="18"/>
                <w:szCs w:val="18"/>
                <w:color w:val="0000EE"/>
                <w:w w:val="93"/>
              </w:rPr>
            </w:pPr>
            <w:hyperlink r:id="rId133">
              <w:r>
                <w:rPr>
                  <w:rFonts w:ascii="Arial" w:cs="Arial" w:eastAsia="Arial" w:hAnsi="Arial"/>
                  <w:sz w:val="18"/>
                  <w:szCs w:val="18"/>
                  <w:color w:val="0000EE"/>
                  <w:w w:val="93"/>
                </w:rPr>
                <w:t>Urea Ammonium Nitrate Purchase and Sale Agreement dated as of March</w:t>
              </w:r>
            </w:hyperlink>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2"/>
              </w:rPr>
              <w:t>Exhibit 10.1 to the Company’s Form 10-Q filed August 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3, 2016 and effective as of June 1, 2016 between Coffeyville Resources</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Nitrogen Fertilizers, LLC and Pryor Chemical Company</w:t>
              </w:r>
            </w:hyperlink>
          </w:p>
        </w:tc>
        <w:tc>
          <w:tcPr>
            <w:tcW w:w="4260" w:type="dxa"/>
            <w:vAlign w:val="bottom"/>
            <w:gridSpan w:val="4"/>
            <w:vMerge w:val="restart"/>
          </w:tcPr>
          <w:p>
            <w:pPr>
              <w:ind w:left="6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960" w:type="dxa"/>
            <w:vAlign w:val="bottom"/>
            <w:tcBorders>
              <w:top w:val="single" w:sz="8" w:color="0000EE"/>
            </w:tcBorders>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8"/>
              </w:rPr>
              <w:t>HAS BEEN OMITTED AS IT IS THE SUBJECT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6"/>
              </w:rPr>
              <w:t>COMMISSION ORDER CF #33783. DATED AUGUST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6"/>
              </w:rPr>
              <w:t>30, 2016, GRANTING REQUEST BY THE COMPANY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Arial" w:cs="Arial" w:eastAsia="Arial" w:hAnsi="Arial"/>
                <w:sz w:val="18"/>
                <w:szCs w:val="18"/>
                <w:color w:val="auto"/>
                <w:w w:val="99"/>
              </w:rPr>
              <w:t>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AND</w:t>
            </w:r>
          </w:p>
        </w:tc>
        <w:tc>
          <w:tcPr>
            <w:tcW w:w="1060" w:type="dxa"/>
            <w:vAlign w:val="bottom"/>
          </w:tcPr>
          <w:p>
            <w:pPr>
              <w:ind w:left="60"/>
              <w:spacing w:after="0"/>
              <w:rPr>
                <w:sz w:val="20"/>
                <w:szCs w:val="20"/>
                <w:color w:val="auto"/>
              </w:rPr>
            </w:pPr>
            <w:r>
              <w:rPr>
                <w:rFonts w:ascii="Arial" w:cs="Arial" w:eastAsia="Arial" w:hAnsi="Arial"/>
                <w:sz w:val="18"/>
                <w:szCs w:val="18"/>
                <w:color w:val="auto"/>
                <w:w w:val="96"/>
              </w:rPr>
              <w:t>EXCHANGE</w:t>
            </w:r>
          </w:p>
        </w:tc>
        <w:tc>
          <w:tcPr>
            <w:tcW w:w="1360" w:type="dxa"/>
            <w:vAlign w:val="bottom"/>
          </w:tcPr>
          <w:p>
            <w:pPr>
              <w:ind w:left="200"/>
              <w:spacing w:after="0"/>
              <w:rPr>
                <w:sz w:val="20"/>
                <w:szCs w:val="20"/>
                <w:color w:val="auto"/>
              </w:rPr>
            </w:pPr>
            <w:r>
              <w:rPr>
                <w:rFonts w:ascii="Arial" w:cs="Arial" w:eastAsia="Arial" w:hAnsi="Arial"/>
                <w:sz w:val="18"/>
                <w:szCs w:val="18"/>
                <w:color w:val="auto"/>
                <w:w w:val="96"/>
              </w:rPr>
              <w:t>COMMISSION</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10.40</w:t>
            </w:r>
          </w:p>
        </w:tc>
        <w:tc>
          <w:tcPr>
            <w:tcW w:w="480" w:type="dxa"/>
            <w:vAlign w:val="bottom"/>
            <w:tcBorders>
              <w:bottom w:val="single" w:sz="8" w:color="0000EE"/>
            </w:tcBorders>
            <w:gridSpan w:val="3"/>
          </w:tcPr>
          <w:p>
            <w:pPr>
              <w:spacing w:after="0"/>
              <w:rPr>
                <w:rFonts w:ascii="Arial" w:cs="Arial" w:eastAsia="Arial" w:hAnsi="Arial"/>
                <w:sz w:val="18"/>
                <w:szCs w:val="18"/>
                <w:color w:val="0000EE"/>
              </w:rPr>
            </w:pPr>
            <w:hyperlink r:id="rId134">
              <w:r>
                <w:rPr>
                  <w:rFonts w:ascii="Arial" w:cs="Arial" w:eastAsia="Arial" w:hAnsi="Arial"/>
                  <w:sz w:val="18"/>
                  <w:szCs w:val="18"/>
                  <w:color w:val="0000EE"/>
                </w:rPr>
                <w:t>Stock</w:t>
              </w:r>
            </w:hyperlink>
          </w:p>
        </w:tc>
        <w:tc>
          <w:tcPr>
            <w:tcW w:w="5040" w:type="dxa"/>
            <w:vAlign w:val="bottom"/>
            <w:tcBorders>
              <w:bottom w:val="single" w:sz="8" w:color="0000EE"/>
            </w:tcBorders>
            <w:gridSpan w:val="9"/>
          </w:tcPr>
          <w:p>
            <w:pPr>
              <w:jc w:val="right"/>
              <w:spacing w:after="0"/>
              <w:rPr>
                <w:rFonts w:ascii="Arial" w:cs="Arial" w:eastAsia="Arial" w:hAnsi="Arial"/>
                <w:sz w:val="18"/>
                <w:szCs w:val="18"/>
                <w:color w:val="0000EE"/>
                <w:w w:val="98"/>
              </w:rPr>
            </w:pPr>
            <w:hyperlink r:id="rId134">
              <w:r>
                <w:rPr>
                  <w:rFonts w:ascii="Arial" w:cs="Arial" w:eastAsia="Arial" w:hAnsi="Arial"/>
                  <w:sz w:val="18"/>
                  <w:szCs w:val="18"/>
                  <w:color w:val="0000EE"/>
                  <w:w w:val="98"/>
                </w:rPr>
                <w:t>Purchase  Agreement  by  and  among  Consolidated  Industries</w:t>
              </w:r>
            </w:hyperlink>
          </w:p>
        </w:tc>
        <w:tc>
          <w:tcPr>
            <w:tcW w:w="40" w:type="dxa"/>
            <w:vAlign w:val="bottom"/>
            <w:gridSpan w:val="3"/>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8"/>
              </w:rPr>
              <w:t>Exhibit 10.1 to the Company’s Form 8-K filed May 13,</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134">
              <w:r>
                <w:rPr>
                  <w:rFonts w:ascii="Arial" w:cs="Arial" w:eastAsia="Arial" w:hAnsi="Arial"/>
                  <w:sz w:val="18"/>
                  <w:szCs w:val="18"/>
                  <w:color w:val="0000EE"/>
                  <w:w w:val="95"/>
                </w:rPr>
                <w:t>L.L.C.</w:t>
              </w:r>
            </w:hyperlink>
          </w:p>
        </w:tc>
        <w:tc>
          <w:tcPr>
            <w:tcW w:w="5040" w:type="dxa"/>
            <w:vAlign w:val="bottom"/>
            <w:tcBorders>
              <w:bottom w:val="single" w:sz="8" w:color="0000EE"/>
            </w:tcBorders>
            <w:gridSpan w:val="10"/>
          </w:tcPr>
          <w:p>
            <w:pPr>
              <w:jc w:val="right"/>
              <w:spacing w:after="0" w:line="196"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The Climate Control Group, Inc., NIBE Energy Systems Inc. and,</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solely for purposes of Sections 6.8, 6.19 and 11.15 therein, LSB Industries,</w:t>
              </w:r>
            </w:hyperlink>
          </w:p>
        </w:tc>
        <w:tc>
          <w:tcPr>
            <w:tcW w:w="4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5560" w:type="dxa"/>
            <w:vAlign w:val="bottom"/>
            <w:gridSpan w:val="15"/>
          </w:tcPr>
          <w:p>
            <w:pPr>
              <w:spacing w:after="0"/>
              <w:rPr>
                <w:rFonts w:ascii="Arial" w:cs="Arial" w:eastAsia="Arial" w:hAnsi="Arial"/>
                <w:sz w:val="18"/>
                <w:szCs w:val="18"/>
                <w:u w:val="single" w:color="auto"/>
                <w:color w:val="0000EE"/>
                <w:w w:val="95"/>
              </w:rPr>
            </w:pPr>
            <w:hyperlink r:id="rId134">
              <w:r>
                <w:rPr>
                  <w:rFonts w:ascii="Arial" w:cs="Arial" w:eastAsia="Arial" w:hAnsi="Arial"/>
                  <w:sz w:val="18"/>
                  <w:szCs w:val="18"/>
                  <w:u w:val="single" w:color="auto"/>
                  <w:color w:val="0000EE"/>
                  <w:w w:val="95"/>
                </w:rPr>
                <w:t>Inc., and solely for purposes of Section 11.16 therein, NIBE Industrier AB</w:t>
              </w:r>
            </w:hyperlink>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5560" w:type="dxa"/>
            <w:vAlign w:val="bottom"/>
            <w:gridSpan w:val="15"/>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(publ), dated as of May 11, 2016.</w:t>
              </w:r>
            </w:hyperlink>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10.41</w:t>
            </w:r>
          </w:p>
        </w:tc>
        <w:tc>
          <w:tcPr>
            <w:tcW w:w="5560" w:type="dxa"/>
            <w:vAlign w:val="bottom"/>
            <w:gridSpan w:val="15"/>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Contract on the supply of Basic Engineering Package, Detail Engineering</w:t>
              </w:r>
            </w:hyperlink>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Exhibit  99.2  to  the  Company’s  Form  8-K  filed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Package, Tagged Major Equipment and related Advisory Services, between</w:t>
              </w:r>
            </w:hyperlink>
          </w:p>
        </w:tc>
        <w:tc>
          <w:tcPr>
            <w:tcW w:w="40" w:type="dxa"/>
            <w:vAlign w:val="bottom"/>
            <w:gridSpan w:val="4"/>
          </w:tcPr>
          <w:p>
            <w:pPr>
              <w:spacing w:after="0"/>
              <w:rPr>
                <w:sz w:val="17"/>
                <w:szCs w:val="17"/>
                <w:color w:val="auto"/>
              </w:rPr>
            </w:pPr>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December 6, 2012</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7"/>
              </w:rPr>
            </w:pPr>
            <w:hyperlink r:id="rId135">
              <w:r>
                <w:rPr>
                  <w:rFonts w:ascii="Arial" w:cs="Arial" w:eastAsia="Arial" w:hAnsi="Arial"/>
                  <w:sz w:val="18"/>
                  <w:szCs w:val="18"/>
                  <w:color w:val="0000EE"/>
                  <w:w w:val="97"/>
                </w:rPr>
                <w:t>Weatherly Inc. and El Dorado Chemical Company, dated November 30,</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35">
              <w:r>
                <w:rPr>
                  <w:rFonts w:ascii="Arial" w:cs="Arial" w:eastAsia="Arial" w:hAnsi="Arial"/>
                  <w:sz w:val="18"/>
                  <w:szCs w:val="18"/>
                  <w:color w:val="0000EE"/>
                  <w:w w:val="84"/>
                </w:rPr>
                <w:t>2012</w:t>
              </w:r>
            </w:hyperlink>
          </w:p>
        </w:tc>
        <w:tc>
          <w:tcPr>
            <w:tcW w:w="1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10.42</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Engineering, Procurement and Construction Agreement, dated August 12,</w:t>
              </w:r>
            </w:hyperlink>
          </w:p>
        </w:tc>
        <w:tc>
          <w:tcPr>
            <w:tcW w:w="40" w:type="dxa"/>
            <w:vAlign w:val="bottom"/>
            <w:gridSpan w:val="3"/>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3"/>
              </w:rPr>
              <w:t>Exhibit 10.1 to the Company’s Form 8-K filed August 15,</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5560" w:type="dxa"/>
            <w:vAlign w:val="bottom"/>
            <w:gridSpan w:val="15"/>
          </w:tcPr>
          <w:p>
            <w:pPr>
              <w:spacing w:after="0"/>
              <w:rPr>
                <w:rFonts w:ascii="Arial" w:cs="Arial" w:eastAsia="Arial" w:hAnsi="Arial"/>
                <w:sz w:val="18"/>
                <w:szCs w:val="18"/>
                <w:u w:val="single" w:color="auto"/>
                <w:color w:val="0000EE"/>
                <w:w w:val="97"/>
              </w:rPr>
            </w:pPr>
            <w:hyperlink r:id="rId136">
              <w:r>
                <w:rPr>
                  <w:rFonts w:ascii="Arial" w:cs="Arial" w:eastAsia="Arial" w:hAnsi="Arial"/>
                  <w:sz w:val="18"/>
                  <w:szCs w:val="18"/>
                  <w:u w:val="single" w:color="auto"/>
                  <w:color w:val="0000EE"/>
                  <w:w w:val="97"/>
                </w:rPr>
                <w:t>2013, between El Dorado Ammonia L.L.C. and SAIC Constructors, LLC</w:t>
              </w:r>
            </w:hyperlink>
          </w:p>
        </w:tc>
        <w:tc>
          <w:tcPr>
            <w:tcW w:w="1160" w:type="dxa"/>
            <w:vAlign w:val="bottom"/>
          </w:tcPr>
          <w:p>
            <w:pPr>
              <w:ind w:left="60"/>
              <w:spacing w:after="0"/>
              <w:rPr>
                <w:sz w:val="20"/>
                <w:szCs w:val="20"/>
                <w:color w:val="auto"/>
              </w:rPr>
            </w:pPr>
            <w:r>
              <w:rPr>
                <w:rFonts w:ascii="Arial" w:cs="Arial" w:eastAsia="Arial" w:hAnsi="Arial"/>
                <w:sz w:val="18"/>
                <w:szCs w:val="18"/>
                <w:color w:val="auto"/>
              </w:rPr>
              <w:t>2013</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10.43</w:t>
            </w:r>
          </w:p>
        </w:tc>
        <w:tc>
          <w:tcPr>
            <w:tcW w:w="5560" w:type="dxa"/>
            <w:vAlign w:val="bottom"/>
            <w:gridSpan w:val="15"/>
          </w:tcPr>
          <w:p>
            <w:pPr>
              <w:spacing w:after="0"/>
              <w:rPr>
                <w:rFonts w:ascii="Arial" w:cs="Arial" w:eastAsia="Arial" w:hAnsi="Arial"/>
                <w:sz w:val="18"/>
                <w:szCs w:val="18"/>
                <w:color w:val="0000EE"/>
                <w:w w:val="98"/>
              </w:rPr>
            </w:pPr>
            <w:hyperlink r:id="rId137">
              <w:r>
                <w:rPr>
                  <w:rFonts w:ascii="Arial" w:cs="Arial" w:eastAsia="Arial" w:hAnsi="Arial"/>
                  <w:sz w:val="18"/>
                  <w:szCs w:val="18"/>
                  <w:color w:val="0000EE"/>
                  <w:w w:val="98"/>
                </w:rPr>
                <w:t>Construction Agreement-DMW2, dated November 6, 2013, between El</w:t>
              </w:r>
            </w:hyperlink>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Exhibit  99.1  to  the  Company’s  Form  8-K  filed</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Dorado Chemical Company and SAIC Constructors, LLC</w:t>
              </w:r>
            </w:hyperlink>
          </w:p>
        </w:tc>
        <w:tc>
          <w:tcPr>
            <w:tcW w:w="60" w:type="dxa"/>
            <w:vAlign w:val="bottom"/>
            <w:gridSpan w:val="5"/>
          </w:tcPr>
          <w:p>
            <w:pPr>
              <w:spacing w:after="0"/>
              <w:rPr>
                <w:sz w:val="17"/>
                <w:szCs w:val="17"/>
                <w:color w:val="auto"/>
              </w:rPr>
            </w:pPr>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November 12, 2013</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10.44</w:t>
            </w:r>
          </w:p>
        </w:tc>
        <w:tc>
          <w:tcPr>
            <w:tcW w:w="5520" w:type="dxa"/>
            <w:vAlign w:val="bottom"/>
            <w:tcBorders>
              <w:bottom w:val="single" w:sz="8" w:color="0000EE"/>
            </w:tcBorders>
            <w:gridSpan w:val="11"/>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Construction Agreement – NACSAC, dated November 6, 2013, between El</w:t>
              </w:r>
            </w:hyperlink>
          </w:p>
        </w:tc>
        <w:tc>
          <w:tcPr>
            <w:tcW w:w="40" w:type="dxa"/>
            <w:vAlign w:val="bottom"/>
            <w:gridSpan w:val="4"/>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3"/>
              </w:rPr>
              <w:t>Exhibit 99.2 to the Company’s Form 8-K filed November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Dorado Chemical Company and SAIC Constructors, LLC</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12, 2013</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10.45</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Engineering, Procurement and Construction Agreement, dated December</w:t>
              </w:r>
            </w:hyperlink>
          </w:p>
        </w:tc>
        <w:tc>
          <w:tcPr>
            <w:tcW w:w="40" w:type="dxa"/>
            <w:vAlign w:val="bottom"/>
            <w:gridSpan w:val="3"/>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3"/>
              </w:rPr>
              <w:t>Exhibit 99.1 to the Company’s Form 8-K filed January 7,</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31, 2013, between El Dorado Chemical Company and SAIC Constructors,</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2014</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LLC</w:t>
              </w:r>
            </w:hyperlink>
          </w:p>
        </w:tc>
        <w:tc>
          <w:tcPr>
            <w:tcW w:w="140" w:type="dxa"/>
            <w:vAlign w:val="bottom"/>
            <w:tcBorders>
              <w:top w:val="single" w:sz="8" w:color="0000EE"/>
            </w:tcBorders>
            <w:gridSpan w:val="2"/>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10.46</w:t>
            </w:r>
          </w:p>
        </w:tc>
        <w:tc>
          <w:tcPr>
            <w:tcW w:w="5520" w:type="dxa"/>
            <w:vAlign w:val="bottom"/>
            <w:tcBorders>
              <w:bottom w:val="single" w:sz="8" w:color="0000EE"/>
            </w:tcBorders>
            <w:gridSpan w:val="11"/>
          </w:tcPr>
          <w:p>
            <w:pPr>
              <w:spacing w:after="0"/>
              <w:rPr>
                <w:rFonts w:ascii="Arial" w:cs="Arial" w:eastAsia="Arial" w:hAnsi="Arial"/>
                <w:sz w:val="18"/>
                <w:szCs w:val="18"/>
                <w:color w:val="0000EE"/>
                <w:w w:val="95"/>
              </w:rPr>
            </w:pPr>
            <w:hyperlink r:id="rId140">
              <w:r>
                <w:rPr>
                  <w:rFonts w:ascii="Arial" w:cs="Arial" w:eastAsia="Arial" w:hAnsi="Arial"/>
                  <w:sz w:val="18"/>
                  <w:szCs w:val="18"/>
                  <w:color w:val="0000EE"/>
                  <w:w w:val="95"/>
                </w:rPr>
                <w:t>Engineering, Procurement and Construction Contract, Amendment No. 1</w:t>
              </w:r>
            </w:hyperlink>
          </w:p>
        </w:tc>
        <w:tc>
          <w:tcPr>
            <w:tcW w:w="40" w:type="dxa"/>
            <w:vAlign w:val="bottom"/>
            <w:gridSpan w:val="4"/>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18"/>
                <w:szCs w:val="18"/>
                <w:color w:val="auto"/>
              </w:rPr>
              <w:t>Exhibit  10.1</w:t>
            </w:r>
          </w:p>
        </w:tc>
        <w:tc>
          <w:tcPr>
            <w:tcW w:w="680" w:type="dxa"/>
            <w:vAlign w:val="bottom"/>
          </w:tcPr>
          <w:p>
            <w:pPr>
              <w:jc w:val="center"/>
              <w:spacing w:after="0"/>
              <w:rPr>
                <w:sz w:val="20"/>
                <w:szCs w:val="20"/>
                <w:color w:val="auto"/>
              </w:rPr>
            </w:pPr>
            <w:r>
              <w:rPr>
                <w:rFonts w:ascii="Arial" w:cs="Arial" w:eastAsia="Arial" w:hAnsi="Arial"/>
                <w:sz w:val="18"/>
                <w:szCs w:val="18"/>
                <w:color w:val="auto"/>
              </w:rPr>
              <w:t>to  the</w:t>
            </w:r>
          </w:p>
        </w:tc>
        <w:tc>
          <w:tcPr>
            <w:tcW w:w="1060" w:type="dxa"/>
            <w:vAlign w:val="bottom"/>
          </w:tcPr>
          <w:p>
            <w:pPr>
              <w:ind w:left="100"/>
              <w:spacing w:after="0"/>
              <w:rPr>
                <w:sz w:val="20"/>
                <w:szCs w:val="20"/>
                <w:color w:val="auto"/>
              </w:rPr>
            </w:pPr>
            <w:r>
              <w:rPr>
                <w:rFonts w:ascii="Arial" w:cs="Arial" w:eastAsia="Arial" w:hAnsi="Arial"/>
                <w:sz w:val="18"/>
                <w:szCs w:val="18"/>
                <w:color w:val="auto"/>
              </w:rPr>
              <w:t>Company’s</w:t>
            </w:r>
          </w:p>
        </w:tc>
        <w:tc>
          <w:tcPr>
            <w:tcW w:w="1360" w:type="dxa"/>
            <w:vAlign w:val="bottom"/>
          </w:tcPr>
          <w:p>
            <w:pPr>
              <w:ind w:left="20"/>
              <w:spacing w:after="0"/>
              <w:rPr>
                <w:sz w:val="20"/>
                <w:szCs w:val="20"/>
                <w:color w:val="auto"/>
              </w:rPr>
            </w:pPr>
            <w:r>
              <w:rPr>
                <w:rFonts w:ascii="Arial" w:cs="Arial" w:eastAsia="Arial" w:hAnsi="Arial"/>
                <w:sz w:val="18"/>
                <w:szCs w:val="18"/>
                <w:color w:val="auto"/>
              </w:rPr>
              <w:t>Form  8-K  filed</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140">
              <w:r>
                <w:rPr>
                  <w:rFonts w:ascii="Arial" w:cs="Arial" w:eastAsia="Arial" w:hAnsi="Arial"/>
                  <w:sz w:val="18"/>
                  <w:szCs w:val="18"/>
                  <w:color w:val="0000EE"/>
                  <w:w w:val="97"/>
                </w:rPr>
                <w:t>dated October 20, 2015, by and between El Dorado Ammonia LLC and</w:t>
              </w:r>
            </w:hyperlink>
          </w:p>
        </w:tc>
        <w:tc>
          <w:tcPr>
            <w:tcW w:w="40" w:type="dxa"/>
            <w:vAlign w:val="bottom"/>
            <w:gridSpan w:val="3"/>
          </w:tcPr>
          <w:p>
            <w:pPr>
              <w:spacing w:after="0"/>
              <w:rPr>
                <w:sz w:val="17"/>
                <w:szCs w:val="17"/>
                <w:color w:val="auto"/>
              </w:rPr>
            </w:pPr>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October 26, 2015</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SAIC Constructors, LLC</w:t>
              </w:r>
            </w:hyperlink>
          </w:p>
        </w:tc>
        <w:tc>
          <w:tcPr>
            <w:tcW w:w="376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10.47</w:t>
            </w:r>
          </w:p>
        </w:tc>
        <w:tc>
          <w:tcPr>
            <w:tcW w:w="5520" w:type="dxa"/>
            <w:vAlign w:val="bottom"/>
            <w:tcBorders>
              <w:bottom w:val="single" w:sz="8" w:color="0000EE"/>
            </w:tcBorders>
            <w:gridSpan w:val="11"/>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Settlement Agreement, dated April 26, 2015, by and among the Company</w:t>
              </w:r>
            </w:hyperlink>
          </w:p>
        </w:tc>
        <w:tc>
          <w:tcPr>
            <w:tcW w:w="40" w:type="dxa"/>
            <w:vAlign w:val="bottom"/>
            <w:gridSpan w:val="4"/>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7"/>
              </w:rPr>
              <w:t>Exhibit 99.1 to the Company’s Form 8-K filed April 30,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and Starboard Value LP and its certain affiliates and associates</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10.48</w:t>
            </w:r>
          </w:p>
        </w:tc>
        <w:tc>
          <w:tcPr>
            <w:tcW w:w="5520" w:type="dxa"/>
            <w:vAlign w:val="bottom"/>
            <w:tcBorders>
              <w:bottom w:val="single" w:sz="8" w:color="0000EE"/>
            </w:tcBorders>
            <w:gridSpan w:val="11"/>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Consent Decree, dated May 28, 2014, by and among, LSB Industries, Inc.,</w:t>
              </w:r>
            </w:hyperlink>
          </w:p>
        </w:tc>
        <w:tc>
          <w:tcPr>
            <w:tcW w:w="40" w:type="dxa"/>
            <w:vAlign w:val="bottom"/>
            <w:gridSpan w:val="4"/>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9"/>
              </w:rPr>
              <w:t>Exhibit 99.1 to the Company’s Form 8-K filed June 3,</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El Dorado Chemical Co., Cherokee Nitrogen Co., Pryor Chemical Co., El</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2014</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Dorado  Nitrogen,  L.P.,  the  U.S.  Department  of  Justice,  the  U.S.</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Environmental   Protection   Agency,   the   Alabama   Department   of</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20" w:type="dxa"/>
            <w:vAlign w:val="bottom"/>
          </w:tcPr>
          <w:p>
            <w:pPr>
              <w:spacing w:after="0"/>
              <w:rPr>
                <w:sz w:val="19"/>
                <w:szCs w:val="19"/>
                <w:color w:val="auto"/>
              </w:rPr>
            </w:pPr>
          </w:p>
        </w:tc>
        <w:tc>
          <w:tcPr>
            <w:tcW w:w="5560" w:type="dxa"/>
            <w:vAlign w:val="bottom"/>
            <w:gridSpan w:val="15"/>
          </w:tcPr>
          <w:p>
            <w:pPr>
              <w:spacing w:after="0"/>
              <w:rPr>
                <w:rFonts w:ascii="Arial" w:cs="Arial" w:eastAsia="Arial" w:hAnsi="Arial"/>
                <w:sz w:val="18"/>
                <w:szCs w:val="18"/>
                <w:u w:val="single" w:color="auto"/>
                <w:color w:val="0000EE"/>
                <w:w w:val="98"/>
              </w:rPr>
            </w:pPr>
            <w:hyperlink r:id="rId142">
              <w:r>
                <w:rPr>
                  <w:rFonts w:ascii="Arial" w:cs="Arial" w:eastAsia="Arial" w:hAnsi="Arial"/>
                  <w:sz w:val="18"/>
                  <w:szCs w:val="18"/>
                  <w:u w:val="single" w:color="auto"/>
                  <w:color w:val="0000EE"/>
                  <w:w w:val="98"/>
                </w:rPr>
                <w:t>Environmental   Management,   and   the   Oklahoma   Department   of</w:t>
              </w:r>
            </w:hyperlink>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5560" w:type="dxa"/>
            <w:vAlign w:val="bottom"/>
            <w:gridSpan w:val="15"/>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Environment Quality</w:t>
              </w:r>
            </w:hyperlink>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10.49</w:t>
            </w:r>
          </w:p>
        </w:tc>
        <w:tc>
          <w:tcPr>
            <w:tcW w:w="5560" w:type="dxa"/>
            <w:vAlign w:val="bottom"/>
            <w:gridSpan w:val="15"/>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Second  Amended  and  Restated  Loan  and  Security  Agreement,  dated</w:t>
              </w:r>
            </w:hyperlink>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Exhibit  4.9  to  the  Company’s  Form  10-K  filed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December 31, 2013, by and among LSB Industries, Inc., each of its</w:t>
              </w:r>
            </w:hyperlink>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February 27, 2014</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subsidiaries that are signatories thereto, the lenders signatories thereto, and</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Wells Fargo Capital Finance, LLC</w:t>
              </w:r>
            </w:hyperlink>
          </w:p>
        </w:tc>
        <w:tc>
          <w:tcPr>
            <w:tcW w:w="6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4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gridSpan w:val="3"/>
          </w:tcPr>
          <w:p>
            <w:pPr>
              <w:spacing w:after="0"/>
              <w:rPr>
                <w:sz w:val="24"/>
                <w:szCs w:val="24"/>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50" w:name="page51"/>
    <w:bookmarkEnd w:id="50"/>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20" w:type="dxa"/>
            <w:vAlign w:val="bottom"/>
          </w:tcPr>
          <w:p>
            <w:pPr>
              <w:jc w:val="right"/>
              <w:ind w:right="830"/>
              <w:spacing w:after="0" w:line="174" w:lineRule="exact"/>
              <w:rPr>
                <w:sz w:val="20"/>
                <w:szCs w:val="20"/>
                <w:color w:val="auto"/>
              </w:rPr>
            </w:pPr>
            <w:r>
              <w:rPr>
                <w:rFonts w:ascii="Arial" w:cs="Arial" w:eastAsia="Arial" w:hAnsi="Arial"/>
                <w:sz w:val="18"/>
                <w:szCs w:val="18"/>
                <w:color w:val="auto"/>
              </w:rPr>
              <w:t>10.50</w:t>
            </w:r>
          </w:p>
        </w:tc>
        <w:tc>
          <w:tcPr>
            <w:tcW w:w="5520" w:type="dxa"/>
            <w:vAlign w:val="bottom"/>
            <w:tcBorders>
              <w:bottom w:val="single" w:sz="8" w:color="0000EE"/>
            </w:tcBorders>
            <w:gridSpan w:val="5"/>
          </w:tcPr>
          <w:p>
            <w:pPr>
              <w:spacing w:after="0" w:line="174"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Amendment No. 1 to the Second Amended and Restated Loan and Security</w:t>
              </w:r>
            </w:hyperlink>
          </w:p>
        </w:tc>
        <w:tc>
          <w:tcPr>
            <w:tcW w:w="40" w:type="dxa"/>
            <w:vAlign w:val="bottom"/>
            <w:gridSpan w:val="2"/>
          </w:tcPr>
          <w:p>
            <w:pPr>
              <w:spacing w:after="0"/>
              <w:rPr>
                <w:sz w:val="15"/>
                <w:szCs w:val="15"/>
                <w:color w:val="auto"/>
              </w:rPr>
            </w:pPr>
          </w:p>
        </w:tc>
        <w:tc>
          <w:tcPr>
            <w:tcW w:w="4260" w:type="dxa"/>
            <w:vAlign w:val="bottom"/>
            <w:gridSpan w:val="8"/>
          </w:tcPr>
          <w:p>
            <w:pPr>
              <w:ind w:left="60"/>
              <w:spacing w:after="0" w:line="174" w:lineRule="exact"/>
              <w:rPr>
                <w:sz w:val="20"/>
                <w:szCs w:val="20"/>
                <w:color w:val="auto"/>
              </w:rPr>
            </w:pPr>
            <w:r>
              <w:rPr>
                <w:rFonts w:ascii="Arial" w:cs="Arial" w:eastAsia="Arial" w:hAnsi="Arial"/>
                <w:sz w:val="18"/>
                <w:szCs w:val="18"/>
                <w:color w:val="auto"/>
                <w:w w:val="96"/>
              </w:rPr>
              <w:t>Exhibit 99.1 to the Company’s Form 8-K filed June 17,</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Agreement, dated as of June 11, 2015, by and among LSB Industries, Inc.</w:t>
              </w:r>
            </w:hyperlink>
          </w:p>
        </w:tc>
        <w:tc>
          <w:tcPr>
            <w:tcW w:w="40" w:type="dxa"/>
            <w:vAlign w:val="bottom"/>
            <w:gridSpan w:val="2"/>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7"/>
          </w:tcPr>
          <w:p>
            <w:pPr>
              <w:spacing w:after="0" w:line="196" w:lineRule="exact"/>
              <w:rPr>
                <w:rFonts w:ascii="Arial" w:cs="Arial" w:eastAsia="Arial" w:hAnsi="Arial"/>
                <w:sz w:val="18"/>
                <w:szCs w:val="18"/>
                <w:color w:val="0000EE"/>
                <w:w w:val="94"/>
              </w:rPr>
            </w:pPr>
            <w:hyperlink r:id="rId147">
              <w:r>
                <w:rPr>
                  <w:rFonts w:ascii="Arial" w:cs="Arial" w:eastAsia="Arial" w:hAnsi="Arial"/>
                  <w:sz w:val="18"/>
                  <w:szCs w:val="18"/>
                  <w:color w:val="0000EE"/>
                  <w:w w:val="94"/>
                </w:rPr>
                <w:t>its  subsidiaries  identified  on  the  signature  pages  thereof,  the  lenders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1420" w:type="dxa"/>
            <w:vAlign w:val="bottom"/>
          </w:tcPr>
          <w:p>
            <w:pPr>
              <w:spacing w:after="0"/>
              <w:rPr>
                <w:sz w:val="19"/>
                <w:szCs w:val="19"/>
                <w:color w:val="auto"/>
              </w:rPr>
            </w:pPr>
          </w:p>
        </w:tc>
        <w:tc>
          <w:tcPr>
            <w:tcW w:w="5560" w:type="dxa"/>
            <w:vAlign w:val="bottom"/>
            <w:gridSpan w:val="7"/>
          </w:tcPr>
          <w:p>
            <w:pPr>
              <w:spacing w:after="0"/>
              <w:rPr>
                <w:rFonts w:ascii="Arial" w:cs="Arial" w:eastAsia="Arial" w:hAnsi="Arial"/>
                <w:sz w:val="18"/>
                <w:szCs w:val="18"/>
                <w:u w:val="single" w:color="auto"/>
                <w:color w:val="0000EE"/>
                <w:w w:val="93"/>
              </w:rPr>
            </w:pPr>
            <w:hyperlink r:id="rId147">
              <w:r>
                <w:rPr>
                  <w:rFonts w:ascii="Arial" w:cs="Arial" w:eastAsia="Arial" w:hAnsi="Arial"/>
                  <w:sz w:val="18"/>
                  <w:szCs w:val="18"/>
                  <w:u w:val="single" w:color="auto"/>
                  <w:color w:val="0000EE"/>
                  <w:w w:val="93"/>
                </w:rPr>
                <w:t>identified on the signature pages thereof and Wells Fargo Capital Finance,</w:t>
              </w:r>
            </w:hyperlink>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LLC, as the arranger and administrative agent for the Lenders</w:t>
              </w:r>
            </w:hyperlink>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10.51</w:t>
            </w:r>
          </w:p>
        </w:tc>
        <w:tc>
          <w:tcPr>
            <w:tcW w:w="5520" w:type="dxa"/>
            <w:vAlign w:val="bottom"/>
            <w:tcBorders>
              <w:bottom w:val="single" w:sz="8" w:color="0000EE"/>
            </w:tcBorders>
            <w:gridSpan w:val="5"/>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Amendment No. 2 to the Second Amended and Restated Loan and Security</w:t>
              </w:r>
            </w:hyperlink>
          </w:p>
        </w:tc>
        <w:tc>
          <w:tcPr>
            <w:tcW w:w="40" w:type="dxa"/>
            <w:vAlign w:val="bottom"/>
            <w:gridSpan w:val="2"/>
          </w:tcPr>
          <w:p>
            <w:pPr>
              <w:spacing w:after="0"/>
              <w:rPr>
                <w:sz w:val="18"/>
                <w:szCs w:val="18"/>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10.3  to  the  Company’s  Form  8-K  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Agreement, dated as of November 9, 2015, by and among LSB Industries,</w:t>
              </w:r>
            </w:hyperlink>
          </w:p>
        </w:tc>
        <w:tc>
          <w:tcPr>
            <w:tcW w:w="40" w:type="dxa"/>
            <w:vAlign w:val="bottom"/>
            <w:gridSpan w:val="2"/>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7"/>
          </w:tcPr>
          <w:p>
            <w:pPr>
              <w:spacing w:after="0" w:line="196" w:lineRule="exact"/>
              <w:rPr>
                <w:rFonts w:ascii="Arial" w:cs="Arial" w:eastAsia="Arial" w:hAnsi="Arial"/>
                <w:sz w:val="18"/>
                <w:szCs w:val="18"/>
                <w:color w:val="0000EE"/>
                <w:w w:val="95"/>
              </w:rPr>
            </w:pPr>
            <w:hyperlink r:id="rId148">
              <w:r>
                <w:rPr>
                  <w:rFonts w:ascii="Arial" w:cs="Arial" w:eastAsia="Arial" w:hAnsi="Arial"/>
                  <w:sz w:val="18"/>
                  <w:szCs w:val="18"/>
                  <w:color w:val="0000EE"/>
                  <w:w w:val="95"/>
                </w:rPr>
                <w:t>Inc., its subsidiaries identified on the signature pages thereof, the lenders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1420" w:type="dxa"/>
            <w:vAlign w:val="bottom"/>
          </w:tcPr>
          <w:p>
            <w:pPr>
              <w:spacing w:after="0"/>
              <w:rPr>
                <w:sz w:val="19"/>
                <w:szCs w:val="19"/>
                <w:color w:val="auto"/>
              </w:rPr>
            </w:pPr>
          </w:p>
        </w:tc>
        <w:tc>
          <w:tcPr>
            <w:tcW w:w="5560" w:type="dxa"/>
            <w:vAlign w:val="bottom"/>
            <w:gridSpan w:val="7"/>
          </w:tcPr>
          <w:p>
            <w:pPr>
              <w:spacing w:after="0"/>
              <w:rPr>
                <w:rFonts w:ascii="Arial" w:cs="Arial" w:eastAsia="Arial" w:hAnsi="Arial"/>
                <w:sz w:val="18"/>
                <w:szCs w:val="18"/>
                <w:u w:val="single" w:color="auto"/>
                <w:color w:val="0000EE"/>
                <w:w w:val="92"/>
              </w:rPr>
            </w:pPr>
            <w:hyperlink r:id="rId148">
              <w:r>
                <w:rPr>
                  <w:rFonts w:ascii="Arial" w:cs="Arial" w:eastAsia="Arial" w:hAnsi="Arial"/>
                  <w:sz w:val="18"/>
                  <w:szCs w:val="18"/>
                  <w:u w:val="single" w:color="auto"/>
                  <w:color w:val="0000EE"/>
                  <w:w w:val="92"/>
                </w:rPr>
                <w:t>identified on the signature pages thereof, and Wells Fargo Capital Finance,</w:t>
              </w:r>
            </w:hyperlink>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LLC, as the arranger and administrative agent for the Lenders</w:t>
              </w:r>
            </w:hyperlink>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10.52</w:t>
            </w:r>
          </w:p>
        </w:tc>
        <w:tc>
          <w:tcPr>
            <w:tcW w:w="5520" w:type="dxa"/>
            <w:vAlign w:val="bottom"/>
            <w:tcBorders>
              <w:bottom w:val="single" w:sz="8" w:color="0000EE"/>
            </w:tcBorders>
            <w:gridSpan w:val="5"/>
          </w:tcPr>
          <w:p>
            <w:pP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Third Amended and Restated Loan and Security Agreement, dated as of</w:t>
              </w:r>
            </w:hyperlink>
          </w:p>
        </w:tc>
        <w:tc>
          <w:tcPr>
            <w:tcW w:w="40" w:type="dxa"/>
            <w:vAlign w:val="bottom"/>
            <w:gridSpan w:val="2"/>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Exhibit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10.1</w:t>
            </w:r>
          </w:p>
        </w:tc>
        <w:tc>
          <w:tcPr>
            <w:tcW w:w="340" w:type="dxa"/>
            <w:vAlign w:val="bottom"/>
          </w:tcPr>
          <w:p>
            <w:pPr>
              <w:ind w:left="60"/>
              <w:spacing w:after="0"/>
              <w:rPr>
                <w:sz w:val="20"/>
                <w:szCs w:val="20"/>
                <w:color w:val="auto"/>
              </w:rPr>
            </w:pPr>
            <w:r>
              <w:rPr>
                <w:rFonts w:ascii="Arial" w:cs="Arial" w:eastAsia="Arial" w:hAnsi="Arial"/>
                <w:sz w:val="18"/>
                <w:szCs w:val="18"/>
                <w:color w:val="auto"/>
              </w:rPr>
              <w:t>to</w:t>
            </w:r>
          </w:p>
        </w:tc>
        <w:tc>
          <w:tcPr>
            <w:tcW w:w="340" w:type="dxa"/>
            <w:vAlign w:val="bottom"/>
          </w:tcPr>
          <w:p>
            <w:pPr>
              <w:ind w:left="20"/>
              <w:spacing w:after="0"/>
              <w:rPr>
                <w:sz w:val="20"/>
                <w:szCs w:val="20"/>
                <w:color w:val="auto"/>
              </w:rPr>
            </w:pPr>
            <w:r>
              <w:rPr>
                <w:rFonts w:ascii="Arial" w:cs="Arial" w:eastAsia="Arial" w:hAnsi="Arial"/>
                <w:sz w:val="18"/>
                <w:szCs w:val="18"/>
                <w:color w:val="auto"/>
              </w:rPr>
              <w:t>the</w:t>
            </w:r>
          </w:p>
        </w:tc>
        <w:tc>
          <w:tcPr>
            <w:tcW w:w="960" w:type="dxa"/>
            <w:vAlign w:val="bottom"/>
          </w:tcPr>
          <w:p>
            <w:pPr>
              <w:ind w:left="80"/>
              <w:spacing w:after="0"/>
              <w:rPr>
                <w:sz w:val="20"/>
                <w:szCs w:val="20"/>
                <w:color w:val="auto"/>
              </w:rPr>
            </w:pPr>
            <w:r>
              <w:rPr>
                <w:rFonts w:ascii="Arial" w:cs="Arial" w:eastAsia="Arial" w:hAnsi="Arial"/>
                <w:sz w:val="18"/>
                <w:szCs w:val="18"/>
                <w:color w:val="auto"/>
                <w:w w:val="95"/>
              </w:rPr>
              <w:t>Company’s</w:t>
            </w:r>
          </w:p>
        </w:tc>
        <w:tc>
          <w:tcPr>
            <w:tcW w:w="540" w:type="dxa"/>
            <w:vAlign w:val="bottom"/>
          </w:tcPr>
          <w:p>
            <w:pPr>
              <w:ind w:left="100"/>
              <w:spacing w:after="0"/>
              <w:rPr>
                <w:sz w:val="20"/>
                <w:szCs w:val="20"/>
                <w:color w:val="auto"/>
              </w:rPr>
            </w:pPr>
            <w:r>
              <w:rPr>
                <w:rFonts w:ascii="Arial" w:cs="Arial" w:eastAsia="Arial" w:hAnsi="Arial"/>
                <w:sz w:val="18"/>
                <w:szCs w:val="18"/>
                <w:color w:val="auto"/>
                <w:w w:val="99"/>
              </w:rPr>
              <w:t>Form</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400" w:type="dxa"/>
            <w:vAlign w:val="bottom"/>
          </w:tcPr>
          <w:p>
            <w:pPr>
              <w:ind w:left="6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January 17, 2017, by and among LSB Industries, Inc., the subsidiaries of</w:t>
              </w:r>
            </w:hyperlink>
          </w:p>
        </w:tc>
        <w:tc>
          <w:tcPr>
            <w:tcW w:w="40" w:type="dxa"/>
            <w:vAlign w:val="bottom"/>
            <w:gridSpan w:val="2"/>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January 20, 2017</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LSB Industries, Inc. party thereto, the lenders party thereto, and Wells Fargo</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7"/>
        </w:trPr>
        <w:tc>
          <w:tcPr>
            <w:tcW w:w="142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Capital Finance, LLC, as the arranger and administrative agent.</w:t>
              </w:r>
            </w:hyperlink>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10.53</w:t>
            </w:r>
          </w:p>
        </w:tc>
        <w:tc>
          <w:tcPr>
            <w:tcW w:w="5560" w:type="dxa"/>
            <w:vAlign w:val="bottom"/>
            <w:gridSpan w:val="7"/>
          </w:tcPr>
          <w:p>
            <w:pPr>
              <w:spacing w:after="0"/>
              <w:rPr>
                <w:rFonts w:ascii="Arial" w:cs="Arial" w:eastAsia="Arial" w:hAnsi="Arial"/>
                <w:sz w:val="18"/>
                <w:szCs w:val="18"/>
                <w:color w:val="0000EE"/>
              </w:rPr>
            </w:pPr>
            <w:hyperlink r:id="rId150">
              <w:r>
                <w:rPr>
                  <w:rFonts w:ascii="Arial" w:cs="Arial" w:eastAsia="Arial" w:hAnsi="Arial"/>
                  <w:sz w:val="18"/>
                  <w:szCs w:val="18"/>
                  <w:color w:val="0000EE"/>
                </w:rPr>
                <w:t>First Amendment to Third Amended and Restated Loan and Security</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7"/>
              </w:rPr>
              <w:t>Exhibit 10.1 to the Company’s Form 8-K filed April 20,</w:t>
            </w: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Agreement, dated as of April 16, 2018, by and among Wells Fargo Capital</w:t>
              </w:r>
            </w:hyperlink>
          </w:p>
        </w:tc>
        <w:tc>
          <w:tcPr>
            <w:tcW w:w="40" w:type="dxa"/>
            <w:vAlign w:val="bottom"/>
            <w:gridSpan w:val="2"/>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Finance, LLC, as the arranger and administrative agent, the lenders party</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thereto, LSB Industries, Inc. and its subsidiaries identified on the signature</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5560" w:type="dxa"/>
            <w:vAlign w:val="bottom"/>
            <w:gridSpan w:val="7"/>
          </w:tcPr>
          <w:p>
            <w:pPr>
              <w:spacing w:after="0"/>
              <w:rPr>
                <w:rFonts w:ascii="Arial" w:cs="Arial" w:eastAsia="Arial" w:hAnsi="Arial"/>
                <w:sz w:val="18"/>
                <w:szCs w:val="18"/>
                <w:u w:val="single" w:color="auto"/>
                <w:color w:val="0000EE"/>
                <w:w w:val="90"/>
              </w:rPr>
            </w:pPr>
            <w:hyperlink r:id="rId150">
              <w:r>
                <w:rPr>
                  <w:rFonts w:ascii="Arial" w:cs="Arial" w:eastAsia="Arial" w:hAnsi="Arial"/>
                  <w:sz w:val="18"/>
                  <w:szCs w:val="18"/>
                  <w:u w:val="single" w:color="auto"/>
                  <w:color w:val="0000EE"/>
                  <w:w w:val="90"/>
                </w:rPr>
                <w:t>pages thereto as borrowers and the Company’s subsidiaries identified on the</w:t>
              </w:r>
            </w:hyperlink>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signature pages thereto as guarantors.</w:t>
              </w:r>
            </w:hyperlink>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10.54</w:t>
            </w:r>
          </w:p>
        </w:tc>
        <w:tc>
          <w:tcPr>
            <w:tcW w:w="5560" w:type="dxa"/>
            <w:vAlign w:val="bottom"/>
            <w:gridSpan w:val="7"/>
          </w:tcPr>
          <w:p>
            <w:pPr>
              <w:spacing w:after="0"/>
              <w:rPr>
                <w:rFonts w:ascii="Arial" w:cs="Arial" w:eastAsia="Arial" w:hAnsi="Arial"/>
                <w:sz w:val="18"/>
                <w:szCs w:val="18"/>
                <w:color w:val="0000EE"/>
                <w:w w:val="96"/>
              </w:rPr>
            </w:pPr>
            <w:hyperlink r:id="rId151">
              <w:r>
                <w:rPr>
                  <w:rFonts w:ascii="Arial" w:cs="Arial" w:eastAsia="Arial" w:hAnsi="Arial"/>
                  <w:sz w:val="18"/>
                  <w:szCs w:val="18"/>
                  <w:color w:val="0000EE"/>
                  <w:w w:val="96"/>
                </w:rPr>
                <w:t>Second Amendment to Third Amended and Restated Loan and Security</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8"/>
              </w:rPr>
              <w:t>Exhibit 4.1 to the Company’s Form 8-K filed February</w:t>
            </w: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Agreement, dated as of February 26, 2019, by and among Wells Fargo</w:t>
              </w:r>
            </w:hyperlink>
          </w:p>
        </w:tc>
        <w:tc>
          <w:tcPr>
            <w:tcW w:w="40" w:type="dxa"/>
            <w:vAlign w:val="bottom"/>
            <w:gridSpan w:val="2"/>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w w:val="91"/>
              </w:rPr>
              <w:t>28, 2019</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7"/>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Capital Finance, LLC, as the arranger and administrative agent, the lenders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7"/>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party thereto, LSB Industries, Inc. and its subsidiaries identified on the</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1420" w:type="dxa"/>
            <w:vAlign w:val="bottom"/>
          </w:tcPr>
          <w:p>
            <w:pPr>
              <w:spacing w:after="0"/>
              <w:rPr>
                <w:sz w:val="19"/>
                <w:szCs w:val="19"/>
                <w:color w:val="auto"/>
              </w:rPr>
            </w:pPr>
          </w:p>
        </w:tc>
        <w:tc>
          <w:tcPr>
            <w:tcW w:w="5560" w:type="dxa"/>
            <w:vAlign w:val="bottom"/>
            <w:gridSpan w:val="7"/>
          </w:tcPr>
          <w:p>
            <w:pPr>
              <w:spacing w:after="0"/>
              <w:rPr>
                <w:rFonts w:ascii="Arial" w:cs="Arial" w:eastAsia="Arial" w:hAnsi="Arial"/>
                <w:sz w:val="18"/>
                <w:szCs w:val="18"/>
                <w:u w:val="single" w:color="auto"/>
                <w:color w:val="0000EE"/>
                <w:w w:val="92"/>
              </w:rPr>
            </w:pPr>
            <w:hyperlink r:id="rId151">
              <w:r>
                <w:rPr>
                  <w:rFonts w:ascii="Arial" w:cs="Arial" w:eastAsia="Arial" w:hAnsi="Arial"/>
                  <w:sz w:val="18"/>
                  <w:szCs w:val="18"/>
                  <w:u w:val="single" w:color="auto"/>
                  <w:color w:val="0000EE"/>
                  <w:w w:val="92"/>
                </w:rPr>
                <w:t>signature  pages  thereto  as  borrowers  and  the  Company’s  subsidiaries</w:t>
              </w:r>
            </w:hyperlink>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identified on the signature pages thereto as guarantors.</w:t>
              </w:r>
            </w:hyperlink>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10.55</w:t>
            </w:r>
          </w:p>
        </w:tc>
        <w:tc>
          <w:tcPr>
            <w:tcW w:w="5520" w:type="dxa"/>
            <w:vAlign w:val="bottom"/>
            <w:tcBorders>
              <w:bottom w:val="single" w:sz="8" w:color="0000EE"/>
            </w:tcBorders>
            <w:gridSpan w:val="5"/>
          </w:tcPr>
          <w:p>
            <w:pP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Third Amendment to Third Amended and Restated Loan and Security</w:t>
              </w:r>
            </w:hyperlink>
          </w:p>
        </w:tc>
        <w:tc>
          <w:tcPr>
            <w:tcW w:w="40" w:type="dxa"/>
            <w:vAlign w:val="bottom"/>
            <w:gridSpan w:val="2"/>
          </w:tcPr>
          <w:p>
            <w:pPr>
              <w:spacing w:after="0"/>
              <w:rPr>
                <w:sz w:val="18"/>
                <w:szCs w:val="18"/>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7"/>
              </w:rPr>
              <w:t>Exhibit 10.3 to the Company’s Form 10-Q filed May 7,</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Agreement, dated as of April 20, 2020, by and among Wells Fargo Capital</w:t>
              </w:r>
            </w:hyperlink>
          </w:p>
        </w:tc>
        <w:tc>
          <w:tcPr>
            <w:tcW w:w="40" w:type="dxa"/>
            <w:vAlign w:val="bottom"/>
            <w:gridSpan w:val="2"/>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2020</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Finance, LLC, as the arranger and administrative agent, the lenders party</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thereto, LSB Industries, Inc. and its subsidiaries identified on the signature</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5560" w:type="dxa"/>
            <w:vAlign w:val="bottom"/>
            <w:gridSpan w:val="7"/>
          </w:tcPr>
          <w:p>
            <w:pPr>
              <w:spacing w:after="0"/>
              <w:rPr>
                <w:rFonts w:ascii="Arial" w:cs="Arial" w:eastAsia="Arial" w:hAnsi="Arial"/>
                <w:sz w:val="18"/>
                <w:szCs w:val="18"/>
                <w:u w:val="single" w:color="auto"/>
                <w:color w:val="0000EE"/>
                <w:w w:val="90"/>
              </w:rPr>
            </w:pPr>
            <w:hyperlink r:id="rId152">
              <w:r>
                <w:rPr>
                  <w:rFonts w:ascii="Arial" w:cs="Arial" w:eastAsia="Arial" w:hAnsi="Arial"/>
                  <w:sz w:val="18"/>
                  <w:szCs w:val="18"/>
                  <w:u w:val="single" w:color="auto"/>
                  <w:color w:val="0000EE"/>
                  <w:w w:val="90"/>
                </w:rPr>
                <w:t>pages thereto as borrowers and the Company’s subsidiaries identified on the</w:t>
              </w:r>
            </w:hyperlink>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5560" w:type="dxa"/>
            <w:vAlign w:val="bottom"/>
            <w:gridSpan w:val="7"/>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signature pages thereto as guarantors</w:t>
              </w:r>
            </w:hyperlink>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10.56</w:t>
            </w:r>
          </w:p>
        </w:tc>
        <w:tc>
          <w:tcPr>
            <w:tcW w:w="6280" w:type="dxa"/>
            <w:vAlign w:val="bottom"/>
            <w:gridSpan w:val="8"/>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 xml:space="preserve">Security Agreement dated as of August 7, 2013, among LSB Industries, Inc. </w:t>
              </w:r>
            </w:hyperlink>
            <w:r>
              <w:rPr>
                <w:rFonts w:ascii="Arial" w:cs="Arial" w:eastAsia="Arial" w:hAnsi="Arial"/>
                <w:sz w:val="18"/>
                <w:szCs w:val="18"/>
                <w:color w:val="000000"/>
                <w:w w:val="94"/>
              </w:rPr>
              <w:t>Exhibit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10.72</w:t>
            </w:r>
          </w:p>
        </w:tc>
        <w:tc>
          <w:tcPr>
            <w:tcW w:w="340" w:type="dxa"/>
            <w:vAlign w:val="bottom"/>
          </w:tcPr>
          <w:p>
            <w:pPr>
              <w:ind w:left="100"/>
              <w:spacing w:after="0"/>
              <w:rPr>
                <w:sz w:val="20"/>
                <w:szCs w:val="20"/>
                <w:color w:val="auto"/>
              </w:rPr>
            </w:pPr>
            <w:r>
              <w:rPr>
                <w:rFonts w:ascii="Arial" w:cs="Arial" w:eastAsia="Arial" w:hAnsi="Arial"/>
                <w:sz w:val="18"/>
                <w:szCs w:val="18"/>
                <w:color w:val="auto"/>
              </w:rPr>
              <w:t>to</w:t>
            </w:r>
          </w:p>
        </w:tc>
        <w:tc>
          <w:tcPr>
            <w:tcW w:w="340" w:type="dxa"/>
            <w:vAlign w:val="bottom"/>
          </w:tcPr>
          <w:p>
            <w:pPr>
              <w:ind w:left="40"/>
              <w:spacing w:after="0"/>
              <w:rPr>
                <w:sz w:val="20"/>
                <w:szCs w:val="20"/>
                <w:color w:val="auto"/>
              </w:rPr>
            </w:pPr>
            <w:r>
              <w:rPr>
                <w:rFonts w:ascii="Arial" w:cs="Arial" w:eastAsia="Arial" w:hAnsi="Arial"/>
                <w:sz w:val="18"/>
                <w:szCs w:val="18"/>
                <w:color w:val="auto"/>
              </w:rPr>
              <w:t>the</w:t>
            </w:r>
          </w:p>
        </w:tc>
        <w:tc>
          <w:tcPr>
            <w:tcW w:w="960" w:type="dxa"/>
            <w:vAlign w:val="bottom"/>
          </w:tcPr>
          <w:p>
            <w:pPr>
              <w:ind w:left="60"/>
              <w:spacing w:after="0"/>
              <w:rPr>
                <w:sz w:val="20"/>
                <w:szCs w:val="20"/>
                <w:color w:val="auto"/>
              </w:rPr>
            </w:pPr>
            <w:r>
              <w:rPr>
                <w:rFonts w:ascii="Arial" w:cs="Arial" w:eastAsia="Arial" w:hAnsi="Arial"/>
                <w:sz w:val="18"/>
                <w:szCs w:val="18"/>
                <w:color w:val="auto"/>
                <w:w w:val="97"/>
              </w:rPr>
              <w:t>Company’s</w:t>
            </w:r>
          </w:p>
        </w:tc>
        <w:tc>
          <w:tcPr>
            <w:tcW w:w="540" w:type="dxa"/>
            <w:vAlign w:val="bottom"/>
          </w:tcPr>
          <w:p>
            <w:pPr>
              <w:ind w:left="60"/>
              <w:spacing w:after="0"/>
              <w:rPr>
                <w:sz w:val="20"/>
                <w:szCs w:val="20"/>
                <w:color w:val="auto"/>
              </w:rPr>
            </w:pPr>
            <w:r>
              <w:rPr>
                <w:rFonts w:ascii="Arial" w:cs="Arial" w:eastAsia="Arial" w:hAnsi="Arial"/>
                <w:sz w:val="18"/>
                <w:szCs w:val="18"/>
                <w:color w:val="auto"/>
              </w:rPr>
              <w:t>Form</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400" w:type="dxa"/>
            <w:vAlign w:val="bottom"/>
          </w:tcPr>
          <w:p>
            <w:pPr>
              <w:ind w:left="6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5520" w:type="dxa"/>
            <w:vAlign w:val="bottom"/>
            <w:tcBorders>
              <w:top w:val="single" w:sz="8" w:color="0000EE"/>
            </w:tcBorders>
            <w:gridSpan w:val="5"/>
          </w:tcPr>
          <w:p>
            <w:pPr>
              <w:spacing w:after="0" w:line="196" w:lineRule="exact"/>
              <w:rPr>
                <w:rFonts w:ascii="Arial" w:cs="Arial" w:eastAsia="Arial" w:hAnsi="Arial"/>
                <w:sz w:val="18"/>
                <w:szCs w:val="18"/>
                <w:color w:val="0000EE"/>
                <w:w w:val="98"/>
              </w:rPr>
            </w:pPr>
            <w:hyperlink r:id="rId153">
              <w:r>
                <w:rPr>
                  <w:rFonts w:ascii="Arial" w:cs="Arial" w:eastAsia="Arial" w:hAnsi="Arial"/>
                  <w:sz w:val="18"/>
                  <w:szCs w:val="18"/>
                  <w:color w:val="0000EE"/>
                  <w:w w:val="98"/>
                </w:rPr>
                <w:t>and the other grantors identified therein in favor of UMB Bank, N.A. as</w:t>
              </w:r>
            </w:hyperlink>
          </w:p>
        </w:tc>
        <w:tc>
          <w:tcPr>
            <w:tcW w:w="40" w:type="dxa"/>
            <w:vAlign w:val="bottom"/>
            <w:gridSpan w:val="2"/>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7"/>
              </w:rPr>
              <w:t>February 29, 2016</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Collateral Agent</w:t>
              </w:r>
            </w:hyperlink>
          </w:p>
        </w:tc>
        <w:tc>
          <w:tcPr>
            <w:tcW w:w="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10.57</w:t>
            </w:r>
          </w:p>
        </w:tc>
        <w:tc>
          <w:tcPr>
            <w:tcW w:w="5520" w:type="dxa"/>
            <w:vAlign w:val="bottom"/>
            <w:tcBorders>
              <w:bottom w:val="single" w:sz="8" w:color="0000EE"/>
            </w:tcBorders>
            <w:gridSpan w:val="5"/>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Supplement No. 1 to Security Agreement February 12, 2014 among LSB</w:t>
              </w:r>
            </w:hyperlink>
          </w:p>
        </w:tc>
        <w:tc>
          <w:tcPr>
            <w:tcW w:w="40" w:type="dxa"/>
            <w:vAlign w:val="bottom"/>
            <w:gridSpan w:val="2"/>
          </w:tcPr>
          <w:p>
            <w:pPr>
              <w:spacing w:after="0"/>
              <w:rPr>
                <w:sz w:val="20"/>
                <w:szCs w:val="20"/>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10.73  to  the  Company’s  Form  10-K  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54">
              <w:r>
                <w:rPr>
                  <w:rFonts w:ascii="Arial" w:cs="Arial" w:eastAsia="Arial" w:hAnsi="Arial"/>
                  <w:sz w:val="18"/>
                  <w:szCs w:val="18"/>
                  <w:color w:val="0000EE"/>
                  <w:w w:val="97"/>
                </w:rPr>
                <w:t>Industries, Inc. and the other grantors identified therein in favor of UMB</w:t>
              </w:r>
            </w:hyperlink>
          </w:p>
        </w:tc>
        <w:tc>
          <w:tcPr>
            <w:tcW w:w="40" w:type="dxa"/>
            <w:vAlign w:val="bottom"/>
            <w:gridSpan w:val="2"/>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7"/>
              </w:rPr>
              <w:t>February 29, 2016</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Bank, N.A., as Collateral Agent</w:t>
              </w:r>
            </w:hyperlink>
          </w:p>
        </w:tc>
        <w:tc>
          <w:tcPr>
            <w:tcW w:w="326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10.58</w:t>
            </w:r>
          </w:p>
        </w:tc>
        <w:tc>
          <w:tcPr>
            <w:tcW w:w="5560" w:type="dxa"/>
            <w:vAlign w:val="bottom"/>
            <w:gridSpan w:val="7"/>
          </w:tcPr>
          <w:p>
            <w:pPr>
              <w:spacing w:after="0"/>
              <w:rPr>
                <w:rFonts w:ascii="Arial" w:cs="Arial" w:eastAsia="Arial" w:hAnsi="Arial"/>
                <w:sz w:val="18"/>
                <w:szCs w:val="18"/>
                <w:color w:val="0000EE"/>
                <w:w w:val="94"/>
              </w:rPr>
            </w:pPr>
            <w:hyperlink r:id="rId155">
              <w:r>
                <w:rPr>
                  <w:rFonts w:ascii="Arial" w:cs="Arial" w:eastAsia="Arial" w:hAnsi="Arial"/>
                  <w:sz w:val="18"/>
                  <w:szCs w:val="18"/>
                  <w:color w:val="0000EE"/>
                  <w:w w:val="94"/>
                </w:rPr>
                <w:t>Note Purchase Agreement, dated November 9, 2015, by and among LSB</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237"/>
        </w:trPr>
        <w:tc>
          <w:tcPr>
            <w:tcW w:w="1420" w:type="dxa"/>
            <w:vAlign w:val="bottom"/>
          </w:tcPr>
          <w:p>
            <w:pPr>
              <w:spacing w:after="0"/>
              <w:rPr>
                <w:sz w:val="20"/>
                <w:szCs w:val="20"/>
                <w:color w:val="auto"/>
              </w:rPr>
            </w:pPr>
          </w:p>
        </w:tc>
        <w:tc>
          <w:tcPr>
            <w:tcW w:w="550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Industries, Inc., the guarantors party thereto and LSB Funding LLC</w:t>
              </w:r>
            </w:hyperlink>
          </w:p>
        </w:tc>
        <w:tc>
          <w:tcPr>
            <w:tcW w:w="60" w:type="dxa"/>
            <w:vAlign w:val="bottom"/>
            <w:gridSpan w:val="3"/>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2"/>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10.59</w:t>
            </w:r>
          </w:p>
        </w:tc>
        <w:tc>
          <w:tcPr>
            <w:tcW w:w="5560" w:type="dxa"/>
            <w:vAlign w:val="bottom"/>
            <w:gridSpan w:val="7"/>
          </w:tcPr>
          <w:p>
            <w:pPr>
              <w:spacing w:after="0"/>
              <w:rPr>
                <w:rFonts w:ascii="Arial" w:cs="Arial" w:eastAsia="Arial" w:hAnsi="Arial"/>
                <w:sz w:val="18"/>
                <w:szCs w:val="18"/>
                <w:color w:val="0000EE"/>
              </w:rPr>
            </w:pPr>
            <w:hyperlink r:id="rId156">
              <w:r>
                <w:rPr>
                  <w:rFonts w:ascii="Arial" w:cs="Arial" w:eastAsia="Arial" w:hAnsi="Arial"/>
                  <w:sz w:val="18"/>
                  <w:szCs w:val="18"/>
                  <w:u w:val="single" w:color="auto"/>
                  <w:color w:val="0000EE"/>
                </w:rPr>
                <w:t>Promissory Note, dated November 9, 2015, by LSB Industries, Inc</w:t>
              </w:r>
            </w:hyperlink>
            <w:r>
              <w:rPr>
                <w:rFonts w:ascii="Arial" w:cs="Arial" w:eastAsia="Arial" w:hAnsi="Arial"/>
                <w:sz w:val="18"/>
                <w:szCs w:val="18"/>
                <w:color w:val="0000FF"/>
              </w:rPr>
              <w:t>.</w:t>
            </w:r>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10.2  to  the  Company’s  Form  8-K  filed</w:t>
            </w:r>
          </w:p>
        </w:tc>
      </w:tr>
      <w:tr>
        <w:trPr>
          <w:trHeight w:val="230"/>
        </w:trPr>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10.60</w:t>
            </w:r>
          </w:p>
        </w:tc>
        <w:tc>
          <w:tcPr>
            <w:tcW w:w="5560" w:type="dxa"/>
            <w:vAlign w:val="bottom"/>
            <w:gridSpan w:val="7"/>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Joinder Agreement to Intercreditor Agreement, dated November 9, 2015, by</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10.4  to  the  Company’s  Form  8-K  filed</w:t>
            </w:r>
          </w:p>
        </w:tc>
      </w:tr>
      <w:tr>
        <w:trPr>
          <w:trHeight w:val="20"/>
        </w:trPr>
        <w:tc>
          <w:tcPr>
            <w:tcW w:w="14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and among LSB Funding LLC, Wells Fargo Capital Finance, Inc., as ABL</w:t>
              </w:r>
            </w:hyperlink>
          </w:p>
        </w:tc>
        <w:tc>
          <w:tcPr>
            <w:tcW w:w="40" w:type="dxa"/>
            <w:vAlign w:val="bottom"/>
            <w:gridSpan w:val="2"/>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Agent, UMB Bank, N.A., as Notes Agent, LSB Industries, Inc. and the</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guarantors party thereto</w:t>
              </w:r>
            </w:hyperlink>
          </w:p>
        </w:tc>
        <w:tc>
          <w:tcPr>
            <w:tcW w:w="384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93"/>
        </w:trPr>
        <w:tc>
          <w:tcPr>
            <w:tcW w:w="1420" w:type="dxa"/>
            <w:vAlign w:val="bottom"/>
          </w:tcPr>
          <w:p>
            <w:pPr>
              <w:spacing w:after="0"/>
              <w:rPr>
                <w:sz w:val="24"/>
                <w:szCs w:val="24"/>
                <w:color w:val="auto"/>
              </w:rPr>
            </w:pPr>
          </w:p>
        </w:tc>
        <w:tc>
          <w:tcPr>
            <w:tcW w:w="5500" w:type="dxa"/>
            <w:vAlign w:val="bottom"/>
            <w:gridSpan w:val="4"/>
          </w:tcPr>
          <w:p>
            <w:pPr>
              <w:ind w:left="41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51" w:name="page52"/>
    <w:bookmarkEnd w:id="51"/>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20" w:type="dxa"/>
            <w:vAlign w:val="bottom"/>
          </w:tcPr>
          <w:p>
            <w:pPr>
              <w:ind w:left="100"/>
              <w:spacing w:after="0" w:line="174" w:lineRule="exact"/>
              <w:rPr>
                <w:sz w:val="20"/>
                <w:szCs w:val="20"/>
                <w:color w:val="auto"/>
              </w:rPr>
            </w:pPr>
            <w:r>
              <w:rPr>
                <w:rFonts w:ascii="Arial" w:cs="Arial" w:eastAsia="Arial" w:hAnsi="Arial"/>
                <w:sz w:val="18"/>
                <w:szCs w:val="18"/>
                <w:color w:val="auto"/>
              </w:rPr>
              <w:t>10.61</w:t>
            </w:r>
          </w:p>
        </w:tc>
        <w:tc>
          <w:tcPr>
            <w:tcW w:w="5560" w:type="dxa"/>
            <w:vAlign w:val="bottom"/>
            <w:gridSpan w:val="15"/>
          </w:tcPr>
          <w:p>
            <w:pPr>
              <w:spacing w:after="0" w:line="174"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Amendment No. 1 to Intercreditor Agreement, dated as of April 25, 2018,</w:t>
              </w:r>
            </w:hyperlink>
          </w:p>
        </w:tc>
        <w:tc>
          <w:tcPr>
            <w:tcW w:w="4260" w:type="dxa"/>
            <w:vAlign w:val="bottom"/>
            <w:gridSpan w:val="2"/>
          </w:tcPr>
          <w:p>
            <w:pPr>
              <w:ind w:left="60"/>
              <w:spacing w:after="0" w:line="174" w:lineRule="exact"/>
              <w:rPr>
                <w:sz w:val="20"/>
                <w:szCs w:val="20"/>
                <w:color w:val="auto"/>
              </w:rPr>
            </w:pPr>
            <w:r>
              <w:rPr>
                <w:rFonts w:ascii="Arial" w:cs="Arial" w:eastAsia="Arial" w:hAnsi="Arial"/>
                <w:sz w:val="18"/>
                <w:szCs w:val="18"/>
                <w:color w:val="auto"/>
                <w:w w:val="97"/>
              </w:rPr>
              <w:t>Exhibit 10.1 to the Company’s Form 8-K filed April 25,</w:t>
            </w: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among Wells Fargo Capital Finance, LLC, UMB Bank, n.a. and Wilmington</w:t>
              </w:r>
            </w:hyperlink>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Trust, National Association, and acknowledged by LSB Industries, Inc. and</w:t>
              </w:r>
            </w:hyperlink>
          </w:p>
        </w:tc>
        <w:tc>
          <w:tcPr>
            <w:tcW w:w="40" w:type="dxa"/>
            <w:vAlign w:val="bottom"/>
            <w:gridSpan w:val="2"/>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the subsidiary guarantors party thereto.</w:t>
              </w:r>
            </w:hyperlink>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10.62</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Joinder Agreement to Security Agreement, dated November 9, 2015, by and</w:t>
              </w:r>
            </w:hyperlink>
          </w:p>
        </w:tc>
        <w:tc>
          <w:tcPr>
            <w:tcW w:w="40" w:type="dxa"/>
            <w:vAlign w:val="bottom"/>
          </w:tcPr>
          <w:p>
            <w:pPr>
              <w:spacing w:after="0"/>
              <w:rPr>
                <w:sz w:val="20"/>
                <w:szCs w:val="20"/>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Exhibit  10.5  to  the  Company’s  Form  8-K  filed</w:t>
            </w: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among LSB Funding LLC, UMB Bank, N.A., as Collateral Agent, LSB</w:t>
              </w:r>
            </w:hyperlink>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Industries, Inc. and the guarantors party thereto</w:t>
              </w:r>
            </w:hyperlink>
          </w:p>
        </w:tc>
        <w:tc>
          <w:tcPr>
            <w:tcW w:w="210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10.63</w:t>
            </w:r>
          </w:p>
        </w:tc>
        <w:tc>
          <w:tcPr>
            <w:tcW w:w="5560" w:type="dxa"/>
            <w:vAlign w:val="bottom"/>
            <w:gridSpan w:val="15"/>
          </w:tcPr>
          <w:p>
            <w:pPr>
              <w:spacing w:after="0"/>
              <w:rPr>
                <w:rFonts w:ascii="Arial" w:cs="Arial" w:eastAsia="Arial" w:hAnsi="Arial"/>
                <w:sz w:val="18"/>
                <w:szCs w:val="18"/>
                <w:color w:val="0000EE"/>
                <w:w w:val="95"/>
              </w:rPr>
            </w:pPr>
            <w:hyperlink r:id="rId163">
              <w:r>
                <w:rPr>
                  <w:rFonts w:ascii="Arial" w:cs="Arial" w:eastAsia="Arial" w:hAnsi="Arial"/>
                  <w:sz w:val="18"/>
                  <w:szCs w:val="18"/>
                  <w:color w:val="0000EE"/>
                  <w:w w:val="95"/>
                </w:rPr>
                <w:t>Securities Purchase Agreement by and among LSB Industries, Inc., LSB</w:t>
              </w:r>
            </w:hyperlink>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5"/>
              </w:rPr>
            </w:pPr>
            <w:hyperlink r:id="rId163">
              <w:r>
                <w:rPr>
                  <w:rFonts w:ascii="Arial" w:cs="Arial" w:eastAsia="Arial" w:hAnsi="Arial"/>
                  <w:sz w:val="18"/>
                  <w:szCs w:val="18"/>
                  <w:color w:val="0000EE"/>
                  <w:w w:val="95"/>
                </w:rPr>
                <w:t>Funding LLC, and Security Benefit Corporation, dated as of December 4,</w:t>
              </w:r>
            </w:hyperlink>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63">
              <w:r>
                <w:rPr>
                  <w:rFonts w:ascii="Arial" w:cs="Arial" w:eastAsia="Arial" w:hAnsi="Arial"/>
                  <w:sz w:val="18"/>
                  <w:szCs w:val="18"/>
                  <w:color w:val="0000EE"/>
                  <w:w w:val="84"/>
                </w:rPr>
                <w:t>2015</w:t>
              </w:r>
            </w:hyperlink>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10.64</w:t>
            </w:r>
          </w:p>
        </w:tc>
        <w:tc>
          <w:tcPr>
            <w:tcW w:w="5560" w:type="dxa"/>
            <w:vAlign w:val="bottom"/>
            <w:gridSpan w:val="15"/>
          </w:tcPr>
          <w:p>
            <w:pPr>
              <w:spacing w:after="0"/>
              <w:rPr>
                <w:rFonts w:ascii="Arial" w:cs="Arial" w:eastAsia="Arial" w:hAnsi="Arial"/>
                <w:sz w:val="18"/>
                <w:szCs w:val="18"/>
                <w:color w:val="0000EE"/>
                <w:w w:val="95"/>
              </w:rPr>
            </w:pPr>
            <w:hyperlink r:id="rId164">
              <w:r>
                <w:rPr>
                  <w:rFonts w:ascii="Arial" w:cs="Arial" w:eastAsia="Arial" w:hAnsi="Arial"/>
                  <w:sz w:val="18"/>
                  <w:szCs w:val="18"/>
                  <w:color w:val="0000EE"/>
                  <w:w w:val="95"/>
                </w:rPr>
                <w:t>Board  Representation  and  Standstill  Agreement  by  and  among  LSB</w:t>
              </w:r>
            </w:hyperlink>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Exhibit  10.3  to  the  Company’s  Form  8-K  filed</w:t>
            </w:r>
          </w:p>
        </w:tc>
      </w:tr>
      <w:tr>
        <w:trPr>
          <w:trHeight w:val="20"/>
        </w:trPr>
        <w:tc>
          <w:tcPr>
            <w:tcW w:w="14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9"/>
              </w:rPr>
            </w:pPr>
            <w:hyperlink r:id="rId164">
              <w:r>
                <w:rPr>
                  <w:rFonts w:ascii="Arial" w:cs="Arial" w:eastAsia="Arial" w:hAnsi="Arial"/>
                  <w:sz w:val="18"/>
                  <w:szCs w:val="18"/>
                  <w:color w:val="0000EE"/>
                  <w:w w:val="99"/>
                </w:rPr>
                <w:t>Industries, Inc., LSB Funding LLC, Security Benefit Corporation, Todd</w:t>
              </w:r>
            </w:hyperlink>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Boehly and the Golsen Holders (as defined therein), dated as of December</w:t>
              </w:r>
            </w:hyperlink>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4">
              <w:r>
                <w:rPr>
                  <w:rFonts w:ascii="Arial" w:cs="Arial" w:eastAsia="Arial" w:hAnsi="Arial"/>
                  <w:sz w:val="18"/>
                  <w:szCs w:val="18"/>
                  <w:color w:val="0000EE"/>
                  <w:w w:val="86"/>
                </w:rPr>
                <w:t>4, 2015</w:t>
              </w:r>
            </w:hyperlink>
          </w:p>
        </w:tc>
        <w:tc>
          <w:tcPr>
            <w:tcW w:w="6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10.65</w:t>
            </w:r>
          </w:p>
        </w:tc>
        <w:tc>
          <w:tcPr>
            <w:tcW w:w="5560" w:type="dxa"/>
            <w:vAlign w:val="bottom"/>
            <w:gridSpan w:val="15"/>
          </w:tcPr>
          <w:p>
            <w:pPr>
              <w:spacing w:after="0"/>
              <w:rPr>
                <w:rFonts w:ascii="Arial" w:cs="Arial" w:eastAsia="Arial" w:hAnsi="Arial"/>
                <w:sz w:val="18"/>
                <w:szCs w:val="18"/>
                <w:color w:val="0000EE"/>
                <w:w w:val="96"/>
              </w:rPr>
            </w:pPr>
            <w:hyperlink r:id="rId165">
              <w:r>
                <w:rPr>
                  <w:rFonts w:ascii="Arial" w:cs="Arial" w:eastAsia="Arial" w:hAnsi="Arial"/>
                  <w:sz w:val="18"/>
                  <w:szCs w:val="18"/>
                  <w:color w:val="0000EE"/>
                  <w:w w:val="96"/>
                </w:rPr>
                <w:t>Registration Rights Agreement by and between LSB Industries, Inc. and</w:t>
              </w:r>
            </w:hyperlink>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Exhibit  10.4  to  the  Company’s  Form  8-K  filed</w:t>
            </w:r>
          </w:p>
        </w:tc>
      </w:tr>
      <w:tr>
        <w:trPr>
          <w:trHeight w:val="196"/>
        </w:trPr>
        <w:tc>
          <w:tcPr>
            <w:tcW w:w="14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LSB Funding LLC, dated as of December 4, 2015</w:t>
              </w:r>
            </w:hyperlink>
          </w:p>
        </w:tc>
        <w:tc>
          <w:tcPr>
            <w:tcW w:w="1900" w:type="dxa"/>
            <w:vAlign w:val="bottom"/>
            <w:tcBorders>
              <w:top w:val="single" w:sz="8" w:color="0000EE"/>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10.66</w:t>
            </w:r>
          </w:p>
        </w:tc>
        <w:tc>
          <w:tcPr>
            <w:tcW w:w="5520" w:type="dxa"/>
            <w:vAlign w:val="bottom"/>
            <w:tcBorders>
              <w:bottom w:val="single" w:sz="8" w:color="0000EE"/>
            </w:tcBorders>
            <w:gridSpan w:val="13"/>
          </w:tcPr>
          <w:p>
            <w:pPr>
              <w:spacing w:after="0"/>
              <w:rPr>
                <w:rFonts w:ascii="Arial" w:cs="Arial" w:eastAsia="Arial" w:hAnsi="Arial"/>
                <w:sz w:val="18"/>
                <w:szCs w:val="18"/>
                <w:color w:val="0000EE"/>
              </w:rPr>
            </w:pPr>
            <w:hyperlink r:id="rId166">
              <w:r>
                <w:rPr>
                  <w:rFonts w:ascii="Arial" w:cs="Arial" w:eastAsia="Arial" w:hAnsi="Arial"/>
                  <w:sz w:val="18"/>
                  <w:szCs w:val="18"/>
                  <w:color w:val="0000EE"/>
                </w:rPr>
                <w:t>Letter Agreement, dated as of August 12, 2016, by and among LSB</w:t>
              </w:r>
            </w:hyperlink>
          </w:p>
        </w:tc>
        <w:tc>
          <w:tcPr>
            <w:tcW w:w="40" w:type="dxa"/>
            <w:vAlign w:val="bottom"/>
            <w:gridSpan w:val="2"/>
          </w:tcPr>
          <w:p>
            <w:pPr>
              <w:spacing w:after="0"/>
              <w:rPr>
                <w:sz w:val="20"/>
                <w:szCs w:val="20"/>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3"/>
              </w:rPr>
              <w:t>Exhibit 10.1 to the Company’s Form 8-K filed August 12,</w:t>
            </w:r>
          </w:p>
        </w:tc>
      </w:tr>
      <w:tr>
        <w:trPr>
          <w:trHeight w:val="237"/>
        </w:trPr>
        <w:tc>
          <w:tcPr>
            <w:tcW w:w="1420" w:type="dxa"/>
            <w:vAlign w:val="bottom"/>
          </w:tcPr>
          <w:p>
            <w:pPr>
              <w:spacing w:after="0"/>
              <w:rPr>
                <w:sz w:val="20"/>
                <w:szCs w:val="20"/>
                <w:color w:val="auto"/>
              </w:rPr>
            </w:pPr>
          </w:p>
        </w:tc>
        <w:tc>
          <w:tcPr>
            <w:tcW w:w="5560" w:type="dxa"/>
            <w:vAlign w:val="bottom"/>
            <w:gridSpan w:val="15"/>
          </w:tcPr>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Industries, Inc., LSB Funding LLC and Security Benefit Corporation</w:t>
              </w:r>
            </w:hyperlink>
          </w:p>
        </w:tc>
        <w:tc>
          <w:tcPr>
            <w:tcW w:w="3840" w:type="dxa"/>
            <w:vAlign w:val="bottom"/>
          </w:tcPr>
          <w:p>
            <w:pPr>
              <w:ind w:left="6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r>
      <w:tr>
        <w:trPr>
          <w:trHeight w:val="229"/>
        </w:trPr>
        <w:tc>
          <w:tcPr>
            <w:tcW w:w="1420" w:type="dxa"/>
            <w:vAlign w:val="bottom"/>
          </w:tcPr>
          <w:p>
            <w:pPr>
              <w:ind w:left="100"/>
              <w:spacing w:after="0"/>
              <w:rPr>
                <w:sz w:val="20"/>
                <w:szCs w:val="20"/>
                <w:color w:val="auto"/>
              </w:rPr>
            </w:pPr>
            <w:r>
              <w:rPr>
                <w:rFonts w:ascii="Arial" w:cs="Arial" w:eastAsia="Arial" w:hAnsi="Arial"/>
                <w:sz w:val="18"/>
                <w:szCs w:val="18"/>
                <w:color w:val="auto"/>
              </w:rPr>
              <w:t>10.67</w:t>
            </w:r>
          </w:p>
        </w:tc>
        <w:tc>
          <w:tcPr>
            <w:tcW w:w="5560" w:type="dxa"/>
            <w:vAlign w:val="bottom"/>
            <w:gridSpan w:val="15"/>
          </w:tcPr>
          <w:p>
            <w:pPr>
              <w:spacing w:after="0"/>
              <w:rPr>
                <w:rFonts w:ascii="Arial" w:cs="Arial" w:eastAsia="Arial" w:hAnsi="Arial"/>
                <w:sz w:val="18"/>
                <w:szCs w:val="18"/>
                <w:color w:val="0000EE"/>
                <w:w w:val="98"/>
              </w:rPr>
            </w:pPr>
            <w:hyperlink r:id="rId167">
              <w:r>
                <w:rPr>
                  <w:rFonts w:ascii="Arial" w:cs="Arial" w:eastAsia="Arial" w:hAnsi="Arial"/>
                  <w:sz w:val="18"/>
                  <w:szCs w:val="18"/>
                  <w:color w:val="0000EE"/>
                  <w:w w:val="98"/>
                </w:rPr>
                <w:t>Securities Exchange Agreement, dated as of October 18, 2018, by and</w:t>
              </w:r>
            </w:hyperlink>
          </w:p>
        </w:tc>
        <w:tc>
          <w:tcPr>
            <w:tcW w:w="3840" w:type="dxa"/>
            <w:vAlign w:val="bottom"/>
          </w:tcPr>
          <w:p>
            <w:pPr>
              <w:ind w:left="60"/>
              <w:spacing w:after="0"/>
              <w:rPr>
                <w:sz w:val="20"/>
                <w:szCs w:val="20"/>
                <w:color w:val="auto"/>
              </w:rPr>
            </w:pPr>
            <w:r>
              <w:rPr>
                <w:rFonts w:ascii="Arial" w:cs="Arial" w:eastAsia="Arial" w:hAnsi="Arial"/>
                <w:sz w:val="18"/>
                <w:szCs w:val="18"/>
                <w:color w:val="auto"/>
              </w:rPr>
              <w:t>Exhibit  10.1  to  the  Company’s  Form  8-K</w:t>
            </w:r>
          </w:p>
        </w:tc>
        <w:tc>
          <w:tcPr>
            <w:tcW w:w="420" w:type="dxa"/>
            <w:vAlign w:val="bottom"/>
          </w:tcPr>
          <w:p>
            <w:pPr>
              <w:ind w:left="8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between LSB Industries, Inc. and LSB Funding LLC</w:t>
              </w:r>
            </w:hyperlink>
          </w:p>
        </w:tc>
        <w:tc>
          <w:tcPr>
            <w:tcW w:w="170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October 19, 2018</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10.68*</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Transition Agreement dated June 30, 2017 by and between Jack E. Golsen</w:t>
              </w:r>
            </w:hyperlink>
          </w:p>
        </w:tc>
        <w:tc>
          <w:tcPr>
            <w:tcW w:w="40" w:type="dxa"/>
            <w:vAlign w:val="bottom"/>
          </w:tcPr>
          <w:p>
            <w:pPr>
              <w:spacing w:after="0"/>
              <w:rPr>
                <w:sz w:val="20"/>
                <w:szCs w:val="20"/>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8"/>
              </w:rPr>
              <w:t>Exhibit 10.1 to the Company’s Form 8-K filed on June</w:t>
            </w: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and LSB Industries, Inc.</w:t>
              </w:r>
            </w:hyperlink>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30, 2017</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10.69</w:t>
            </w:r>
          </w:p>
        </w:tc>
        <w:tc>
          <w:tcPr>
            <w:tcW w:w="5560" w:type="dxa"/>
            <w:vAlign w:val="bottom"/>
            <w:gridSpan w:val="15"/>
          </w:tcPr>
          <w:p>
            <w:pPr>
              <w:spacing w:after="0"/>
              <w:rPr>
                <w:rFonts w:ascii="Arial" w:cs="Arial" w:eastAsia="Arial" w:hAnsi="Arial"/>
                <w:sz w:val="18"/>
                <w:szCs w:val="18"/>
                <w:color w:val="0000EE"/>
                <w:w w:val="97"/>
              </w:rPr>
            </w:pPr>
            <w:hyperlink r:id="rId169">
              <w:r>
                <w:rPr>
                  <w:rFonts w:ascii="Arial" w:cs="Arial" w:eastAsia="Arial" w:hAnsi="Arial"/>
                  <w:sz w:val="18"/>
                  <w:szCs w:val="18"/>
                  <w:color w:val="0000EE"/>
                  <w:w w:val="97"/>
                </w:rPr>
                <w:t>Amendment, dated October 26, 2017, to the Board Representation and</w:t>
              </w:r>
            </w:hyperlink>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Exhibit 10.1. to the Company’s Form 8-K Filed on</w:t>
            </w:r>
          </w:p>
        </w:tc>
      </w:tr>
      <w:tr>
        <w:trPr>
          <w:trHeight w:val="20"/>
        </w:trPr>
        <w:tc>
          <w:tcPr>
            <w:tcW w:w="14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Standstill Agreement by and between LSB Industries, Inc., LSB Funding</w:t>
              </w:r>
            </w:hyperlink>
          </w:p>
        </w:tc>
        <w:tc>
          <w:tcPr>
            <w:tcW w:w="40" w:type="dxa"/>
            <w:vAlign w:val="bottom"/>
            <w:gridSpan w:val="2"/>
          </w:tcPr>
          <w:p>
            <w:pPr>
              <w:spacing w:after="0"/>
              <w:rPr>
                <w:sz w:val="17"/>
                <w:szCs w:val="17"/>
                <w:color w:val="auto"/>
              </w:rPr>
            </w:pPr>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October 26, 2017</w:t>
            </w: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LLC, Security Benefit Corporation, Todd Boehly, Jack E. Golsen, Barry H.</w:t>
              </w:r>
            </w:hyperlink>
          </w:p>
        </w:tc>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5560" w:type="dxa"/>
            <w:vAlign w:val="bottom"/>
            <w:gridSpan w:val="15"/>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Golsen, Linda Golsen Rappaport, Golsen Family LLC, SBL LLC and</w:t>
              </w:r>
            </w:hyperlink>
          </w:p>
        </w:tc>
        <w:tc>
          <w:tcPr>
            <w:tcW w:w="38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5560" w:type="dxa"/>
            <w:vAlign w:val="bottom"/>
            <w:gridSpan w:val="15"/>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Golsen Petroleum Corp., dated as of December 4, 2015</w:t>
              </w:r>
            </w:hyperlink>
          </w:p>
        </w:tc>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10.70</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Amendment to Board Representation and Standstill Agreement, dated as of</w:t>
              </w:r>
            </w:hyperlink>
          </w:p>
        </w:tc>
        <w:tc>
          <w:tcPr>
            <w:tcW w:w="4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Exhibit  10.2  to  the  Company’s  Form  8-K</w:t>
            </w:r>
          </w:p>
        </w:tc>
        <w:tc>
          <w:tcPr>
            <w:tcW w:w="420" w:type="dxa"/>
            <w:vAlign w:val="bottom"/>
          </w:tcPr>
          <w:p>
            <w:pPr>
              <w:ind w:left="8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October 18, 2018, by and among LSB Industries, Inc., LSB Funding LLC,</w:t>
              </w:r>
            </w:hyperlink>
          </w:p>
        </w:tc>
        <w:tc>
          <w:tcPr>
            <w:tcW w:w="40" w:type="dxa"/>
            <w:vAlign w:val="bottom"/>
            <w:gridSpan w:val="2"/>
          </w:tcPr>
          <w:p>
            <w:pPr>
              <w:spacing w:after="0"/>
              <w:rPr>
                <w:sz w:val="17"/>
                <w:szCs w:val="17"/>
                <w:color w:val="auto"/>
              </w:rPr>
            </w:pPr>
          </w:p>
        </w:tc>
        <w:tc>
          <w:tcPr>
            <w:tcW w:w="3840" w:type="dxa"/>
            <w:vAlign w:val="bottom"/>
          </w:tcPr>
          <w:p>
            <w:pPr>
              <w:ind w:left="60"/>
              <w:spacing w:after="0" w:line="196" w:lineRule="exact"/>
              <w:rPr>
                <w:sz w:val="20"/>
                <w:szCs w:val="20"/>
                <w:color w:val="auto"/>
              </w:rPr>
            </w:pPr>
            <w:r>
              <w:rPr>
                <w:rFonts w:ascii="Arial" w:cs="Arial" w:eastAsia="Arial" w:hAnsi="Arial"/>
                <w:sz w:val="18"/>
                <w:szCs w:val="18"/>
                <w:color w:val="auto"/>
              </w:rPr>
              <w:t>October 19, 2018</w:t>
            </w: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8"/>
              </w:rPr>
            </w:pPr>
            <w:hyperlink r:id="rId170">
              <w:r>
                <w:rPr>
                  <w:rFonts w:ascii="Arial" w:cs="Arial" w:eastAsia="Arial" w:hAnsi="Arial"/>
                  <w:sz w:val="18"/>
                  <w:szCs w:val="18"/>
                  <w:color w:val="0000EE"/>
                  <w:w w:val="98"/>
                </w:rPr>
                <w:t>Security Benefit Corporation, Todd Boehly and the Golsen Holders (as</w:t>
              </w:r>
            </w:hyperlink>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defined therein)</w:t>
              </w:r>
            </w:hyperlink>
          </w:p>
        </w:tc>
        <w:tc>
          <w:tcPr>
            <w:tcW w:w="4360" w:type="dxa"/>
            <w:vAlign w:val="bottom"/>
            <w:tcBorders>
              <w:top w:val="single" w:sz="8" w:color="0000EE"/>
            </w:tcBorders>
            <w:gridSpan w:val="9"/>
          </w:tcPr>
          <w:p>
            <w:pPr>
              <w:spacing w:after="0"/>
              <w:rPr>
                <w:sz w:val="17"/>
                <w:szCs w:val="17"/>
                <w:color w:val="auto"/>
              </w:rPr>
            </w:pPr>
          </w:p>
        </w:tc>
        <w:tc>
          <w:tcPr>
            <w:tcW w:w="60" w:type="dxa"/>
            <w:vAlign w:val="bottom"/>
            <w:gridSpan w:val="3"/>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21.1(a)</w:t>
            </w:r>
          </w:p>
        </w:tc>
        <w:tc>
          <w:tcPr>
            <w:tcW w:w="5560" w:type="dxa"/>
            <w:vAlign w:val="bottom"/>
            <w:gridSpan w:val="15"/>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Subsidiaries of the Company</w:t>
              </w:r>
            </w:hyperlink>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1420" w:type="dxa"/>
            <w:vAlign w:val="bottom"/>
          </w:tcPr>
          <w:p>
            <w:pPr>
              <w:ind w:left="100"/>
              <w:spacing w:after="0"/>
              <w:rPr>
                <w:sz w:val="20"/>
                <w:szCs w:val="20"/>
                <w:color w:val="auto"/>
              </w:rPr>
            </w:pPr>
            <w:r>
              <w:rPr>
                <w:rFonts w:ascii="Arial" w:cs="Arial" w:eastAsia="Arial" w:hAnsi="Arial"/>
                <w:sz w:val="18"/>
                <w:szCs w:val="18"/>
                <w:color w:val="auto"/>
              </w:rPr>
              <w:t>23.1(a)</w:t>
            </w:r>
          </w:p>
        </w:tc>
        <w:tc>
          <w:tcPr>
            <w:tcW w:w="5560" w:type="dxa"/>
            <w:vAlign w:val="bottom"/>
            <w:gridSpan w:val="15"/>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Consent of Independent Registered Public Accounting Firm</w:t>
              </w:r>
            </w:hyperlink>
          </w:p>
        </w:tc>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31.1(a)</w:t>
            </w:r>
          </w:p>
        </w:tc>
        <w:tc>
          <w:tcPr>
            <w:tcW w:w="5560" w:type="dxa"/>
            <w:vAlign w:val="bottom"/>
            <w:gridSpan w:val="1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Certification of Mark T. Behrman, Chief Executive Officer, pursuant to</w:t>
              </w:r>
            </w:hyperlink>
          </w:p>
        </w:tc>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6"/>
        </w:trPr>
        <w:tc>
          <w:tcPr>
            <w:tcW w:w="14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Sarbanes-Oxley Act of 2002, Section 302</w:t>
              </w:r>
            </w:hyperlink>
          </w:p>
        </w:tc>
        <w:tc>
          <w:tcPr>
            <w:tcW w:w="250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31.2(a)</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05">
              <w:r>
                <w:rPr>
                  <w:rFonts w:ascii="Arial" w:cs="Arial" w:eastAsia="Arial" w:hAnsi="Arial"/>
                  <w:sz w:val="18"/>
                  <w:szCs w:val="18"/>
                  <w:color w:val="0000EE"/>
                  <w:w w:val="99"/>
                </w:rPr>
                <w:t>Certification of Cheryl A. Maguire, Chief Financial Officer, pursuant to</w:t>
              </w:r>
            </w:hyperlink>
          </w:p>
        </w:tc>
        <w:tc>
          <w:tcPr>
            <w:tcW w:w="40" w:type="dxa"/>
            <w:vAlign w:val="bottom"/>
            <w:gridSpan w:val="2"/>
          </w:tcPr>
          <w:p>
            <w:pPr>
              <w:spacing w:after="0"/>
              <w:rPr>
                <w:sz w:val="20"/>
                <w:szCs w:val="20"/>
                <w:color w:val="auto"/>
              </w:rPr>
            </w:pPr>
          </w:p>
        </w:tc>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196"/>
        </w:trPr>
        <w:tc>
          <w:tcPr>
            <w:tcW w:w="142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Sarbanes-Oxley Act of 2002, Section 302</w:t>
              </w:r>
            </w:hyperlink>
          </w:p>
        </w:tc>
        <w:tc>
          <w:tcPr>
            <w:tcW w:w="2560" w:type="dxa"/>
            <w:vAlign w:val="bottom"/>
            <w:gridSpan w:val="9"/>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32.1(b)</w:t>
            </w:r>
          </w:p>
        </w:tc>
        <w:tc>
          <w:tcPr>
            <w:tcW w:w="5520" w:type="dxa"/>
            <w:vAlign w:val="bottom"/>
            <w:tcBorders>
              <w:bottom w:val="single" w:sz="8" w:color="0000EE"/>
            </w:tcBorders>
            <w:gridSpan w:val="1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Certification of Mark T. Behrman, Chief Executive Officer, furnished</w:t>
              </w:r>
            </w:hyperlink>
          </w:p>
        </w:tc>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196"/>
        </w:trPr>
        <w:tc>
          <w:tcPr>
            <w:tcW w:w="1420" w:type="dxa"/>
            <w:vAlign w:val="bottom"/>
          </w:tcPr>
          <w:p>
            <w:pPr>
              <w:spacing w:after="0"/>
              <w:rPr>
                <w:sz w:val="17"/>
                <w:szCs w:val="17"/>
                <w:color w:val="auto"/>
              </w:rPr>
            </w:pPr>
          </w:p>
        </w:tc>
        <w:tc>
          <w:tcPr>
            <w:tcW w:w="3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pursuant to Sarbanes-Oxley Act of 2002, Section 906</w:t>
              </w:r>
            </w:hyperlink>
          </w:p>
        </w:tc>
        <w:tc>
          <w:tcPr>
            <w:tcW w:w="1700" w:type="dxa"/>
            <w:vAlign w:val="bottom"/>
            <w:gridSpan w:val="4"/>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32.2(b)</w:t>
            </w:r>
          </w:p>
        </w:tc>
        <w:tc>
          <w:tcPr>
            <w:tcW w:w="5560" w:type="dxa"/>
            <w:vAlign w:val="bottom"/>
            <w:gridSpan w:val="15"/>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Certification of Cheryl A. Maguire, Chief Financial Officer, furnished</w:t>
              </w:r>
            </w:hyperlink>
          </w:p>
        </w:tc>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196"/>
        </w:trPr>
        <w:tc>
          <w:tcPr>
            <w:tcW w:w="14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pursuant to Sarbanes-Oxley Act of 2002, Section 906</w:t>
              </w:r>
            </w:hyperlink>
          </w:p>
        </w:tc>
        <w:tc>
          <w:tcPr>
            <w:tcW w:w="166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77"/>
        </w:trPr>
        <w:tc>
          <w:tcPr>
            <w:tcW w:w="1420" w:type="dxa"/>
            <w:vAlign w:val="bottom"/>
          </w:tcPr>
          <w:p>
            <w:pPr>
              <w:spacing w:after="0"/>
              <w:rPr>
                <w:sz w:val="20"/>
                <w:szCs w:val="20"/>
                <w:color w:val="auto"/>
              </w:rPr>
            </w:pPr>
            <w:r>
              <w:rPr>
                <w:rFonts w:ascii="Arial" w:cs="Arial" w:eastAsia="Arial" w:hAnsi="Arial"/>
                <w:sz w:val="18"/>
                <w:szCs w:val="18"/>
                <w:color w:val="auto"/>
              </w:rPr>
              <w:t>101.INS(a)</w:t>
            </w:r>
          </w:p>
        </w:tc>
        <w:tc>
          <w:tcPr>
            <w:tcW w:w="556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18"/>
                <w:szCs w:val="18"/>
                <w:color w:val="auto"/>
              </w:rPr>
              <w:t>101.SCH(a)</w:t>
            </w:r>
          </w:p>
        </w:tc>
        <w:tc>
          <w:tcPr>
            <w:tcW w:w="55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18"/>
                <w:szCs w:val="18"/>
                <w:color w:val="auto"/>
              </w:rPr>
              <w:t>101.CAL(a)</w:t>
            </w:r>
          </w:p>
        </w:tc>
        <w:tc>
          <w:tcPr>
            <w:tcW w:w="55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420" w:type="dxa"/>
            <w:vAlign w:val="bottom"/>
          </w:tcPr>
          <w:p>
            <w:pPr>
              <w:spacing w:after="0"/>
              <w:rPr>
                <w:sz w:val="20"/>
                <w:szCs w:val="20"/>
                <w:color w:val="auto"/>
              </w:rPr>
            </w:pPr>
            <w:r>
              <w:rPr>
                <w:rFonts w:ascii="Arial" w:cs="Arial" w:eastAsia="Arial" w:hAnsi="Arial"/>
                <w:sz w:val="18"/>
                <w:szCs w:val="18"/>
                <w:color w:val="auto"/>
              </w:rPr>
              <w:t>101.DEF(a)</w:t>
            </w:r>
          </w:p>
        </w:tc>
        <w:tc>
          <w:tcPr>
            <w:tcW w:w="55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18"/>
                <w:szCs w:val="18"/>
                <w:color w:val="auto"/>
              </w:rPr>
              <w:t>101.LAB(a)</w:t>
            </w:r>
          </w:p>
        </w:tc>
        <w:tc>
          <w:tcPr>
            <w:tcW w:w="55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420" w:type="dxa"/>
            <w:vAlign w:val="bottom"/>
          </w:tcPr>
          <w:p>
            <w:pPr>
              <w:spacing w:after="0"/>
              <w:rPr>
                <w:sz w:val="20"/>
                <w:szCs w:val="20"/>
                <w:color w:val="auto"/>
              </w:rPr>
            </w:pPr>
            <w:r>
              <w:rPr>
                <w:rFonts w:ascii="Arial" w:cs="Arial" w:eastAsia="Arial" w:hAnsi="Arial"/>
                <w:sz w:val="18"/>
                <w:szCs w:val="18"/>
                <w:color w:val="auto"/>
              </w:rPr>
              <w:t>101.PRE(a)</w:t>
            </w:r>
          </w:p>
        </w:tc>
        <w:tc>
          <w:tcPr>
            <w:tcW w:w="55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432"/>
        </w:trPr>
        <w:tc>
          <w:tcPr>
            <w:tcW w:w="1420" w:type="dxa"/>
            <w:vAlign w:val="bottom"/>
          </w:tcPr>
          <w:p>
            <w:pPr>
              <w:spacing w:after="0"/>
              <w:rPr>
                <w:sz w:val="24"/>
                <w:szCs w:val="24"/>
                <w:color w:val="auto"/>
              </w:rPr>
            </w:pPr>
          </w:p>
        </w:tc>
        <w:tc>
          <w:tcPr>
            <w:tcW w:w="5500" w:type="dxa"/>
            <w:vAlign w:val="bottom"/>
            <w:gridSpan w:val="12"/>
          </w:tcPr>
          <w:p>
            <w:pPr>
              <w:ind w:left="4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52" w:name="page53"/>
    <w:bookmarkEnd w:id="52"/>
    <w:p>
      <w:pPr>
        <w:ind w:left="52"/>
        <w:spacing w:after="0"/>
        <w:tabs>
          <w:tab w:leader="none" w:pos="3752" w:val="left"/>
          <w:tab w:leader="none" w:pos="7772"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12" w:right="3560" w:hanging="1412"/>
        <w:spacing w:after="0" w:line="258" w:lineRule="auto"/>
        <w:tabs>
          <w:tab w:leader="none" w:pos="1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4" w:lineRule="exact"/>
        <w:rPr>
          <w:sz w:val="20"/>
          <w:szCs w:val="20"/>
          <w:color w:val="auto"/>
        </w:rPr>
      </w:pPr>
    </w:p>
    <w:p>
      <w:pPr>
        <w:ind w:left="492" w:hanging="492"/>
        <w:spacing w:after="0"/>
        <w:tabs>
          <w:tab w:leader="none" w:pos="4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492" w:hanging="492"/>
        <w:spacing w:after="0"/>
        <w:tabs>
          <w:tab w:leader="none" w:pos="4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8" w:right="8580" w:firstLine="8"/>
        <w:spacing w:after="0" w:line="323" w:lineRule="auto"/>
        <w:tabs>
          <w:tab w:leader="none" w:pos="4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Furnished herewith </w:t>
      </w:r>
      <w:r>
        <w:rPr>
          <w:rFonts w:ascii="Arial" w:cs="Arial" w:eastAsia="Arial" w:hAnsi="Arial"/>
          <w:sz w:val="14"/>
          <w:szCs w:val="14"/>
          <w:color w:val="auto"/>
        </w:rPr>
        <w:t>(P</w:t>
      </w:r>
      <w:r>
        <w:rPr>
          <w:rFonts w:ascii="Arial" w:cs="Arial" w:eastAsia="Arial" w:hAnsi="Arial"/>
          <w:sz w:val="15"/>
          <w:szCs w:val="15"/>
          <w:color w:val="auto"/>
        </w:rPr>
        <w:t>) Paper copy filed</w:t>
      </w:r>
    </w:p>
    <w:p>
      <w:pPr>
        <w:spacing w:after="0" w:line="138"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2"/>
          </w:cols>
          <w:pgMar w:left="328" w:top="346" w:right="10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7980" w:type="dxa"/>
            <w:vAlign w:val="bottom"/>
            <w:gridSpan w:val="2"/>
          </w:tcPr>
          <w:p>
            <w:pPr>
              <w:ind w:left="1940"/>
              <w:spacing w:after="0"/>
              <w:rPr>
                <w:sz w:val="20"/>
                <w:szCs w:val="20"/>
                <w:color w:val="auto"/>
              </w:rPr>
            </w:pPr>
            <w:r>
              <w:rPr>
                <w:rFonts w:ascii="Arial" w:cs="Arial" w:eastAsia="Arial" w:hAnsi="Arial"/>
                <w:sz w:val="18"/>
                <w:szCs w:val="18"/>
                <w:color w:val="auto"/>
              </w:rPr>
              <w:t>By:  /s/ Mark T. Behrman</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Behrman, President, Chief Executive Officer and Director</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T. Behrman</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Mark T. Behrman, President and Chief Executive Officer</w:t>
            </w:r>
          </w:p>
        </w:tc>
      </w:tr>
      <w:tr>
        <w:trPr>
          <w:trHeight w:val="230"/>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A. Maguire</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w w:val="98"/>
              </w:rPr>
              <w:t>Cheryl A. Maguire, Executive Vice President and Chief Financial Officer</w:t>
            </w:r>
          </w:p>
        </w:tc>
      </w:tr>
      <w:tr>
        <w:trPr>
          <w:trHeight w:val="230"/>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L. Rieker Jr.</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Harold L. Rieker Jr., Vice President - Financial Reporting</w:t>
            </w:r>
          </w:p>
        </w:tc>
      </w:tr>
      <w:tr>
        <w:trPr>
          <w:trHeight w:val="230"/>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 Roedel</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Richard W. Roedel, Chairman of the Board of Directors</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S. Bobb</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Jonathan S. Bobb,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H. Golsen</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Barry H. Golsen,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Kanna Kitamura</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Kanna Kitamura,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Packebush</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Steven L. Packebush,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Diana M. Peninger</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Diana M. Peninger,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Sanders Jr.</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Richard S. Sanders Jr.,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F. White</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25, 2021</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Lynn F. White,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490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3340" w:type="dxa"/>
            <w:vAlign w:val="bottom"/>
            <w:gridSpan w:val="2"/>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486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Report of Independent Registered Public Accounting Firm</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38"/>
        </w:trPr>
        <w:tc>
          <w:tcPr>
            <w:tcW w:w="4860" w:type="dxa"/>
            <w:vAlign w:val="bottom"/>
            <w:gridSpan w:val="3"/>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Consolidated Balance Sheets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38"/>
        </w:trPr>
        <w:tc>
          <w:tcPr>
            <w:tcW w:w="486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38"/>
        </w:trPr>
        <w:tc>
          <w:tcPr>
            <w:tcW w:w="486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Stockholders’ Equity</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38"/>
        </w:trPr>
        <w:tc>
          <w:tcPr>
            <w:tcW w:w="486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Cash Flows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38"/>
        </w:trPr>
        <w:tc>
          <w:tcPr>
            <w:tcW w:w="4860" w:type="dxa"/>
            <w:vAlign w:val="bottom"/>
            <w:gridSpan w:val="3"/>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38"/>
        </w:trPr>
        <w:tc>
          <w:tcPr>
            <w:tcW w:w="4860" w:type="dxa"/>
            <w:vAlign w:val="bottom"/>
            <w:gridSpan w:val="3"/>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Quarterly Financial Data (Unaudited)</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297"/>
        </w:trPr>
        <w:tc>
          <w:tcPr>
            <w:tcW w:w="4860" w:type="dxa"/>
            <w:vAlign w:val="bottom"/>
            <w:gridSpan w:val="3"/>
          </w:tcPr>
          <w:p>
            <w:pPr>
              <w:spacing w:after="0"/>
              <w:rPr>
                <w:sz w:val="20"/>
                <w:szCs w:val="20"/>
                <w:color w:val="auto"/>
              </w:rPr>
            </w:pPr>
            <w:r>
              <w:rPr>
                <w:rFonts w:ascii="Arial" w:cs="Arial" w:eastAsia="Arial" w:hAnsi="Arial"/>
                <w:sz w:val="18"/>
                <w:szCs w:val="18"/>
                <w:color w:val="auto"/>
              </w:rPr>
              <w:t>Financial Statement Schedule</w:t>
            </w:r>
          </w:p>
        </w:tc>
        <w:tc>
          <w:tcPr>
            <w:tcW w:w="58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21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4860" w:type="dxa"/>
            <w:vAlign w:val="bottom"/>
            <w:gridSpan w:val="3"/>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Schedule II – Valuation and Qualifying Accounts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864"/>
        </w:trPr>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380" w:type="dxa"/>
            <w:vAlign w:val="bottom"/>
            <w:gridSpan w:val="2"/>
          </w:tcPr>
          <w:p>
            <w:pPr>
              <w:jc w:val="right"/>
              <w:ind w:right="5412"/>
              <w:spacing w:after="0"/>
              <w:rPr>
                <w:sz w:val="20"/>
                <w:szCs w:val="20"/>
                <w:color w:val="auto"/>
              </w:rPr>
            </w:pPr>
            <w:r>
              <w:rPr>
                <w:rFonts w:ascii="Arial" w:cs="Arial" w:eastAsia="Arial" w:hAnsi="Arial"/>
                <w:sz w:val="18"/>
                <w:szCs w:val="18"/>
                <w:color w:val="auto"/>
              </w:rPr>
              <w:t>F-1</w:t>
            </w:r>
          </w:p>
        </w:tc>
      </w:tr>
      <w:tr>
        <w:trPr>
          <w:trHeight w:val="115"/>
        </w:trPr>
        <w:tc>
          <w:tcPr>
            <w:tcW w:w="1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LSB Industries, Inc. (the Company) as of December 31, 2020 and 2019, the related consolidated statements of operations, stockholders’ equity, and cash flows for each of the three years in the period ended December 31, 2020,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 (Topic 842)</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in Note 1 to the consolidated financial statements, the Company changed its method of accounting for leases in the December 31, 2019 financial statements to reflect the accounting method change due to the adoption of ASU 2016-02 Leases (Topic 842), and the related amendments.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controls over financial reporting. As part of our audits, we are required to obtain an understanding of internal control over financial reporting but not for the purpose of expressing an opinion on the effectiveness of the Company’s internal control over financial report. Accordingly, we express no such opinion.</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an account or disclosure that is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threatened, or settled litigation</w:t>
      </w:r>
    </w:p>
    <w:p>
      <w:pPr>
        <w:spacing w:after="0" w:line="131" w:lineRule="exact"/>
        <w:rPr>
          <w:sz w:val="20"/>
          <w:szCs w:val="20"/>
          <w:color w:val="auto"/>
        </w:rPr>
      </w:pPr>
    </w:p>
    <w:p>
      <w:pPr>
        <w:ind w:left="140"/>
        <w:spacing w:after="0"/>
        <w:tabs>
          <w:tab w:leader="none" w:pos="1500" w:val="left"/>
        </w:tabs>
        <w:rPr>
          <w:sz w:val="20"/>
          <w:szCs w:val="20"/>
          <w:color w:val="auto"/>
        </w:rPr>
      </w:pPr>
      <w:r>
        <w:rPr>
          <w:rFonts w:ascii="Arial" w:cs="Arial" w:eastAsia="Arial" w:hAnsi="Arial"/>
          <w:sz w:val="18"/>
          <w:szCs w:val="18"/>
          <w:i w:val="1"/>
          <w:iCs w:val="1"/>
          <w:color w:val="auto"/>
        </w:rPr>
        <w:t>Description</w:t>
      </w:r>
      <w:r>
        <w:rPr>
          <w:sz w:val="20"/>
          <w:szCs w:val="20"/>
          <w:color w:val="auto"/>
        </w:rPr>
        <w:tab/>
      </w:r>
      <w:r>
        <w:rPr>
          <w:rFonts w:ascii="Arial" w:cs="Arial" w:eastAsia="Arial" w:hAnsi="Arial"/>
          <w:sz w:val="18"/>
          <w:szCs w:val="18"/>
          <w:color w:val="auto"/>
        </w:rPr>
        <w:t>As discussed in Note 8 to the consolidated financial statements, the Company is involved in various claims, legal</w:t>
      </w:r>
    </w:p>
    <w:p>
      <w:pPr>
        <w:spacing w:after="0" w:line="23" w:lineRule="exact"/>
        <w:rPr>
          <w:sz w:val="20"/>
          <w:szCs w:val="20"/>
          <w:color w:val="auto"/>
        </w:rPr>
      </w:pPr>
    </w:p>
    <w:p>
      <w:pPr>
        <w:jc w:val="both"/>
        <w:ind w:left="1520" w:right="840" w:hanging="1381"/>
        <w:spacing w:after="0" w:line="253" w:lineRule="auto"/>
        <w:tabs>
          <w:tab w:leader="none" w:pos="1500" w:val="left"/>
        </w:tabs>
        <w:rPr>
          <w:sz w:val="20"/>
          <w:szCs w:val="20"/>
          <w:color w:val="auto"/>
        </w:rPr>
      </w:pPr>
      <w:r>
        <w:rPr>
          <w:rFonts w:ascii="Arial" w:cs="Arial" w:eastAsia="Arial" w:hAnsi="Arial"/>
          <w:sz w:val="18"/>
          <w:szCs w:val="18"/>
          <w:i w:val="1"/>
          <w:iCs w:val="1"/>
          <w:color w:val="auto"/>
        </w:rPr>
        <w:t>of the matter</w:t>
      </w:r>
      <w:r>
        <w:rPr>
          <w:sz w:val="20"/>
          <w:szCs w:val="20"/>
          <w:color w:val="auto"/>
        </w:rPr>
        <w:tab/>
      </w:r>
      <w:r>
        <w:rPr>
          <w:rFonts w:ascii="Arial" w:cs="Arial" w:eastAsia="Arial" w:hAnsi="Arial"/>
          <w:sz w:val="18"/>
          <w:szCs w:val="18"/>
          <w:color w:val="auto"/>
        </w:rPr>
        <w:t>proceedings, and other disputes that require management to make assessments relating to future outcomes. Based on the Company’s assessment, contingent losses are accrued when such losses are probable and reasonably estimable. If the assessment indicates that a potentially material loss contingency is not probable but reasonably possible, or is probable but cannot be estimated, the nature of the contingent liability, together with an estimate of the range of possible loss if determinable and material, is disclosed.</w:t>
      </w:r>
    </w:p>
    <w:p>
      <w:pPr>
        <w:spacing w:after="0" w:line="83" w:lineRule="exact"/>
        <w:rPr>
          <w:sz w:val="20"/>
          <w:szCs w:val="20"/>
          <w:color w:val="auto"/>
        </w:rPr>
      </w:pPr>
    </w:p>
    <w:p>
      <w:pPr>
        <w:jc w:val="both"/>
        <w:ind w:left="1520" w:right="840"/>
        <w:spacing w:after="0" w:line="257" w:lineRule="auto"/>
        <w:rPr>
          <w:sz w:val="20"/>
          <w:szCs w:val="20"/>
          <w:color w:val="auto"/>
        </w:rPr>
      </w:pPr>
      <w:r>
        <w:rPr>
          <w:rFonts w:ascii="Arial" w:cs="Arial" w:eastAsia="Arial" w:hAnsi="Arial"/>
          <w:sz w:val="18"/>
          <w:szCs w:val="18"/>
          <w:color w:val="auto"/>
        </w:rPr>
        <w:t>Auditing management’s accounting for, and disclosure of, pending, threatened, or settled litigation is challenging because management’s evaluation of the likelihood and amount of potential loss is highly subjective and requires significant judgment. The determination is sensitive to the uncertainties related to the outcome of the contingency, the status and uncertainty of the litigation and/or the appeals process, and the status of any settlement discussions associated with the contingent matter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14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6"/>
          <w:szCs w:val="16"/>
          <w:color w:val="auto"/>
        </w:rPr>
        <w:t>To test the Company’s legal contingencies and the related disclosures, our audit procedures included, among others, assessing the completeness of the litigation matters, legal claims and other disputes subject to evaluation by the Company, evaluating the Company’s assessment of the probability of outcome, and disclosure of probable and reasonably possible losses. As part of these procedures, we read the minutes of the meetings of the committees of the board of directors, read summaries of rulings and/or settlement agreements, evaluated the responses of internal and external legal counsel confirmation letters, inquired of internal legal counsel to understand developments and progression in potential settlement discussions, requested and obtained written representations from executives of the Company related to contingent matters, and evaluated the Company’s disclosures for consistency with our understanding of the Company’s contingent matters.</w:t>
      </w:r>
    </w:p>
    <w:p>
      <w:pPr>
        <w:spacing w:after="0" w:line="192" w:lineRule="exact"/>
        <w:rPr>
          <w:sz w:val="20"/>
          <w:szCs w:val="20"/>
          <w:color w:val="auto"/>
        </w:rPr>
      </w:pPr>
    </w:p>
    <w:p>
      <w:pPr>
        <w:sectPr>
          <w:pgSz w:w="11900" w:h="16838" w:orient="portrait"/>
          <w:cols w:equalWidth="0" w:num="2">
            <w:col w:w="1120" w:space="400"/>
            <w:col w:w="8880"/>
          </w:cols>
          <w:pgMar w:left="320" w:top="895" w:right="1179" w:bottom="1440" w:gutter="0" w:footer="0" w:header="0"/>
        </w:sectPr>
      </w:pPr>
    </w:p>
    <w:p>
      <w:pPr>
        <w:spacing w:after="0"/>
        <w:rPr>
          <w:sz w:val="20"/>
          <w:szCs w:val="20"/>
          <w:color w:val="auto"/>
        </w:rPr>
      </w:pPr>
      <w:r>
        <w:rPr>
          <w:rFonts w:ascii="Arial" w:cs="Arial" w:eastAsia="Arial" w:hAnsi="Arial"/>
          <w:sz w:val="18"/>
          <w:szCs w:val="18"/>
          <w:i w:val="1"/>
          <w:iCs w:val="1"/>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895" w:right="117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40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90"/>
              <w:spacing w:after="0" w:line="155" w:lineRule="exact"/>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Current assets: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16,264</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42,929</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40,203</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(378)</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w:t>
            </w:r>
          </w:p>
        </w:tc>
      </w:tr>
      <w:tr>
        <w:trPr>
          <w:trHeight w:val="223"/>
        </w:trPr>
        <w:tc>
          <w:tcPr>
            <w:tcW w:w="402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37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42,551</w:t>
            </w: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39,942</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500"/>
              <w:spacing w:after="0"/>
              <w:rPr>
                <w:sz w:val="20"/>
                <w:szCs w:val="20"/>
                <w:color w:val="auto"/>
              </w:rPr>
            </w:pPr>
            <w:r>
              <w:rPr>
                <w:rFonts w:ascii="Arial" w:cs="Arial" w:eastAsia="Arial" w:hAnsi="Arial"/>
                <w:sz w:val="18"/>
                <w:szCs w:val="18"/>
                <w:color w:val="auto"/>
              </w:rPr>
              <w:t>Finished goods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17,778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21,738</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Raw materials</w:t>
            </w: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1,795</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Pr>
          <w:p>
            <w:pPr>
              <w:ind w:left="740"/>
              <w:spacing w:after="0"/>
              <w:rPr>
                <w:sz w:val="20"/>
                <w:szCs w:val="20"/>
                <w:color w:val="auto"/>
              </w:rPr>
            </w:pPr>
            <w:r>
              <w:rPr>
                <w:rFonts w:ascii="Arial" w:cs="Arial" w:eastAsia="Arial" w:hAnsi="Arial"/>
                <w:sz w:val="18"/>
                <w:szCs w:val="18"/>
                <w:color w:val="auto"/>
              </w:rPr>
              <w:t>Total inventories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19,573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Supplies, prepaid items and other:</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500"/>
              <w:spacing w:after="0"/>
              <w:rPr>
                <w:sz w:val="20"/>
                <w:szCs w:val="20"/>
                <w:color w:val="auto"/>
              </w:rPr>
            </w:pPr>
            <w:r>
              <w:rPr>
                <w:rFonts w:ascii="Arial" w:cs="Arial" w:eastAsia="Arial" w:hAnsi="Arial"/>
                <w:sz w:val="18"/>
                <w:szCs w:val="18"/>
                <w:color w:val="auto"/>
              </w:rPr>
              <w:t>Prepaid insurance</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12,315</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Precious metals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6,787</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500"/>
              <w:spacing w:after="0"/>
              <w:rPr>
                <w:sz w:val="20"/>
                <w:szCs w:val="20"/>
                <w:color w:val="auto"/>
              </w:rPr>
            </w:pPr>
            <w:r>
              <w:rPr>
                <w:rFonts w:ascii="Arial" w:cs="Arial" w:eastAsia="Arial" w:hAnsi="Arial"/>
                <w:sz w:val="18"/>
                <w:szCs w:val="18"/>
                <w:color w:val="auto"/>
              </w:rPr>
              <w:t>Supplies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25,288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24,689</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6,802</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supplies, prepaid items and other</w:t>
            </w:r>
          </w:p>
        </w:tc>
        <w:tc>
          <w:tcPr>
            <w:tcW w:w="3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51,192</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129,580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130,873</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891,198</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936,474</w:t>
            </w: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26,403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15,330</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and other assets, net</w:t>
            </w: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6,121</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5,812</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32,524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1,053,302</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1,088,489</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4060" w:type="dxa"/>
            <w:vAlign w:val="bottom"/>
            <w:gridSpan w:val="2"/>
          </w:tcPr>
          <w:p>
            <w:pPr>
              <w:jc w:val="right"/>
              <w:ind w:right="1250"/>
              <w:spacing w:after="0"/>
              <w:rPr>
                <w:sz w:val="20"/>
                <w:szCs w:val="20"/>
                <w:color w:val="auto"/>
              </w:rPr>
            </w:pPr>
            <w:r>
              <w:rPr>
                <w:rFonts w:ascii="Arial" w:cs="Arial" w:eastAsia="Arial" w:hAnsi="Arial"/>
                <w:sz w:val="18"/>
                <w:szCs w:val="18"/>
                <w:color w:val="auto"/>
              </w:rPr>
              <w:t>(Continued on following page)</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20" w:type="dxa"/>
            <w:vAlign w:val="bottom"/>
          </w:tcPr>
          <w:p>
            <w:pPr>
              <w:spacing w:after="0"/>
              <w:rPr>
                <w:sz w:val="24"/>
                <w:szCs w:val="24"/>
                <w:color w:val="auto"/>
              </w:rPr>
            </w:pPr>
          </w:p>
        </w:tc>
        <w:tc>
          <w:tcPr>
            <w:tcW w:w="4060" w:type="dxa"/>
            <w:vAlign w:val="bottom"/>
            <w:gridSpan w:val="2"/>
          </w:tcPr>
          <w:p>
            <w:pPr>
              <w:jc w:val="right"/>
              <w:ind w:right="2250"/>
              <w:spacing w:after="0"/>
              <w:rPr>
                <w:sz w:val="20"/>
                <w:szCs w:val="20"/>
                <w:color w:val="auto"/>
              </w:rPr>
            </w:pPr>
            <w:r>
              <w:rPr>
                <w:rFonts w:ascii="Arial" w:cs="Arial" w:eastAsia="Arial" w:hAnsi="Arial"/>
                <w:sz w:val="18"/>
                <w:szCs w:val="18"/>
                <w:color w:val="auto"/>
              </w:rPr>
              <w:t>F-4</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90"/>
              <w:spacing w:after="0" w:line="155" w:lineRule="exact"/>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46,551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financing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13,576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30,367</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16,801</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107,295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467,389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19,845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6,090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30,939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272,101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of $277,982,000 ($242,800,000 at December 31, 2019)</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F redeemable Class C preferred stock, no par value, 1 share issued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aggregate liquidation preference of $100</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shares issued and outstanding; aggregate liquidation preference</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of $3,265,000 ($3,025,000 at December 31, 2019)</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$1,312,000 ($1,252,000 at December 31, 2019)</w:t>
            </w:r>
          </w:p>
        </w:tc>
        <w:tc>
          <w:tcPr>
            <w:tcW w:w="36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$.10 par value; 75,000,000 shares authorized,</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3,128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31,283,210 shares issued</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198,215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(41,487)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162,856</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treasury stock, at cost: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2,074,565 shares (2,009,566 shares at December 31, 2019)</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13,213</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149,643</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1,053,302</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gridSpan w:val="7"/>
          </w:tcPr>
          <w:p>
            <w:pPr>
              <w:jc w:val="center"/>
              <w:ind w:left="492"/>
              <w:spacing w:after="0" w:line="155" w:lineRule="exact"/>
              <w:rPr>
                <w:sz w:val="20"/>
                <w:szCs w:val="20"/>
                <w:color w:val="auto"/>
              </w:rPr>
            </w:pPr>
            <w:r>
              <w:rPr>
                <w:rFonts w:ascii="Arial" w:cs="Arial" w:eastAsia="Arial" w:hAnsi="Arial"/>
                <w:sz w:val="14"/>
                <w:szCs w:val="14"/>
                <w:color w:val="auto"/>
                <w:w w:val="92"/>
              </w:rPr>
              <w:t>(In Thousands, Except Per Share Amounts)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351,316</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365,070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378,160</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334,268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360,085</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362,325</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15,835</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32,084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40,811</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9,904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5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(15,535)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51,115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46,389</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43,064</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(1,139)</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(1,554)</w:t>
            </w:r>
          </w:p>
        </w:tc>
      </w:tr>
      <w:tr>
        <w:trPr>
          <w:trHeight w:val="223"/>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(benefit) for income taxes</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(66,660)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(84,341)</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(70,486)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(20,924)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5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(61,911)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(63,417)</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30,729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26,840</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2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FF0FC"/>
          </w:tcPr>
          <w:p>
            <w:pPr>
              <w:spacing w:after="0"/>
              <w:rPr>
                <w:sz w:val="19"/>
                <w:szCs w:val="19"/>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5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(99,419)</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(96,441)</w:t>
            </w:r>
          </w:p>
        </w:tc>
        <w:tc>
          <w:tcPr>
            <w:tcW w:w="24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(102,741)</w:t>
            </w:r>
          </w:p>
        </w:tc>
        <w:tc>
          <w:tcPr>
            <w:tcW w:w="100" w:type="dxa"/>
            <w:vAlign w:val="bottom"/>
            <w:tcBorders>
              <w:bottom w:val="single" w:sz="8" w:color="CFF0FC"/>
            </w:tcBorders>
          </w:tcPr>
          <w:p>
            <w:pPr>
              <w:spacing w:after="0"/>
              <w:rPr>
                <w:sz w:val="22"/>
                <w:szCs w:val="22"/>
                <w:color w:val="auto"/>
              </w:rPr>
            </w:pPr>
          </w:p>
        </w:tc>
      </w:tr>
      <w:tr>
        <w:trPr>
          <w:trHeight w:val="210"/>
        </w:trPr>
        <w:tc>
          <w:tcPr>
            <w:tcW w:w="416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(3.53)</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r>
      <w:tr>
        <w:trPr>
          <w:trHeight w:val="20"/>
        </w:trPr>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2800" w:type="dxa"/>
            <w:vAlign w:val="bottom"/>
            <w:gridSpan w:val="2"/>
          </w:tcPr>
          <w:p>
            <w:pPr>
              <w:jc w:val="right"/>
              <w:ind w:right="330"/>
              <w:spacing w:after="0"/>
              <w:rPr>
                <w:sz w:val="20"/>
                <w:szCs w:val="20"/>
                <w:color w:val="auto"/>
              </w:rPr>
            </w:pPr>
            <w:r>
              <w:rPr>
                <w:rFonts w:ascii="Arial" w:cs="Arial" w:eastAsia="Arial" w:hAnsi="Arial"/>
                <w:sz w:val="18"/>
                <w:szCs w:val="18"/>
                <w:color w:val="auto"/>
              </w:rPr>
              <w:t>See accompanying notes.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4160" w:type="dxa"/>
            <w:vAlign w:val="bottom"/>
          </w:tcPr>
          <w:p>
            <w:pPr>
              <w:spacing w:after="0"/>
              <w:rPr>
                <w:sz w:val="24"/>
                <w:szCs w:val="24"/>
                <w:color w:val="auto"/>
              </w:rPr>
            </w:pPr>
          </w:p>
        </w:tc>
        <w:tc>
          <w:tcPr>
            <w:tcW w:w="2800" w:type="dxa"/>
            <w:vAlign w:val="bottom"/>
            <w:gridSpan w:val="2"/>
          </w:tcPr>
          <w:p>
            <w:pPr>
              <w:jc w:val="right"/>
              <w:ind w:right="113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Capital in</w:t>
            </w:r>
          </w:p>
        </w:tc>
        <w:tc>
          <w:tcPr>
            <w:tcW w:w="120" w:type="dxa"/>
            <w:vAlign w:val="bottom"/>
          </w:tcPr>
          <w:p>
            <w:pPr>
              <w:spacing w:after="0"/>
              <w:rPr>
                <w:sz w:val="14"/>
                <w:szCs w:val="14"/>
                <w:color w:val="auto"/>
              </w:rPr>
            </w:pPr>
          </w:p>
        </w:tc>
        <w:tc>
          <w:tcPr>
            <w:tcW w:w="9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4"/>
              </w:rPr>
              <w:t>Retained</w:t>
            </w:r>
          </w:p>
        </w:tc>
        <w:tc>
          <w:tcPr>
            <w:tcW w:w="840" w:type="dxa"/>
            <w:vAlign w:val="bottom"/>
            <w:gridSpan w:val="2"/>
            <w:vMerge w:val="restart"/>
          </w:tcPr>
          <w:p>
            <w:pPr>
              <w:jc w:val="center"/>
              <w:ind w:right="81"/>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9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88"/>
              </w:rPr>
              <w:t>Stock-</w:t>
            </w: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Redeemable</w:t>
            </w: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Earnings</w:t>
            </w: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5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Excess of</w:t>
            </w:r>
          </w:p>
        </w:tc>
        <w:tc>
          <w:tcPr>
            <w:tcW w:w="1060" w:type="dxa"/>
            <w:vAlign w:val="bottom"/>
            <w:gridSpan w:val="3"/>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(Accumulated</w:t>
            </w:r>
          </w:p>
        </w:tc>
        <w:tc>
          <w:tcPr>
            <w:tcW w:w="840" w:type="dxa"/>
            <w:vAlign w:val="bottom"/>
            <w:gridSpan w:val="2"/>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Stock-</w:t>
            </w:r>
          </w:p>
        </w:tc>
        <w:tc>
          <w:tcPr>
            <w:tcW w:w="6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 Shares</w:t>
            </w:r>
          </w:p>
        </w:tc>
        <w:tc>
          <w:tcPr>
            <w:tcW w:w="9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4"/>
                <w:szCs w:val="14"/>
                <w:color w:val="auto"/>
              </w:rPr>
            </w:pPr>
          </w:p>
        </w:tc>
        <w:tc>
          <w:tcPr>
            <w:tcW w:w="94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6"/>
              </w:rPr>
              <w:t>Deficit)</w:t>
            </w:r>
          </w:p>
        </w:tc>
        <w:tc>
          <w:tcPr>
            <w:tcW w:w="8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right"/>
              <w:ind w:right="560"/>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(2,662)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$ 193,956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256,214</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w w:val="90"/>
              </w:rPr>
              <w:t>$ (18,102)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$ 438,196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(72,226)</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(72,226)</w:t>
            </w: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(26,840)</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(3,375)</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Issuance of restricted stock, net</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1,916</w:t>
            </w: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198,482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153,773</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(63,417)</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(63,417)</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stock</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(30,729)</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(30,729)</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(1,995)</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(3,869)</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196,833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57,632</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b w:val="1"/>
                <w:bCs w:val="1"/>
                <w:color w:val="auto"/>
              </w:rPr>
              <w:t>(61,911)</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(61,911)</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right"/>
              <w:ind w:right="61"/>
              <w:spacing w:after="0"/>
              <w:rPr>
                <w:sz w:val="20"/>
                <w:szCs w:val="20"/>
                <w:color w:val="auto"/>
              </w:rPr>
            </w:pPr>
            <w:r>
              <w:rPr>
                <w:rFonts w:ascii="Arial" w:cs="Arial" w:eastAsia="Arial" w:hAnsi="Arial"/>
                <w:sz w:val="18"/>
                <w:szCs w:val="18"/>
                <w:b w:val="1"/>
                <w:bCs w:val="1"/>
                <w:color w:val="auto"/>
              </w:rPr>
              <w:t>(35,182)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(35,182)</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stock</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b w:val="1"/>
                <w:bCs w:val="1"/>
                <w:color w:val="auto"/>
              </w:rPr>
              <w:t>(2,026)</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(2,026)</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and unrestricted</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(379)</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379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net</w:t>
            </w: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gridSpan w:val="3"/>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rPr>
              <w:t>Acquisition of shares withheld for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right"/>
              <w:ind w:right="41"/>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1"/>
              <w:spacing w:after="0"/>
              <w:rPr>
                <w:sz w:val="20"/>
                <w:szCs w:val="20"/>
                <w:color w:val="auto"/>
              </w:rPr>
            </w:pPr>
            <w:r>
              <w:rPr>
                <w:rFonts w:ascii="Arial" w:cs="Arial" w:eastAsia="Arial" w:hAnsi="Arial"/>
                <w:sz w:val="18"/>
                <w:szCs w:val="18"/>
                <w:b w:val="1"/>
                <w:bCs w:val="1"/>
                <w:color w:val="auto"/>
              </w:rPr>
              <w:t>(326)</w:t>
            </w: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(326)</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employee taxes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(2,075</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$ 198,215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(41,487</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(13,213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$ 149,643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(61,911)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(63,417)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(72,226)</w:t>
            </w:r>
          </w:p>
        </w:tc>
        <w:tc>
          <w:tcPr>
            <w:tcW w:w="0" w:type="dxa"/>
            <w:vAlign w:val="bottom"/>
          </w:tcPr>
          <w:p>
            <w:pPr>
              <w:spacing w:after="0"/>
              <w:rPr>
                <w:sz w:val="1"/>
                <w:szCs w:val="1"/>
                <w:color w:val="auto"/>
              </w:rPr>
            </w:pPr>
          </w:p>
        </w:tc>
      </w:tr>
      <w:tr>
        <w:trPr>
          <w:trHeight w:val="215"/>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(used) by</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continuing operating activities:</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(20,895)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69,581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equipment</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sales of property and equipment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Loss associated with assets held for sale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Loss associated with commodity contracts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 on extinguishment of debt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(net of effects of discontinued operations):</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29"/>
        </w:trPr>
        <w:tc>
          <w:tcPr>
            <w:tcW w:w="5940" w:type="dxa"/>
            <w:vAlign w:val="bottom"/>
          </w:tcPr>
          <w:p>
            <w:pPr>
              <w:ind w:left="500"/>
              <w:spacing w:after="0"/>
              <w:rPr>
                <w:sz w:val="20"/>
                <w:szCs w:val="20"/>
                <w:color w:val="auto"/>
              </w:rPr>
            </w:pPr>
            <w:r>
              <w:rPr>
                <w:rFonts w:ascii="Arial" w:cs="Arial" w:eastAsia="Arial" w:hAnsi="Arial"/>
                <w:sz w:val="18"/>
                <w:szCs w:val="18"/>
                <w:color w:val="auto"/>
              </w:rPr>
              <w:t>Other supplies, prepaid items and other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(934)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(6,561)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(7,987)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500"/>
              <w:spacing w:after="0"/>
              <w:rPr>
                <w:sz w:val="20"/>
                <w:szCs w:val="20"/>
                <w:color w:val="auto"/>
              </w:rPr>
            </w:pPr>
            <w:r>
              <w:rPr>
                <w:rFonts w:ascii="Arial" w:cs="Arial" w:eastAsia="Arial" w:hAnsi="Arial"/>
                <w:sz w:val="18"/>
                <w:szCs w:val="18"/>
                <w:color w:val="auto"/>
              </w:rPr>
              <w:t>Accrued interest</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and noncurrent liabilities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(8,705)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(5,113)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cash provided (used) by continuing operating activities</w:t>
            </w:r>
          </w:p>
        </w:tc>
        <w:tc>
          <w:tcPr>
            <w:tcW w:w="7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(30,471)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(36,081)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(37,050)</w:t>
            </w:r>
          </w:p>
        </w:tc>
        <w:tc>
          <w:tcPr>
            <w:tcW w:w="0" w:type="dxa"/>
            <w:vAlign w:val="bottom"/>
          </w:tcPr>
          <w:p>
            <w:pPr>
              <w:spacing w:after="0"/>
              <w:rPr>
                <w:sz w:val="1"/>
                <w:szCs w:val="1"/>
                <w:color w:val="auto"/>
              </w:rPr>
            </w:pPr>
          </w:p>
        </w:tc>
      </w:tr>
      <w:tr>
        <w:trPr>
          <w:trHeight w:val="215"/>
        </w:trPr>
        <w:tc>
          <w:tcPr>
            <w:tcW w:w="5940" w:type="dxa"/>
            <w:vAlign w:val="bottom"/>
          </w:tcPr>
          <w:p>
            <w:pPr>
              <w:ind w:left="260"/>
              <w:spacing w:after="0"/>
              <w:rPr>
                <w:sz w:val="20"/>
                <w:szCs w:val="20"/>
                <w:color w:val="auto"/>
              </w:rPr>
            </w:pPr>
            <w:r>
              <w:rPr>
                <w:rFonts w:ascii="Arial" w:cs="Arial" w:eastAsia="Arial" w:hAnsi="Arial"/>
                <w:sz w:val="18"/>
                <w:szCs w:val="18"/>
                <w:color w:val="auto"/>
              </w:rPr>
              <w:t>Proceeds from vendor settlements associated with</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property and equipment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60"/>
              <w:spacing w:after="0"/>
              <w:rPr>
                <w:sz w:val="20"/>
                <w:szCs w:val="20"/>
                <w:color w:val="auto"/>
              </w:rPr>
            </w:pPr>
            <w:r>
              <w:rPr>
                <w:rFonts w:ascii="Arial" w:cs="Arial" w:eastAsia="Arial" w:hAnsi="Arial"/>
                <w:sz w:val="18"/>
                <w:szCs w:val="18"/>
                <w:color w:val="auto"/>
              </w:rPr>
              <w:t>Proceeds from property insurance recovery associated with property,</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plant and equipment</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sale of discontinued operations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investing activities</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by continuing investing activities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Proceeds from revolving debt facility</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30,000</w:t>
            </w: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revolving debt facility</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Net proceeds from 9.625% senior secured notes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senior secured notes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Proceeds from other long-term debt</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42,570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other long-term debt</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(21,356)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(14,073)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215"/>
        </w:trPr>
        <w:tc>
          <w:tcPr>
            <w:tcW w:w="5680" w:type="dxa"/>
            <w:vAlign w:val="bottom"/>
          </w:tcPr>
          <w:p>
            <w:pPr>
              <w:ind w:left="260"/>
              <w:spacing w:after="0"/>
              <w:rPr>
                <w:sz w:val="20"/>
                <w:szCs w:val="20"/>
                <w:color w:val="auto"/>
              </w:rPr>
            </w:pPr>
            <w:r>
              <w:rPr>
                <w:rFonts w:ascii="Arial" w:cs="Arial" w:eastAsia="Arial" w:hAnsi="Arial"/>
                <w:sz w:val="18"/>
                <w:szCs w:val="18"/>
                <w:color w:val="auto"/>
              </w:rPr>
              <w:t>Payments of debt-related costs, including extinguishment and</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80"/>
              <w:spacing w:after="0"/>
              <w:rPr>
                <w:sz w:val="20"/>
                <w:szCs w:val="20"/>
                <w:color w:val="auto"/>
              </w:rPr>
            </w:pPr>
            <w:r>
              <w:rPr>
                <w:rFonts w:ascii="Arial" w:cs="Arial" w:eastAsia="Arial" w:hAnsi="Arial"/>
                <w:sz w:val="18"/>
                <w:szCs w:val="18"/>
                <w:color w:val="auto"/>
              </w:rPr>
              <w:t>modification costs</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(1,065)</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short-term financing</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Payments on short-term financing</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(10,828)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(10,872)</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paid on equity awards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Payments of preferred stock modification costs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Net cash provided by continuing financing activities</w:t>
            </w:r>
          </w:p>
        </w:tc>
        <w:tc>
          <w:tcPr>
            <w:tcW w:w="9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(3,257)</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9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9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16,264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w:t>
      </w:r>
      <w:r>
        <w:rPr>
          <w:rFonts w:ascii="Arial" w:cs="Arial" w:eastAsia="Arial" w:hAnsi="Arial"/>
          <w:sz w:val="17"/>
          <w:szCs w:val="17"/>
          <w:color w:val="auto"/>
        </w:rPr>
        <w:t>– 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 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generally accepted accounting principles (“GAAP”)</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Our accounts receivable is stated at net realizable value. This value includes an appropriate allowance for estimated uncollectible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 Our contract assets consist of receivables from contracts with customers. Our accounts receivable primarily relate to these contract assets and are presented in our consolidated balance sheets.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to our customers are generally unsecured. Credit is extended to customers based on an evaluation of the customer’s financial condition and other factors. Customer payments are generally due thirty to sixty days after the invoice date. Concentrations of credit risk with respect to trade receivables are monitored and this risk is reduced due to short-term payment terms relating to most of our significant customers. Ten customers (including their affiliates) account for approximately 52% of our total net receivables at December 31, 2020.</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using the first-in, first-out (“FIFO”) basis) or net realizable value,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selling prices in the ordinary course of business, less reasonably predictable costs of completion, transportation or disposal. Finished goods include material, labor, and manufacturing overhead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reserves associated with cost exceeding net realizable value were not material at December 31, 2020 and 2019.</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(“PP&amp;E”) are stated at cost, net of accumulated depreciation, depletion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(“DD&amp;A”). Leases meeting finance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Fully depreciated assets are retained in PP&amp;E and accumulated DD&amp;A accounts until disposal. When PP&amp;E is retired, sold, or otherwise disposed, the asset’s carrying amount and related accumulated DD&amp;A is removed from the accounts and any gain or loss is included in other income or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Long-lived assets are reviewed for impairment whenever events or changes in circumstances indicate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the event or change in circumstance relates to the probable sale of an asset (or group of assets), the specific asset (or group of assets) is reviewed for impairment.</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On January 1, 2019, we adopted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We determine if an arrangement is a lease at inception or modification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operating lease asset represents our right to use the underlying asset as a lessee for the lease term and an operating lease liability represent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and Sales </w:t>
      </w:r>
      <w:r>
        <w:rPr>
          <w:rFonts w:ascii="Arial" w:cs="Arial" w:eastAsia="Arial" w:hAnsi="Arial"/>
          <w:sz w:val="18"/>
          <w:szCs w:val="18"/>
          <w:color w:val="auto"/>
        </w:rPr>
        <w:t>– Financial instruments relating to cash and cash equivalents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us to concentrations of credit risk. These financial instruments were held by financial institutions within the U.S. None of the financial instruments held within U.S. were in excess of the federally insured limits.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to one customer, Koch Fertilizer LLC (“Koch Fertilizer”), represented approximately 10%, 11% and 13% of our total net sales for 2020, 2019 and 2018, respectively. Net sales to one customer, Coffeyville Resources Nitrogen Fertilizer, LLC (“CVR”), represented approximately 13%, 9% and 11% of our total net sales for 2020, 2019 and 2018, respectively.</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Accrued Insurance Liabilities </w:t>
      </w:r>
      <w:r>
        <w:rPr>
          <w:rFonts w:ascii="Arial" w:cs="Arial" w:eastAsia="Arial" w:hAnsi="Arial"/>
          <w:sz w:val="18"/>
          <w:szCs w:val="18"/>
          <w:color w:val="auto"/>
        </w:rPr>
        <w:t>– We are self-insured up to certain limits for group health, workers’ compensation and general liability claims.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these 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Executive Benefit Agreements </w:t>
      </w:r>
      <w:r>
        <w:rPr>
          <w:rFonts w:ascii="Arial" w:cs="Arial" w:eastAsia="Arial" w:hAnsi="Arial"/>
          <w:sz w:val="17"/>
          <w:szCs w:val="17"/>
          <w:color w:val="auto"/>
        </w:rPr>
        <w:t>– We are party to certain benefit agreements with certain key current and former executives. Costs associated with these</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benefit agreements are accrued based on the estimated remaining service period when such benefits become probable, they will be paid. Total costs accrued equal the present value of specified payments to be made after benefits become payable.</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the vesting of restricted stock. We reduce income tax expense for investment tax credits in the period the credit arises and is earned.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7 – Income Taxes discussing the Coronavirus Aid, Relief and Economic Security (“CARES”) Act.</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 In general, we record the estimated fair value of an asset retirement obligation (“ARO”) associated with tangible long-lived 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50"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49"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49"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49"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the following practical expedients:</w:t>
      </w:r>
    </w:p>
    <w:p>
      <w:pPr>
        <w:spacing w:after="0" w:line="36" w:lineRule="exact"/>
        <w:rPr>
          <w:sz w:val="20"/>
          <w:szCs w:val="20"/>
          <w:color w:val="auto"/>
        </w:rPr>
      </w:pPr>
    </w:p>
    <w:p>
      <w:pPr>
        <w:ind w:left="1000" w:right="20" w:hanging="493"/>
        <w:spacing w:after="0" w:line="27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recognize revenue in the amount we have the right to invoice relating to certain services that are performed for customers and, not disclosing the value of unsatisfied performance obligations related to such services.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disclosing the value of unsatisfied performance obligations for contracts with an original expected duration of one year or less.</w:t>
      </w:r>
    </w:p>
    <w:p>
      <w:pPr>
        <w:spacing w:after="0" w:line="61" w:lineRule="exact"/>
        <w:rPr>
          <w:rFonts w:ascii="Arial" w:cs="Arial" w:eastAsia="Arial" w:hAnsi="Arial"/>
          <w:sz w:val="17"/>
          <w:szCs w:val="17"/>
          <w:color w:val="auto"/>
        </w:rPr>
      </w:pPr>
    </w:p>
    <w:p>
      <w:pPr>
        <w:ind w:left="1000" w:hanging="493"/>
        <w:spacing w:after="0" w:line="27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adjusting the promised amount of consideration for the effects of a significant financing component if we expect the financing time period to be one year or less.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8"/>
          <w:szCs w:val="18"/>
          <w:color w:val="auto"/>
        </w:rPr>
        <w:t>expense as incurred any incremental costs of obtaining a contract if the associated period of benefit is one year or less.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net sales and long-lived assets relate to domestic operations for the periods presented. In addition, net sales to non-U.S. customers were minimal.</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Recognition of Incentive Tax Credits (Other Than Credits Associated with Income Taxes) </w:t>
      </w:r>
      <w:r>
        <w:rPr>
          <w:rFonts w:ascii="Arial" w:cs="Arial" w:eastAsia="Arial" w:hAnsi="Arial"/>
          <w:sz w:val="16"/>
          <w:szCs w:val="16"/>
          <w:color w:val="auto"/>
        </w:rPr>
        <w:t>– If an incentive tax credit relates to a recovery of taxes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when the contingencies have been resolved (generally at the time a settlement has been reached). Amounts recoverable from the taxing authorities, if any, are included in accounts receivable. The same financial statement classification is used for an incentive tax credit as the associated tax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our incentive tax credits receivable totaled $1.4 million and $2.3 million, respectively.</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Recognition of Insurance Recoveries </w:t>
      </w:r>
      <w:r>
        <w:rPr>
          <w:rFonts w:ascii="Arial" w:cs="Arial" w:eastAsia="Arial" w:hAnsi="Arial"/>
          <w:sz w:val="16"/>
          <w:szCs w:val="16"/>
          <w:color w:val="auto"/>
        </w:rPr>
        <w:t>– If an insurance claim relates to a recovery of our losses, we recognize the recovery when it is probable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estimable. If our insurance claim relates to a contingent gain, we recognize the recovery when it is realized or when the contingencies have been resolved (generally at the time a settlement has been reached). Amounts recoverable from our insurance carriers, if any, are included in accounts receivable. An insurance recovery in excess of recoverable costs relating to a business interruption claim, if any, is a reduction to cost of sales.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includes materials, labor and overhead costs, including depreciation, to manufacture the products sold plus inbound freight,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purchasing and receiving 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if any, are reductions to cost of sales.</w:t>
      </w:r>
    </w:p>
    <w:p>
      <w:pPr>
        <w:spacing w:after="0" w:line="75"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 </w:t>
      </w:r>
      <w:r>
        <w:rPr>
          <w:rFonts w:ascii="Arial" w:cs="Arial" w:eastAsia="Arial" w:hAnsi="Arial"/>
          <w:sz w:val="16"/>
          <w:szCs w:val="16"/>
          <w:color w:val="auto"/>
        </w:rPr>
        <w:t>– Selling, general and administrative expense (“SG&amp;A”) includes costs associated with the sales,</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spacing w:after="0" w:line="34"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and 2019,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(Loss) per Common Share </w:t>
      </w:r>
      <w:r>
        <w:rPr>
          <w:rFonts w:ascii="Arial" w:cs="Arial" w:eastAsia="Arial" w:hAnsi="Arial"/>
          <w:sz w:val="16"/>
          <w:szCs w:val="16"/>
          <w:color w:val="auto"/>
        </w:rPr>
        <w:t>– Net income (loss) attributable to common stockholders is computed by adjusting net income (loss) by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issuable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We operate in one principal business segment – our chemical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2020-06 </w:t>
      </w:r>
      <w:r>
        <w:rPr>
          <w:rFonts w:ascii="Arial" w:cs="Arial" w:eastAsia="Arial" w:hAnsi="Arial"/>
          <w:sz w:val="18"/>
          <w:szCs w:val="18"/>
          <w:color w:val="auto"/>
        </w:rPr>
        <w:t>- In August 2020, the FASB issued ASU 2020-06,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Hedging – Contracts in Entity’s own Equity (Subtopic 815-40)</w:t>
      </w:r>
      <w:r>
        <w:rPr>
          <w:rFonts w:ascii="Arial" w:cs="Arial" w:eastAsia="Arial" w:hAnsi="Arial"/>
          <w:sz w:val="18"/>
          <w:szCs w:val="18"/>
          <w:color w:val="auto"/>
        </w:rPr>
        <w:t>. This ASU addresses the complexity associated with applying GAAP to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is permitted beginning January 1, 2021. We are evaluating the timing and the effect of our pending adoption of this ASU on our consolidated financial statements and related disclosures at this time.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ASU 2019-12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December 2019, the FASB issued ASU 2019-12,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which</w:t>
      </w:r>
      <w:r>
        <w:rPr>
          <w:rFonts w:ascii="Arial" w:cs="Arial" w:eastAsia="Arial" w:hAnsi="Arial"/>
          <w:sz w:val="17"/>
          <w:szCs w:val="17"/>
          <w:b w:val="1"/>
          <w:bCs w:val="1"/>
          <w:color w:val="auto"/>
        </w:rPr>
        <w:t xml:space="preserve"> </w:t>
      </w:r>
      <w:r>
        <w:rPr>
          <w:rFonts w:ascii="Arial" w:cs="Arial" w:eastAsia="Arial" w:hAnsi="Arial"/>
          <w:sz w:val="17"/>
          <w:szCs w:val="17"/>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We have adopted this new standard on January 1, 2021, which is not expected to have a material impact on our consolidated financial statements or related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80" w:type="dxa"/>
            <w:vAlign w:val="bottom"/>
            <w:gridSpan w:val="8"/>
          </w:tcPr>
          <w:p>
            <w:pPr>
              <w:jc w:val="right"/>
              <w:ind w:right="672"/>
              <w:spacing w:after="0" w:line="155" w:lineRule="exact"/>
              <w:rPr>
                <w:sz w:val="20"/>
                <w:szCs w:val="20"/>
                <w:color w:val="auto"/>
              </w:rPr>
            </w:pPr>
            <w:r>
              <w:rPr>
                <w:rFonts w:ascii="Arial" w:cs="Arial" w:eastAsia="Arial" w:hAnsi="Arial"/>
                <w:sz w:val="14"/>
                <w:szCs w:val="14"/>
                <w:color w:val="auto"/>
              </w:rPr>
              <w:t>(Dollars In Thousands, Except Per Share Amounts)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(61,911)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(63,417)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(72,226)</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basic net loss per common share:</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500"/>
              <w:spacing w:after="0"/>
              <w:rPr>
                <w:sz w:val="20"/>
                <w:szCs w:val="20"/>
                <w:color w:val="auto"/>
              </w:rPr>
            </w:pPr>
            <w:r>
              <w:rPr>
                <w:rFonts w:ascii="Arial" w:cs="Arial" w:eastAsia="Arial" w:hAnsi="Arial"/>
                <w:sz w:val="18"/>
                <w:szCs w:val="18"/>
                <w:color w:val="auto"/>
              </w:rPr>
              <w:t>Dividend requirements on Series E Redeemable Preferred</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(35,182)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(30,729)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 requirements on Series B Preferred</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(240)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660" w:type="dxa"/>
            <w:vAlign w:val="bottom"/>
          </w:tcPr>
          <w:p>
            <w:pPr>
              <w:ind w:left="500"/>
              <w:spacing w:after="0"/>
              <w:rPr>
                <w:sz w:val="20"/>
                <w:szCs w:val="20"/>
                <w:color w:val="auto"/>
              </w:rPr>
            </w:pPr>
            <w:r>
              <w:rPr>
                <w:rFonts w:ascii="Arial" w:cs="Arial" w:eastAsia="Arial" w:hAnsi="Arial"/>
                <w:sz w:val="18"/>
                <w:szCs w:val="18"/>
                <w:color w:val="auto"/>
              </w:rPr>
              <w:t>Dividend requirements on Series D Preferred</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(2,026)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(1,995)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60"/>
              <w:spacing w:after="0"/>
              <w:rPr>
                <w:sz w:val="20"/>
                <w:szCs w:val="20"/>
                <w:color w:val="auto"/>
              </w:rPr>
            </w:pPr>
            <w:r>
              <w:rPr>
                <w:rFonts w:ascii="Arial" w:cs="Arial" w:eastAsia="Arial" w:hAnsi="Arial"/>
                <w:sz w:val="18"/>
                <w:szCs w:val="18"/>
                <w:color w:val="auto"/>
              </w:rPr>
              <w:t>Numerator for basic and diluted net loss per common</w:t>
            </w: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1000" w:type="dxa"/>
            <w:vAlign w:val="bottom"/>
            <w:vMerge w:val="restart"/>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(99,419)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1000" w:type="dxa"/>
            <w:vAlign w:val="bottom"/>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(96,441)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(102,741)</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Denominator: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Denominator for basic and diluted net loss per common</w:t>
            </w: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28,200,983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 - adjusted weighted-average shares (1)</w:t>
            </w:r>
          </w:p>
        </w:tc>
        <w:tc>
          <w:tcPr>
            <w:tcW w:w="10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28,039,625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27,490,717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(3.53)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periods exclude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1,327,307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832,103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Convertible preferred stocks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916,666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916,666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stock - embedded derivative</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303,646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Stock options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123,886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2,671,505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2,176,415</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2,579,388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center"/>
              <w:ind w:left="314"/>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lives</w:t>
            </w:r>
          </w:p>
        </w:tc>
        <w:tc>
          <w:tcPr>
            <w:tcW w:w="34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ind w:right="1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equipment and automotive</w:t>
            </w:r>
          </w:p>
        </w:tc>
        <w:tc>
          <w:tcPr>
            <w:tcW w:w="98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auto"/>
              </w:rPr>
              <w:t>25</w:t>
            </w:r>
          </w:p>
        </w:tc>
        <w:tc>
          <w:tcPr>
            <w:tcW w:w="880" w:type="dxa"/>
            <w:vAlign w:val="bottom"/>
            <w:gridSpan w:val="4"/>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1,213,359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44,123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98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8,223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Furniture, fixtures and store equipment</w:t>
            </w:r>
          </w:p>
        </w:tc>
        <w:tc>
          <w:tcPr>
            <w:tcW w:w="980" w:type="dxa"/>
            <w:vAlign w:val="bottom"/>
          </w:tcPr>
          <w:p>
            <w:pPr>
              <w:jc w:val="center"/>
              <w:ind w:left="334"/>
              <w:spacing w:after="0"/>
              <w:rPr>
                <w:sz w:val="20"/>
                <w:szCs w:val="20"/>
                <w:color w:val="auto"/>
              </w:rPr>
            </w:pPr>
            <w:r>
              <w:rPr>
                <w:rFonts w:ascii="Arial" w:cs="Arial" w:eastAsia="Arial" w:hAnsi="Arial"/>
                <w:sz w:val="18"/>
                <w:szCs w:val="18"/>
                <w:b w:val="1"/>
                <w:bCs w:val="1"/>
                <w:color w:val="auto"/>
                <w:w w:val="79"/>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1,080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shd w:val="clear" w:color="auto" w:fill="CFF0FC"/>
          </w:tcPr>
          <w:p>
            <w:pPr>
              <w:jc w:val="center"/>
              <w:ind w:left="334"/>
              <w:spacing w:after="0"/>
              <w:rPr>
                <w:sz w:val="20"/>
                <w:szCs w:val="20"/>
                <w:color w:val="auto"/>
              </w:rPr>
            </w:pPr>
            <w:r>
              <w:rPr>
                <w:rFonts w:ascii="Arial" w:cs="Arial" w:eastAsia="Arial" w:hAnsi="Arial"/>
                <w:sz w:val="18"/>
                <w:szCs w:val="18"/>
                <w:b w:val="1"/>
                <w:bCs w:val="1"/>
                <w:color w:val="auto"/>
              </w:rPr>
              <w:t>N/A</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18,389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Capital spare parts</w:t>
            </w:r>
          </w:p>
        </w:tc>
        <w:tc>
          <w:tcPr>
            <w:tcW w:w="980" w:type="dxa"/>
            <w:vAlign w:val="bottom"/>
          </w:tcPr>
          <w:p>
            <w:pPr>
              <w:jc w:val="center"/>
              <w:ind w:left="334"/>
              <w:spacing w:after="0"/>
              <w:rPr>
                <w:sz w:val="20"/>
                <w:szCs w:val="20"/>
                <w:color w:val="auto"/>
              </w:rPr>
            </w:pPr>
            <w:r>
              <w:rPr>
                <w:rFonts w:ascii="Arial" w:cs="Arial" w:eastAsia="Arial" w:hAnsi="Arial"/>
                <w:sz w:val="18"/>
                <w:szCs w:val="18"/>
                <w:b w:val="1"/>
                <w:bCs w:val="1"/>
                <w:color w:val="auto"/>
              </w:rPr>
              <w:t>N/A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26,894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FF0FC"/>
          </w:tcPr>
          <w:p>
            <w:pPr>
              <w:jc w:val="center"/>
              <w:ind w:left="334"/>
              <w:spacing w:after="0"/>
              <w:rPr>
                <w:sz w:val="20"/>
                <w:szCs w:val="20"/>
                <w:color w:val="auto"/>
              </w:rPr>
            </w:pPr>
            <w:r>
              <w:rPr>
                <w:rFonts w:ascii="Arial" w:cs="Arial" w:eastAsia="Arial" w:hAnsi="Arial"/>
                <w:sz w:val="18"/>
                <w:szCs w:val="18"/>
                <w:b w:val="1"/>
                <w:bCs w:val="1"/>
                <w:color w:val="auto"/>
              </w:rPr>
              <w:t>N/A</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4,567</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1,316,635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425,437</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891,198</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80" w:hanging="508"/>
        <w:spacing w:after="0" w:line="183" w:lineRule="auto"/>
        <w:tabs>
          <w:tab w:leader="none" w:pos="880" w:val="left"/>
        </w:tabs>
        <w:numPr>
          <w:ilvl w:val="0"/>
          <w:numId w:val="40"/>
        </w:numPr>
        <w:rPr>
          <w:rFonts w:ascii="Arial" w:cs="Arial" w:eastAsia="Arial" w:hAnsi="Arial"/>
          <w:sz w:val="27"/>
          <w:szCs w:val="27"/>
          <w:color w:val="auto"/>
          <w:vertAlign w:val="superscript"/>
        </w:rPr>
      </w:pPr>
      <w:r>
        <w:rPr>
          <w:rFonts w:ascii="Arial" w:cs="Arial" w:eastAsia="Arial" w:hAnsi="Arial"/>
          <w:sz w:val="15"/>
          <w:szCs w:val="15"/>
          <w:color w:val="auto"/>
        </w:rPr>
        <w:t>Weighted average useful lives as of December 31, 2020.</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(2-7 years).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Current and Noncurrent Accrued and Other Liabilities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8,669</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6,706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4,066</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5,837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2,539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10,816</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9,149</w:t>
            </w:r>
          </w:p>
        </w:tc>
        <w:tc>
          <w:tcPr>
            <w:tcW w:w="8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36,457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31,698</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8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10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30,367</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Retirement Obligations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the land on which our owned plants operate, limiting asset retirement obligations at our owned chemical facilities. However, we have various legal requirements related to operations at our chemical facilities mainly for the disposal of wastewater generated at certain of these facilities. At December 31, 2020 and 2019, our accrued liability for AROs was $100,000. However, the facilities and some of the water related assets have an indeterminate life and as a result there is insufficient information to estimate the fair value for certain of our AROs. We will continue to review these obligations and record a liability when a reasonable estimate of the fair value can be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 rate of</w:t>
            </w:r>
          </w:p>
        </w:tc>
        <w:tc>
          <w:tcPr>
            <w:tcW w:w="240" w:type="dxa"/>
            <w:vAlign w:val="bottom"/>
            <w:vMerge w:val="restart"/>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3.75% (A)</w:t>
            </w:r>
          </w:p>
        </w:tc>
        <w:tc>
          <w:tcPr>
            <w:tcW w:w="240" w:type="dxa"/>
            <w:vAlign w:val="bottom"/>
            <w:vMerge w:val="continue"/>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435,000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an interest</w:t>
            </w: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1,221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5.25% (C)</w:t>
            </w:r>
          </w:p>
        </w:tc>
        <w:tc>
          <w:tcPr>
            <w:tcW w:w="24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Unsecured Loan Agreement due 2022, with an interest</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rate of 1.00% (D)</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10,715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(E)</w:t>
            </w:r>
          </w:p>
        </w:tc>
        <w:tc>
          <w:tcPr>
            <w:tcW w:w="24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Secured Loan Agreement due 2025, with an interest</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rate of 8.75% (F)</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2025, with an interest</w:t>
            </w: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28,636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(G)</w:t>
            </w:r>
          </w:p>
        </w:tc>
        <w:tc>
          <w:tcPr>
            <w:tcW w:w="24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Secured Promissory Note due 2023 (G)</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12,705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240" w:type="dxa"/>
            <w:vAlign w:val="bottom"/>
          </w:tcPr>
          <w:p>
            <w:pPr>
              <w:spacing w:after="0"/>
              <w:rPr>
                <w:sz w:val="18"/>
                <w:szCs w:val="18"/>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(8,648)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(12,261)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484,190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459,044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 (H)</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 (H)</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467,389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vMerge w:val="restart"/>
          </w:tcPr>
          <w:p>
            <w:pPr>
              <w:ind w:left="3760"/>
              <w:spacing w:after="0"/>
              <w:rPr>
                <w:sz w:val="20"/>
                <w:szCs w:val="20"/>
                <w:color w:val="auto"/>
              </w:rPr>
            </w:pPr>
            <w:r>
              <w:rPr>
                <w:rFonts w:ascii="Arial" w:cs="Arial" w:eastAsia="Arial" w:hAnsi="Arial"/>
                <w:sz w:val="18"/>
                <w:szCs w:val="18"/>
                <w:color w:val="auto"/>
              </w:rPr>
              <w:t>F-17</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(continued)</w:t>
      </w:r>
    </w:p>
    <w:p>
      <w:pPr>
        <w:spacing w:after="0" w:line="11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w:t>
      </w:r>
      <w:r>
        <w:rPr>
          <w:rFonts w:ascii="Arial" w:cs="Arial" w:eastAsia="Arial" w:hAnsi="Arial"/>
          <w:sz w:val="16"/>
          <w:szCs w:val="16"/>
          <w:b w:val="1"/>
          <w:bCs w:val="1"/>
          <w:color w:val="auto"/>
        </w:rPr>
        <w:t>65 million (the “Maximum Revolver</w:t>
      </w:r>
    </w:p>
    <w:p>
      <w:pPr>
        <w:spacing w:after="0" w:line="50" w:lineRule="exact"/>
        <w:rPr>
          <w:rFonts w:ascii="Arial" w:cs="Arial" w:eastAsia="Arial" w:hAnsi="Arial"/>
          <w:sz w:val="16"/>
          <w:szCs w:val="16"/>
          <w:b w:val="1"/>
          <w:bCs w:val="1"/>
          <w:color w:val="auto"/>
        </w:rPr>
      </w:pPr>
    </w:p>
    <w:p>
      <w:pPr>
        <w:jc w:val="both"/>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based on specific percentages of eligible accounts receivable and inventories and up to $10 million of letters of credit, the outstanding amount of which reduces the available for borrowing under the Working Capital Revolver Loan. At December </w:t>
      </w:r>
      <w:r>
        <w:rPr>
          <w:rFonts w:ascii="Arial" w:cs="Arial" w:eastAsia="Arial" w:hAnsi="Arial"/>
          <w:sz w:val="16"/>
          <w:szCs w:val="16"/>
          <w:color w:val="auto"/>
        </w:rPr>
        <w:t>31, 2020, our available borrowings</w:t>
      </w:r>
      <w:r>
        <w:rPr>
          <w:rFonts w:ascii="Arial" w:cs="Arial" w:eastAsia="Arial" w:hAnsi="Arial"/>
          <w:sz w:val="16"/>
          <w:szCs w:val="16"/>
          <w:b w:val="1"/>
          <w:bCs w:val="1"/>
          <w:color w:val="auto"/>
        </w:rPr>
        <w:t xml:space="preserve"> </w:t>
      </w:r>
      <w:r>
        <w:rPr>
          <w:rFonts w:ascii="Arial" w:cs="Arial" w:eastAsia="Arial" w:hAnsi="Arial"/>
          <w:sz w:val="16"/>
          <w:szCs w:val="16"/>
          <w:color w:val="auto"/>
        </w:rPr>
        <w:t>under our Working Capital Revolver Loan were approximately $41.8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less the outstanding aggregate principal amount of the unforgiven portion (as defined in the agreement) of the PPP loan discussed below within footnote (D).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6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quarterly, if applicable.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contains customary covenants including limitations on asset sales, liens, debt incurrence, restricted payments, investments, dividends and transactions with affiliates.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includes customary events of default. Upon the occurrence of any event of default, the obligations under the Working Capital Revolver Loan may be accelerated and the revolver commitments may be terminated.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under the Working Capital Revolver Loan are secured by a first priority security interest in substantially all of our current assets, including accounts receivable and inventory, subject to certain customary exceptions.</w:t>
      </w:r>
    </w:p>
    <w:p>
      <w:pPr>
        <w:spacing w:after="0" w:line="62" w:lineRule="exact"/>
        <w:rPr>
          <w:sz w:val="20"/>
          <w:szCs w:val="20"/>
          <w:color w:val="auto"/>
        </w:rPr>
      </w:pPr>
    </w:p>
    <w:p>
      <w:pPr>
        <w:jc w:val="both"/>
        <w:ind w:firstLine="8"/>
        <w:spacing w:after="0" w:line="259" w:lineRule="auto"/>
        <w:tabs>
          <w:tab w:leader="none" w:pos="286"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On April 25, 2018, LSB completed the issuance and sale of $400 million aggregate principal amount of its 9.625% Senior Secured Notes due 2023 (the “Notes”). The Notes were issued pursuant to an indenture, dated as of April 25, 2018 (the “Indenture”), by and among LSB, the subsidiary guarantors named therein, and Wilmington Trust, National Association, a national banking association, as trustee and collateral agent (the “Notes Trustee”). The Notes were issued at a price equal to 99.509% of their face value.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Secured Notes will mature on May 1, 2023 and rank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Senior Secured Notes are jointly and severally guaranteed by the subsidiary guarantors named in the Indenture on a senior secured basis.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Senior Secured Notes accrues at a rate of 9.625% per annum and is payable semi-annually in arrears on May 1 and November 1 of each year.</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LSB may redeem the Senior Secured Notes at its option, in whole or in part, subject to the payment of a premium of 3.609% of the principal amount so redeemed, in the case of any optional redemption prior to May 1, 2022. If LSB experiences a change of control, it must offer to purchase the notes at 101% of their principal amount, plus accrued and unpaid interest, if any, to but excluding the date of purchase.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Indenture provides for customary events of default (subject in certain cases to customary grace and cure periods), which include nonpayment, breach of covenants in the Indenture, payment defaults or acceleration of other indebtedness, a failure to pay certain judgments and certain events of bankruptcy and insolvency.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in respect of the Senior Secured Notes are secured by a first priority security interest in substantially all of our fixed assets, subject to certain customary exceptions.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it relates to the issuance of the Notes in April 2018, a portion of the net proceeds from the Notes were used to purchase/redeem the $375 million aggregate principal amount of senior secured notes scheduled to mature in 2019. A portion of the 2018 transaction was accounted for as an extinguishment of debt and a portion was accounted for as a non-substantial debt modification. As a result, approximately $0.9 million of fees were expensed, as incurred, and are included in interest expense in 2018. In addition, we recognized a loss on extinguishment of debt of approximately $6.0 million in 2018, primarily consisting of a portion of the redemption premiums paid and the expensing of a portion of debt issuance costs associated with the senior secured notes.</w:t>
      </w:r>
    </w:p>
    <w:p>
      <w:pPr>
        <w:spacing w:after="0" w:line="53" w:lineRule="exact"/>
        <w:rPr>
          <w:sz w:val="20"/>
          <w:szCs w:val="20"/>
          <w:color w:val="auto"/>
        </w:rPr>
      </w:pPr>
    </w:p>
    <w:p>
      <w:pPr>
        <w:ind w:firstLine="8"/>
        <w:spacing w:after="0" w:line="277" w:lineRule="auto"/>
        <w:tabs>
          <w:tab w:leader="none" w:pos="306"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in March 2021. Principal and interest are payable in monthly installments.</w:t>
      </w:r>
    </w:p>
    <w:p>
      <w:pPr>
        <w:spacing w:after="0" w:line="62" w:lineRule="exact"/>
        <w:rPr>
          <w:rFonts w:ascii="Arial" w:cs="Arial" w:eastAsia="Arial" w:hAnsi="Arial"/>
          <w:sz w:val="18"/>
          <w:szCs w:val="18"/>
          <w:b w:val="1"/>
          <w:bCs w:val="1"/>
          <w:color w:val="auto"/>
        </w:rPr>
      </w:pPr>
    </w:p>
    <w:p>
      <w:pPr>
        <w:jc w:val="both"/>
        <w:ind w:firstLine="8"/>
        <w:spacing w:after="0" w:line="288" w:lineRule="auto"/>
        <w:tabs>
          <w:tab w:leader="none" w:pos="308"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account for the PPP loan. We have used all or substantially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8-weeks or 24-weeks after disbursement of the loan. Once the SBA notifies the lender the amount of the loan which has been approved for forgiveness, the lender will determine the date that the equal monthly principal and interest payments will begin for the remaining loan balance, if any. Currently, the loan matures in April 2022, which term may be extended to April 2025 if mutually agreed to by the parties. As for the potential loan forgiveness, once the PPP loan is, wholly or partially, forgiven and a legal release is received, the liability would be reduced by the amount forgiven and a gain on extinguishment would be recorded.</w:t>
      </w:r>
    </w:p>
    <w:p>
      <w:pPr>
        <w:spacing w:after="0" w:line="60" w:lineRule="exact"/>
        <w:rPr>
          <w:rFonts w:ascii="Arial" w:cs="Arial" w:eastAsia="Arial" w:hAnsi="Arial"/>
          <w:sz w:val="16"/>
          <w:szCs w:val="16"/>
          <w:b w:val="1"/>
          <w:bCs w:val="1"/>
          <w:color w:val="auto"/>
        </w:rPr>
      </w:pPr>
    </w:p>
    <w:p>
      <w:pPr>
        <w:jc w:val="both"/>
        <w:ind w:firstLine="8"/>
        <w:spacing w:after="0" w:line="263" w:lineRule="auto"/>
        <w:tabs>
          <w:tab w:leader="none" w:pos="285"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During 2019, EDC entered into a secured financing arrangement with an affiliate of LSB Funding L.L.C. (“LSB Funding”). Principal and interest are payable in 48 equal monthly installments with a final balloon payment of approximately $3 million due in June 2023. A portion of the proceeds from this secured financing arrangement was used to pay off a secured promissory note that was scheduled to mature in 2019.</w:t>
      </w:r>
    </w:p>
    <w:p>
      <w:pPr>
        <w:spacing w:after="0" w:line="75" w:lineRule="exact"/>
        <w:rPr>
          <w:rFonts w:ascii="Arial" w:cs="Arial" w:eastAsia="Arial" w:hAnsi="Arial"/>
          <w:sz w:val="18"/>
          <w:szCs w:val="18"/>
          <w:b w:val="1"/>
          <w:bCs w:val="1"/>
          <w:color w:val="auto"/>
        </w:rPr>
      </w:pPr>
    </w:p>
    <w:p>
      <w:pPr>
        <w:jc w:val="both"/>
        <w:ind w:firstLine="8"/>
        <w:spacing w:after="0" w:line="279" w:lineRule="auto"/>
        <w:tabs>
          <w:tab w:leader="none" w:pos="294"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During 2019, EDC entered into an interim secured loan agreement with an affiliate of LSB Funding, which provided for available 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loan agreement due in March 2025. Under the terms of the loan, principal and interest will be payable in 60 equal monthly installments.</w:t>
      </w:r>
    </w:p>
    <w:p>
      <w:pPr>
        <w:spacing w:after="0" w:line="63" w:lineRule="exact"/>
        <w:rPr>
          <w:rFonts w:ascii="Arial" w:cs="Arial" w:eastAsia="Arial" w:hAnsi="Arial"/>
          <w:sz w:val="17"/>
          <w:szCs w:val="17"/>
          <w:b w:val="1"/>
          <w:bCs w:val="1"/>
          <w:color w:val="auto"/>
        </w:rPr>
      </w:pPr>
    </w:p>
    <w:p>
      <w:pPr>
        <w:jc w:val="both"/>
        <w:ind w:firstLine="8"/>
        <w:spacing w:after="0" w:line="257" w:lineRule="auto"/>
        <w:tabs>
          <w:tab w:leader="none" w:pos="31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w:t>
      </w:r>
      <w:r>
        <w:rPr>
          <w:rFonts w:ascii="Arial" w:cs="Arial" w:eastAsia="Arial" w:hAnsi="Arial"/>
          <w:sz w:val="18"/>
          <w:szCs w:val="18"/>
          <w:b w:val="1"/>
          <w:bCs w:val="1"/>
          <w:color w:val="auto"/>
        </w:rPr>
        <w:t>by LSB. A portion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proceeds from this secured financing arrangement was used to pay off the Secured Promissory Note that was scheduled to mature in May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(continued)</w:t>
      </w:r>
    </w:p>
    <w:p>
      <w:pPr>
        <w:spacing w:after="0" w:line="12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2020 are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16,893</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12,641</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446,291</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7,427</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Less: Discount, net of premium, and debt issuance costs</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8,648</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484,190</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CARES Act, which was signed into law on March 27, 2020, provides relief to corporate taxpayers by permitting a five-year carryback of 2018-2020 net operating losses (“NOLs”), removing the 80% limitation on the carryback of those NOLs, increasing the Section 163(j) 30% limitation on interest expense deductibility to 50% of adjusted taxable income for 2019 and 2020, and accelerates refunds for minimum tax credit carryforwards, along with other provisions. During 2020, no material adjustments were required to the income tax benefit as a result of the enactment of the CARES Act.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5"/>
              </w:rPr>
              <w:t>(In Thousands)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r>
      <w:tr>
        <w:trPr>
          <w:trHeight w:val="223"/>
        </w:trPr>
        <w:tc>
          <w:tcPr>
            <w:tcW w:w="5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(4,631)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(14,739)</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(6,156)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60" w:type="dxa"/>
            <w:vAlign w:val="bottom"/>
          </w:tcPr>
          <w:p>
            <w:pPr>
              <w:ind w:left="7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provision for federal income taxes shown above includes regular federal income tax after the consideration of permanent and temporary differences between income for GAAP and tax purposes. The current benefit for state income taxes includes regular state income tax and provisions for uncertain income tax positions, and other similar adjustments.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2020, our gross amount of tax credits available to offset state income taxes was not material. Most of these tax credits do not expire and carryforward indefinitely. The gross amount of federal tax credits was $8.1 million. These credits carryforward for 20 years and begin expiring in 2034.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2018, we utilized approximately $3.4 million, which includes the impact of changes in tax law, of state NOL carryforwards to reduce tax liabilities (minimal in 2020 and 2019). At December 31, 2020, we have remaining federal and state tax NOL carryforwards of $629.3 million and $794.4 million, respectively. The federal NOL carryforwards begin expiring in 2033 and the state NOL carryforwards began expiring in 2020.</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In the second quarter of 2018, we established a valuation allowance on a portion of our federal deferred tax assets. Valuation allowances are reflective of our quarterly analysis of the four sources of taxable income, including the calculation of the reversal of existing tax assets and liabilities, the impact of annual utilization limitations of interest expense and net operating losses and our results of operations. Based on our analysis, we believe that it is more-likely-than-not that a portion of our federal deferred tax assets will not be able to be utilized. In addition, we believe that it is more-likely-than-not that a portion of our state deferred tax assets will not be able to be utilized. Information relating to our valuation allowance are included in the two tables below. In 2018, the provision for income taxes includes a reversal of approximately $2.3 million of valuation allowance related to tax law changes in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2,106</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2,142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Right-of-use-assets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6,471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carryforward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36,165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170,362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10,255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 on deferred tax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(64,655)</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(51,589)</w:t>
            </w: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162,846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153,443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(183,335)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(182,572)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(6,508)</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Prepaid and other insurance reserves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(3,942)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deferred tax liabilities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(193,785)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(189,160)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(30,939)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of our loss before taxes relates to domestic operations. Detailed below are the differences between the amount of the provision (benefit) for income taxes and the amount which would result from the application of the federal statutory rate to “Loss before provision (benefit) for income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 at federal statutory rate</w:t>
            </w:r>
          </w:p>
        </w:tc>
        <w:tc>
          <w:tcPr>
            <w:tcW w:w="16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(13,999)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(17,712)</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(14,802)</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State current and deferred income tax benefit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(4,089)</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 Federal</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Valuation allowance - State</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State tax law changes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(660)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(4,749)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534"/>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20" w:type="dxa"/>
            <w:vAlign w:val="bottom"/>
            <w:gridSpan w:val="2"/>
          </w:tcPr>
          <w:p>
            <w:pPr>
              <w:jc w:val="right"/>
              <w:ind w:right="787"/>
              <w:spacing w:after="0"/>
              <w:rPr>
                <w:sz w:val="20"/>
                <w:szCs w:val="20"/>
                <w:color w:val="auto"/>
              </w:rPr>
            </w:pPr>
            <w:r>
              <w:rPr>
                <w:rFonts w:ascii="Arial" w:cs="Arial" w:eastAsia="Arial" w:hAnsi="Arial"/>
                <w:sz w:val="18"/>
                <w:szCs w:val="18"/>
                <w:color w:val="auto"/>
              </w:rPr>
              <w:t>F-21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5"/>
        </w:trPr>
        <w:tc>
          <w:tcPr>
            <w:tcW w:w="4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26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519</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For 2020, 2019, and 2018, if recognized, the effect on the effective tax rate from unrecognized tax benefits would be insignificant.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interest related to unrecognized tax positions in interest expense and penalties in operating other expense. For 2020, 2019 and 2018, the amounts for interest and penalties associated with unrecognized tax benefits were minimal. In addition, the amounts accrued for interest and penalties were minimal at December 31, 2020 and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2016-2020 years remain open for all purposes of examination by the U.S. Internal Revenue Service (“IRS”) and other major tax jurisdictions. During 2018, the IRS concluded their examination of our 2015 tax return and there are no changes to our financial position, results of operations or cash flow resulting from the audit.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and Sales Commitments </w:t>
      </w:r>
      <w:r>
        <w:rPr>
          <w:rFonts w:ascii="Arial" w:cs="Arial" w:eastAsia="Arial" w:hAnsi="Arial"/>
          <w:sz w:val="18"/>
          <w:szCs w:val="18"/>
          <w:color w:val="auto"/>
        </w:rPr>
        <w:t>– We have the following significant purchase and sales commitments.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UAN supply agreement – The Pryor Chemical Company (“PCC”) is party to an agreement with CVR. CVR has the exclusive right (but not the obligation) to purchase all the tons of UAN that are produced by PCC with certain limitations. If CVR fails to take delivery of certain tons, PCC pursuant to the terms of the agreement may immediately sell such unpurchased product to a third-party without restriction. The current term of the agreement expires in June 2021, but includes automatic renewals for one or more additional one-year terms unless terminated by either party. However, CVR may unilaterally terminate the agreement upon 180 days’ advance written notice of termination to PCC; provided, however, that each party’s rights and obligations pertaining to UAN that CVR committed to purchase before such advance notice will survive termination. Additionally, PCC can terminate the agreement upon 90 days’ advance written notice of termination to CVR; provided, however, that each party’s rights and obligations pertaining to UAN that PCC committed to sell prior to such advance notice will survive termination.</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Ammonia supply agreement – EDC is party to an agreement, as amended, with Koch Fertilizer under which Koch Fertilizer agrees to purchase, with minimum purchase requirements, the ammonia that (a) will be produced at the El Dorado Facility and (b) a portion that is in excess of EDC’s needs as defined. As amended, the term of the agreement expires in June 2022 but automatically continues for one or more additional one-year terms unless terminated by either party by delivering a notice of termination at least nine months prior to the end of term in effect.</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Nitric acid supply agreement – EDC is party to an agreement with a customer to supply nitric acid. Under the agreement, EDC agreed to supply between 70,000 to 100,000 tons of nitric acid annually. The initial contract term began in 2021 and extends through 2027 but includes automatic one-year renewal terms unless terminated by either party in writing 180 days before the current contract expiration date.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Natural Gas Purchase and Other Commitments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of our subsidiaries are parties to contracts to purchase natural gas for anticipated production needs at certain of our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2020, these natural gas contracts, which qualify as normal purchases under GAAP and thus are not mark-to-market, included volume purchase commitments of approximately 3.8 million MMBtus of natural gas. These contracts extend through March 2021 at a weighted-average cost of $2.80 per MMBtu ($10.6 million) and a weighted-average market value of $2.36 per MMBtu ($9.0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had standby letters of credit outstanding of approximately $2.5 million at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Wastewater Pipeline Operating Agreement – </w:t>
      </w:r>
      <w:r>
        <w:rPr>
          <w:rFonts w:ascii="Arial" w:cs="Arial" w:eastAsia="Arial" w:hAnsi="Arial"/>
          <w:sz w:val="18"/>
          <w:szCs w:val="18"/>
          <w:color w:val="auto"/>
        </w:rPr>
        <w:t>EDC is party to an operating agreement for the right to use a pipeline to dispose its wastewater. EDC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obligated to pay a portion of the operating costs of the pipeline, which portion is estimated to be $100,000 to $150,000 annually. The initial term of the operating agreement is through December 2053.</w:t>
      </w:r>
    </w:p>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2020, we have agreed to indemnify the sureties for payments, up to $10 million, made by them in respect of such bonds. All of these insurance bonds are expected to expire or be renewed in 2021.</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Employment and Severance Agreements - </w:t>
      </w:r>
      <w:r>
        <w:rPr>
          <w:rFonts w:ascii="Arial" w:cs="Arial" w:eastAsia="Arial" w:hAnsi="Arial"/>
          <w:sz w:val="18"/>
          <w:szCs w:val="18"/>
          <w:color w:val="auto"/>
        </w:rPr>
        <w:t>We have employment and severance agreements with several of our officers. The agreements,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annual base salaries, bonuses and other benefits commonly found in such agreements. In the event of termination of employment due to a change in control (as defined in the agreements), the agreements provide for payments aggregating $8.6 million at December 31, 2020. Also see Note 14-Related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Settlements of Gain Contingencies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EDC and certain vendors mediated settlements for EDC to recover certain costs associated with a nitric acid plant at our El Dorado Facility. The construction of this plant was completed, and the plant began production in 2016. As a result of the settlements, the vendors paid EDC $4.3 million, provided parts totaling $0.3 million and have agreed to provide services and parts totaling $2.5 million, which amount, or portion thereof, may be paid in cash at the option of the vendors (amount included in noncurrent accounts receivable, which is classified as a noncurrent other asset at December 31, 2020). As part of the settlements, EDC paid the vendors $2.7 million to settle $3.2 million of invoices that were held in our accounts payable. As a result, the recovery from these settlements recognized during 2020 includes approximately $5.7 million classified as a reduction to cost of sales and approximately $1.9 million classified as a reduction to PP&amp;E.</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2018, we and a vendor mediated a settlement relating primarily to a business interruption claim caused by defective work performed by the vendor at our Pryor Facility. As a result of the settlement, the vendor paid us $4.0 million. As part of the settlement, we paid the vendor $0.5 million to settle $1.1 million of invoices that were held in our accounts payable. As a result, we recognized during 2018 a recovery from this settlement totaling $4.6 million of which $4.4 million was classified as a reduction to cost of sales and the remaining balance of $0.2 million classified as a reduction to PP&amp;E.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December 31, 2020, our accrued liabilities for environmental matters totaled $468,000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Also, see discussion in Note 5 </w:t>
      </w:r>
      <w:r>
        <w:rPr>
          <w:rFonts w:ascii="Arial" w:cs="Arial" w:eastAsia="Arial" w:hAnsi="Arial"/>
          <w:sz w:val="18"/>
          <w:szCs w:val="18"/>
          <w:b w:val="1"/>
          <w:bCs w:val="1"/>
          <w:color w:val="auto"/>
        </w:rPr>
        <w:t>–</w:t>
      </w:r>
      <w:r>
        <w:rPr>
          <w:rFonts w:ascii="Arial" w:cs="Arial" w:eastAsia="Arial" w:hAnsi="Arial"/>
          <w:sz w:val="18"/>
          <w:szCs w:val="18"/>
          <w:color w:val="auto"/>
        </w:rPr>
        <w:t xml:space="preserve"> Asset Retirement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In February 2019, the Evaluation Report was submitted to the ADEQ and the ADEQ approved the report in August 2019. No liability has been established at December 31, 2020, in connection with this ADEQ matter.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final remedy, including the EUC, the finalization of the cost estimates and any required financial assurances remains under discussion with the KDHE, but continues to be delayed due to the impact from the COVID-19 pandemic.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estimated amount is not discounted to its present value. As more information becomes available, our estimated accrual will be refined, as necessary.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December 31, 2020, no liability reserve has been established in connection with this matter.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25, 2018, the Court bifurcated the case into: (1) Global’s claims against Leidos and LSB, and (2) the cross-claims between Leidos and LSB. Part (1) of the case was tried in the Court during the fall of 2018 and the Court rendered an interim judgment in March 2020 and issued its final judgment on April 23, 2020. In summary, the judgment awarded Global (i) approximately $7.4 million (amount includes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As a result of the judgment, we accounted for the following:</w:t>
      </w:r>
    </w:p>
    <w:p>
      <w:pPr>
        <w:spacing w:after="0" w:line="84" w:lineRule="exact"/>
        <w:rPr>
          <w:sz w:val="20"/>
          <w:szCs w:val="20"/>
          <w:color w:val="auto"/>
        </w:rPr>
      </w:pPr>
    </w:p>
    <w:p>
      <w:pPr>
        <w:ind w:left="740" w:hanging="368"/>
        <w:spacing w:after="0" w:line="258"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accrued an additional $3.9 million in accounts payable, which offset amount was capitalized as PP&amp;E, since such costs directly related to the construction of the Ammonia Plant;</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recognized additional depreciation expense of $0.5 million associated with the amount above capitalized to PP&amp;E, which offset amount was a credit to PP&amp;E (accumulated depreciation);</w:t>
      </w:r>
    </w:p>
    <w:p>
      <w:pPr>
        <w:ind w:left="740" w:hanging="368"/>
        <w:spacing w:after="0"/>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accrued prejudgment and post-judgment interest totaling $1.6 million in accrued interest, which offset amount was classified as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liability was established at December 31, 2020 or 2019, in connection with the cross-claims in Part (2) of the matter, except for certain invoices held in accounts payable.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2020, we entered into certain forward natural gas contracts (“natural gas contracts”), which are accounted for on a mark-to-market basis. We are utilizing these natural gas contracts as economic hedges for risk management purposes, but these contracts are not designated as hedging instruments. At December 31, 2020, our natural gas contracts included 7.3 million MMBtu of natural gas and extend through December 2021 (there were none at December 31, 2019). The valuations of the natural gas contracts are classified as Level 2. At December 31, 2020, the valuation inputs included the contractual weighted-average cost of $2.65 per MMBtu and the weighted-average market value of $2.49 per MMBtu.</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we recognized a $1.6 million loss (none for 2019 or 2018), classified as cost of sales, which amount includes an unrealized loss of $1.2 million attributed to natural gas contracts still held at the reporting date.</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Embedded Derivative</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10, 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2020 and 2019, we had estimated that the contingent redemption features had fair value since we had assessed that it was probable that a portion of the shares of this preferred stock would have been redeemed prior to October 25, 2023. For certain other embedded features, we had estimated no fair value.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embedded derivative included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and 2019, the fair value of the embedded derivative included the valuation of the participation rights, which was based on the equivalent of 303,646 shares of our common stock at $3.39 and $4.20 per share, respectively.</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Hedges and Financial Instruments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2020, 2019 and 2018, we recognized unrealized gains of approximately $0.1 million, $0.5 million and $1.2 million, respectively, due to the change in fair value of the embedded derivative. These unrealized gains are included in non-operating other income and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December 31, 2020 and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center"/>
              <w:ind w:left="721"/>
              <w:spacing w:after="0"/>
              <w:rPr>
                <w:sz w:val="20"/>
                <w:szCs w:val="20"/>
                <w:color w:val="auto"/>
              </w:rPr>
            </w:pPr>
            <w:r>
              <w:rPr>
                <w:rFonts w:ascii="Arial" w:cs="Arial" w:eastAsia="Arial" w:hAnsi="Arial"/>
                <w:sz w:val="14"/>
                <w:szCs w:val="14"/>
                <w:color w:val="auto"/>
                <w:w w:val="92"/>
              </w:rPr>
              <w:t>Fair Value Measurements at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721"/>
              <w:spacing w:after="0"/>
              <w:rPr>
                <w:sz w:val="20"/>
                <w:szCs w:val="20"/>
                <w:color w:val="auto"/>
              </w:rPr>
            </w:pPr>
            <w:r>
              <w:rPr>
                <w:rFonts w:ascii="Arial" w:cs="Arial" w:eastAsia="Arial" w:hAnsi="Arial"/>
                <w:sz w:val="14"/>
                <w:szCs w:val="14"/>
                <w:color w:val="auto"/>
                <w:w w:val="92"/>
              </w:rPr>
              <w:t>December 31, 2020 Using</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0"/>
              </w:rPr>
              <w:t>Quoted Prices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in Active</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4"/>
              </w:rPr>
              <w:t>Total 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Markets for</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Identical</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2"/>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Unobservable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Value at</w:t>
            </w: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0"/>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Assets</w:t>
            </w:r>
          </w:p>
        </w:tc>
        <w:tc>
          <w:tcPr>
            <w:tcW w:w="14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4"/>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r>
      <w:tr>
        <w:trPr>
          <w:trHeight w:val="167"/>
        </w:trPr>
        <w:tc>
          <w:tcPr>
            <w:tcW w:w="510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Description</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89"/>
              </w:rPr>
              <w:t>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5"/>
              </w:rPr>
              <w:t>(Level 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99"/>
              </w:rPr>
              <w:t>(Level 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8"/>
              </w:rPr>
              <w:t xml:space="preserve">(Level 3) </w:t>
            </w:r>
            <w:r>
              <w:rPr>
                <w:rFonts w:ascii="Arial" w:cs="Arial" w:eastAsia="Arial" w:hAnsi="Arial"/>
                <w:sz w:val="12"/>
                <w:szCs w:val="12"/>
                <w:color w:val="auto"/>
                <w:w w:val="98"/>
              </w:rPr>
              <w:t>(1)</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4"/>
                <w:szCs w:val="14"/>
                <w:color w:val="auto"/>
              </w:rPr>
            </w:pPr>
          </w:p>
        </w:tc>
      </w:tr>
      <w:tr>
        <w:trPr>
          <w:trHeight w:val="155"/>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1,285</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1,285</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FF0FC"/>
          </w:tcPr>
          <w:p>
            <w:pPr>
              <w:ind w:left="7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368"/>
        <w:spacing w:after="0"/>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There was no Level 3 transfer activity during 2020, 2019 or 2018.</w:t>
      </w:r>
    </w:p>
    <w:p>
      <w:pPr>
        <w:spacing w:after="0" w:line="113"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Series E Redeemable Preferred has a 14% annual dividend rate and a participating right in dividends and liquidating distributions equal to 303,646 shares of common stock (participation rights value). Dividends accrue semi-annually in arrears and are compounded. Dividends are payable only when and if declared by our Board of Directors (the “Board”).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terms of the Series E Redeemable Preferred, the annual dividend rate will increase (a) by 0.50% in April 2021 (b) by an additional 0.50% in April 2022 and (c) by an additional 1.0% in April 2023.</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“Liquidation Preference”). The participation rights value is the product of the pro rata number of Series E Redeemable Preferred shares being redeemed and the price of our common stock as of such date.</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2018, in connection with the issuance and sale of the Notes as discussed in Note 6, we entered into a letter agreement with the holder of our Series E Redeemable Preferred. The letter agreement extended the date upon which the holder of the Series E Redeemable Preferred has the right to elect to redeem the Series E Redeemable Preferred shares from August 2, 2019 to October 25, 2023. The letter agreement also provided for the amendment of certain other terms relating to the Series E Redeemable Preferred, including an increase in the per annum dividend rate payable in respect of the Series E Redeemable Preferred as described above. To reflect the changes stated in the letter agreement, we subsequently entered into a securities exchange agreement by and between LSB and the holder and entered into the Certificate of Designations (“COD”)setting forth the rights, preferences, privileges and restrictions currently applicable to the Series E Redeemable Preferred and Series F Redeemable Preferred, as filed with the Secretary of State of the State of Delaware (the “Series E COD” and “Series F COD”). The Series E COD authorizes 139,768 shares of Series E Redeemable Preferred, which is the number of shares outstanding at December 31, 2020 and 2019.</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associated with the letter agreement was determined to be a non-substantial modification. As a result, a fee of approximately $2.8 million paid to the holder was deferred (reducing the Series E Redeemable Preferred balance) and is periodically accreted using the interest method through October 25, 2023, the earliest possible redemption date by the holder. In addition, the letter agreement included a contingent redemption feature, which was bifurcated from the Series E Redeemable Preferred.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Stocks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E Redeemable Preferred ranks (i) senior to the common stock, the Series B 12% Cumulative Convertible Preferred Stock, the Series D 6% Cumulative Convertible Class C Preferred Stock, the Series 4 Junior Participating Class C Preferred Stock and any other class or series of stock of LSB (other than Series E Redeemable Preferred) that ranks junior to the Series E Redeemable Preferred either or both as to the payment of dividends and/or as to the distribution of assets on any liquidation, dissolution or winding up of the Corporation (the “Junior Stock”); (ii) on a parity with the other shares of Series E Redeemable Preferred and any other class or series of stock of LSB (other than Series E Redeemable Preferred) created after the date of the Series E COD (that specifically ranks pari passu to the Series E Redeemable Preferred) and (iii) junior to any other class or series of stock of LSB created after the date of the Series E COD that specifically ranks senior to the Series E Redeemable Preferred.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Generally, the holders of the Series E Redeemable Preferred Shares (the “Series E Holders”) will not have any voting rights or powers, and consent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E Holders will not be required for taking of any action by us. However, the Series E Holders’ consent is required for:</w:t>
      </w:r>
    </w:p>
    <w:p>
      <w:pPr>
        <w:spacing w:after="0" w:line="9"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amendments to increase or decrease the authorized amount of Series E Redeemable Preferred,</w:t>
      </w:r>
    </w:p>
    <w:p>
      <w:pPr>
        <w:spacing w:after="0" w:line="9"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creation or increase of any shares of any class or series of capital stock of LSB ranking pari passu with or senior to the Series E Redeemable Preferred, or</w:t>
      </w: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amendment that adversely affect the powers, preferences or special rights of the Series E Redeemable Preferred.</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any time on or after October 25, 2023, each Series E Holder has the right to elect to have such holder’s shares redeemed by us at a redemption price per share equal to the Liquidation Preference of such share as of the redemption date. Additionally, we, at our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E Redeemable Preferred is redeemable outside of our control and is therefore classified as temporary/mezzanine equity. As a result of an analysis performed on the embedded derivatives within the Series E Redeemable Preferred, certain contingent redemption features were determined to not be clearly and closely related to the debt-like host and also did not meet any other scope exceptions for derivative accounting. Therefore, these redemption features and participation rights value are being accounted for as derivative instruments and the fair value of these derivative instruments were bifurcated from the Series E Redeemable Preferred and recorded as a liability. See discussion in Note 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Series F COD authorizes one (1) share of Series F Redeemable Preferred.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F Redeemable Preferred ranks (i) senior to our common stock and (ii) ranks junior to LSB’s Series B 12% Cumulative Convertible Preferred Stock, Series D 6% Cumulative Convertible Class C Preferred Stock, Series 4 Junior Participating Class C Preferred Stock, Series E Redeemable Preferred and any other class or series of stock of LSB after the date of the Series F COD that specifically ranks senior to the Series F Redeemable Preferred.</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Series F Redeemable Preferred will be automatically redeemed by LSB, in whole and not in part, for $0.01 immediately following the date upon which the Series F Voting Rights have been reduced to zero.</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event of liquidation, the Series F Redeemable Preferred is entitled to receive its liquidation preference of $100 before any such distribution of assets or proceeds is made to or set aside for the holders of our common stock and any other stock junior to the Series F Redeemable Preferred.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Series E Redeemable Preferred</w:t>
            </w: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Series F Redeemable Preferred</w:t>
            </w:r>
          </w:p>
        </w:tc>
      </w:tr>
      <w:tr>
        <w:trPr>
          <w:trHeight w:val="156"/>
        </w:trPr>
        <w:tc>
          <w:tcPr>
            <w:tcW w:w="5240" w:type="dxa"/>
            <w:vAlign w:val="bottom"/>
          </w:tcPr>
          <w:p>
            <w:pPr>
              <w:spacing w:after="0"/>
              <w:rPr>
                <w:sz w:val="13"/>
                <w:szCs w:val="13"/>
                <w:color w:val="auto"/>
              </w:rPr>
            </w:pPr>
          </w:p>
        </w:tc>
        <w:tc>
          <w:tcPr>
            <w:tcW w:w="1240" w:type="dxa"/>
            <w:vAlign w:val="bottom"/>
            <w:tcBorders>
              <w:top w:val="single" w:sz="8" w:color="auto"/>
              <w:bottom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4"/>
          </w:tcPr>
          <w:p>
            <w:pPr>
              <w:ind w:left="300"/>
              <w:spacing w:after="0" w:line="155" w:lineRule="exact"/>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234,893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15"/>
        </w:trPr>
        <w:tc>
          <w:tcPr>
            <w:tcW w:w="524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5"/>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35,182</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2016 Long Term Incentive Plan </w:t>
      </w:r>
      <w:r>
        <w:rPr>
          <w:rFonts w:ascii="Arial" w:cs="Arial" w:eastAsia="Arial" w:hAnsi="Arial"/>
          <w:sz w:val="18"/>
          <w:szCs w:val="18"/>
          <w:color w:val="auto"/>
        </w:rPr>
        <w:t>– During 2016, our Board adopted our 2016 Long Term Incentive Plan (the “2016 Plan”), which plan was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our shareholders at our annual meeting of shareholders held on June 2, 2016. The effective date of the 2016 Plan is April 19, 2016 and no awards may be granted under the 2016 Plan on and after the tenth anniversary of its effective date.</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no further awards will be granted under our 2008 Incentive Stock Plan (the “2008 Plan”) on or after the effective date of the 2016 Plan. Any awards that remain outstanding under the 2008 Plan will continue to be governed by the respective plan’s terms and the terms of the specific award agreement, as applicable.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aggregate number of shares reserved and available for issuance under the 2016 Plan shall not exceed 2,750,000 shares plus any shares that become available for reissuance under the share counting provisions of the 2008 Plan following the effective date of the 2016 Plan, subject to adjustment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is administered by the compensation committee (the “Committee”) of our Board. Our Board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2016 Plan:</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Stock Awards, Restricted Stock, Restricted Stock Units, and Other Awards </w:t>
      </w:r>
      <w:r>
        <w:rPr>
          <w:rFonts w:ascii="Arial" w:cs="Arial" w:eastAsia="Arial" w:hAnsi="Arial"/>
          <w:sz w:val="17"/>
          <w:szCs w:val="17"/>
          <w:color w:val="auto"/>
        </w:rPr>
        <w:t>– The Committee may grant awards of restricted stock,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Appreciation Rights (“SARs”) </w:t>
      </w:r>
      <w:r>
        <w:rPr>
          <w:rFonts w:ascii="Arial" w:cs="Arial" w:eastAsia="Arial" w:hAnsi="Arial"/>
          <w:sz w:val="18"/>
          <w:szCs w:val="18"/>
          <w:color w:val="auto"/>
        </w:rPr>
        <w:t>– The Committee may grant SARs as a right in tandem with the number of shares underlying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2016 Plan or on a stand-alone basis. SARs are the right to receive payment per share of the SAR exercised in stock or in cash equal to the excess of the share’s fair market value, as defined in the 2016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The Committee may grant either incentive stock options or non-qualified stock options. The Committee sets option exercise prices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Incentive Plans </w:t>
      </w:r>
      <w:r>
        <w:rPr>
          <w:rFonts w:ascii="Arial" w:cs="Arial" w:eastAsia="Arial" w:hAnsi="Arial"/>
          <w:sz w:val="18"/>
          <w:szCs w:val="18"/>
          <w:color w:val="auto"/>
        </w:rPr>
        <w:t>- The following information relates to our long-term incentive plans:</w:t>
      </w:r>
    </w:p>
    <w:p>
      <w:pPr>
        <w:spacing w:after="0" w:line="28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 2020</w:t>
            </w:r>
          </w:p>
        </w:tc>
      </w:tr>
      <w:tr>
        <w:trPr>
          <w:trHeight w:val="155"/>
        </w:trPr>
        <w:tc>
          <w:tcPr>
            <w:tcW w:w="5420" w:type="dxa"/>
            <w:vAlign w:val="bottom"/>
          </w:tcPr>
          <w:p>
            <w:pPr>
              <w:spacing w:after="0"/>
              <w:rPr>
                <w:sz w:val="13"/>
                <w:szCs w:val="13"/>
                <w:color w:val="auto"/>
              </w:rPr>
            </w:pPr>
          </w:p>
        </w:tc>
        <w:tc>
          <w:tcPr>
            <w:tcW w:w="12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2016 Plan</w:t>
            </w:r>
          </w:p>
        </w:tc>
        <w:tc>
          <w:tcPr>
            <w:tcW w:w="108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2008 Plan</w:t>
            </w:r>
          </w:p>
        </w:tc>
        <w:tc>
          <w:tcPr>
            <w:tcW w:w="80" w:type="dxa"/>
            <w:vAlign w:val="bottom"/>
          </w:tcPr>
          <w:p>
            <w:pPr>
              <w:spacing w:after="0"/>
              <w:rPr>
                <w:sz w:val="13"/>
                <w:szCs w:val="13"/>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Maximum number of securities for issuance</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2,750,000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Number of awards available to be granted (1)</w:t>
            </w:r>
          </w:p>
        </w:tc>
        <w:tc>
          <w:tcPr>
            <w:tcW w:w="1080" w:type="dxa"/>
            <w:vAlign w:val="bottom"/>
          </w:tcPr>
          <w:p>
            <w:pPr>
              <w:jc w:val="right"/>
              <w:spacing w:after="0"/>
              <w:rPr>
                <w:sz w:val="20"/>
                <w:szCs w:val="20"/>
                <w:color w:val="auto"/>
              </w:rPr>
            </w:pPr>
            <w:r>
              <w:rPr>
                <w:rFonts w:ascii="Arial" w:cs="Arial" w:eastAsia="Arial" w:hAnsi="Arial"/>
                <w:sz w:val="18"/>
                <w:szCs w:val="18"/>
                <w:color w:val="auto"/>
              </w:rPr>
              <w:t>1,016,951</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Number of unvested restricted stock/performance-based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stock/restricted stock units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1,169,527</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Number of options outstanding</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 exercisable</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FF0FC"/>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ind w:left="500" w:right="20" w:hanging="492"/>
        <w:spacing w:after="0" w:line="293"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2008 Plan shares canceled, forfeited, expired unexercised, which became available for reissuance under the 2016 Plan after the effective date of the 2016 Plan.</w:t>
      </w:r>
    </w:p>
    <w:p>
      <w:pPr>
        <w:spacing w:after="0" w:line="5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Restricted Stock and Restricted Stock Units </w:t>
      </w:r>
      <w:r>
        <w:rPr>
          <w:rFonts w:ascii="Arial" w:cs="Arial" w:eastAsia="Arial" w:hAnsi="Arial"/>
          <w:sz w:val="16"/>
          <w:szCs w:val="16"/>
          <w:color w:val="auto"/>
        </w:rPr>
        <w:t>– During 2020, 2019, and 2018, the Committee approved various grants under the 2016 Plan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to certain executives and employees. These shares have vesting provisions including vesting at the end of each one-year period at the rate of one-third per year for three years, vesting 100% at the end of three years, and vesting 100% at the end of one year. The unvested restricted shares carry dividend and voting rights. Sales of these shares are restricted prior to the date of vesting. Pursuant to the terms of the underlying restricted stock agreements, unvested restricted shares will immediately vest upon the occurrence of a change in control (as defined by agreement), termination without cause or death.</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Committee approved the grant of shares of restricted stock and performance based restricted stock (“PBRS”) to a certain executive. These shares are reflected in the 2020 information below.</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31, 2019, the Committee approved the grant of 275,119 shares of performance-based restricted stock to certain executives. Key information to finalize the performance targets and range of vesting shares was approved by the Board during February 2020, which is the grant date for financial reporting purposes. The terms of this PBRS grant are discussed below and these PBRS shares are reflected in the 2020 information below.</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2018, the Committee approved the grant of 210,602 shares of PBRS to certain executives. Key information to finalize the performance targets and range of vesting shares was approved by the Board during January 2019, which is the grant date for financial reporting purposes. The terms of this PBRS grant are discussed below and these PBRS shares are reflected in the 2019 information below.</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2019, and 2018, the Committee approved the grant of shares of restricted stock units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first anniversary of the grant date (for 2020 grants), (iii) the third anniversary of the grant date (for 2019 and 2018 grants), or (iv) the occurrence of a change of control as defined by the agreement. Based on terms of the RSU agreements, the grant date fair value was recognized as stock-based compensation expense (SG&amp;A) on the grant date in each respective year.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during 2020 is presented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vMerge w:val="restart"/>
          </w:tcPr>
          <w:p>
            <w:pPr>
              <w:jc w:val="right"/>
              <w:ind w:right="538"/>
              <w:spacing w:after="0"/>
              <w:rPr>
                <w:sz w:val="20"/>
                <w:szCs w:val="20"/>
                <w:color w:val="auto"/>
              </w:rPr>
            </w:pPr>
            <w:r>
              <w:rPr>
                <w:rFonts w:ascii="Arial" w:cs="Arial" w:eastAsia="Arial" w:hAnsi="Arial"/>
                <w:sz w:val="14"/>
                <w:szCs w:val="14"/>
                <w:b w:val="1"/>
                <w:bCs w:val="1"/>
                <w:color w:val="auto"/>
              </w:rPr>
              <w:t>Restricted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8"/>
          </w:tcPr>
          <w:p>
            <w:pPr>
              <w:jc w:val="right"/>
              <w:ind w:right="199"/>
              <w:spacing w:after="0"/>
              <w:rPr>
                <w:sz w:val="20"/>
                <w:szCs w:val="20"/>
                <w:color w:val="auto"/>
              </w:rPr>
            </w:pPr>
            <w:r>
              <w:rPr>
                <w:rFonts w:ascii="Arial" w:cs="Arial" w:eastAsia="Arial" w:hAnsi="Arial"/>
                <w:sz w:val="14"/>
                <w:szCs w:val="14"/>
                <w:b w:val="1"/>
                <w:bCs w:val="1"/>
                <w:color w:val="auto"/>
              </w:rPr>
              <w:t>Performance-Based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8"/>
            <w:vMerge w:val="restart"/>
          </w:tcPr>
          <w:p>
            <w:pPr>
              <w:jc w:val="center"/>
              <w:ind w:right="60"/>
              <w:spacing w:after="0"/>
              <w:rPr>
                <w:sz w:val="20"/>
                <w:szCs w:val="20"/>
                <w:color w:val="auto"/>
              </w:rPr>
            </w:pPr>
            <w:r>
              <w:rPr>
                <w:rFonts w:ascii="Arial" w:cs="Arial" w:eastAsia="Arial" w:hAnsi="Arial"/>
                <w:sz w:val="14"/>
                <w:szCs w:val="14"/>
                <w:b w:val="1"/>
                <w:bCs w:val="1"/>
                <w:color w:val="auto"/>
                <w:w w:val="91"/>
              </w:rPr>
              <w:t>Restricted Stock Units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299"/>
              <w:spacing w:after="0"/>
              <w:rPr>
                <w:sz w:val="20"/>
                <w:szCs w:val="20"/>
                <w:color w:val="auto"/>
              </w:rPr>
            </w:pPr>
            <w:r>
              <w:rPr>
                <w:rFonts w:ascii="Arial" w:cs="Arial" w:eastAsia="Arial" w:hAnsi="Arial"/>
                <w:sz w:val="14"/>
                <w:szCs w:val="14"/>
                <w:b w:val="1"/>
                <w:bCs w:val="1"/>
                <w:color w:val="auto"/>
              </w:rPr>
              <w:t>Restricted Stock</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8"/>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5"/>
            <w:vMerge w:val="restart"/>
          </w:tcPr>
          <w:p>
            <w:pPr>
              <w:jc w:val="right"/>
              <w:ind w:right="17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80" w:type="dxa"/>
            <w:vAlign w:val="bottom"/>
            <w:tcBorders>
              <w:bottom w:val="single" w:sz="8" w:color="CFF0FC"/>
            </w:tcBorders>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5"/>
          </w:tcPr>
          <w:p>
            <w:pPr>
              <w:jc w:val="center"/>
              <w:ind w:left="139"/>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gridSpan w:val="5"/>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Unvested outstanding beginning of year</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618,072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221,439</w:t>
            </w:r>
          </w:p>
        </w:tc>
        <w:tc>
          <w:tcPr>
            <w:tcW w:w="4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86,340</w:t>
            </w:r>
          </w:p>
        </w:tc>
        <w:tc>
          <w:tcPr>
            <w:tcW w:w="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34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6.51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31,138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306,257</w:t>
            </w: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1140" w:type="dxa"/>
            <w:vAlign w:val="bottom"/>
            <w:gridSpan w:val="7"/>
          </w:tcPr>
          <w:p>
            <w:pPr>
              <w:jc w:val="right"/>
              <w:spacing w:after="0"/>
              <w:rPr>
                <w:sz w:val="20"/>
                <w:szCs w:val="20"/>
                <w:color w:val="auto"/>
              </w:rPr>
            </w:pPr>
            <w:r>
              <w:rPr>
                <w:rFonts w:ascii="Arial" w:cs="Arial" w:eastAsia="Arial" w:hAnsi="Arial"/>
                <w:sz w:val="18"/>
                <w:szCs w:val="18"/>
                <w:color w:val="auto"/>
              </w:rPr>
              <w:t>231,816</w:t>
            </w:r>
          </w:p>
        </w:tc>
        <w:tc>
          <w:tcPr>
            <w:tcW w:w="80" w:type="dxa"/>
            <w:vAlign w:val="bottom"/>
          </w:tcPr>
          <w:p>
            <w:pPr>
              <w:spacing w:after="0"/>
              <w:rPr>
                <w:sz w:val="21"/>
                <w:szCs w:val="21"/>
                <w:color w:val="auto"/>
              </w:rPr>
            </w:pPr>
          </w:p>
        </w:tc>
        <w:tc>
          <w:tcPr>
            <w:tcW w:w="780" w:type="dxa"/>
            <w:vAlign w:val="bottom"/>
            <w:gridSpan w:val="2"/>
          </w:tcPr>
          <w:p>
            <w:pPr>
              <w:jc w:val="center"/>
              <w:ind w:right="34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3"/>
              </w:rPr>
              <w:t>(283,418)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tcBorders>
              <w:lef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8"/>
            <w:shd w:val="clear" w:color="auto" w:fill="CFF0FC"/>
          </w:tcPr>
          <w:p>
            <w:pPr>
              <w:jc w:val="right"/>
              <w:ind w:right="20"/>
              <w:spacing w:after="0"/>
              <w:rPr>
                <w:sz w:val="20"/>
                <w:szCs w:val="20"/>
                <w:color w:val="auto"/>
              </w:rPr>
            </w:pPr>
            <w:r>
              <w:rPr>
                <w:rFonts w:ascii="Arial" w:cs="Arial" w:eastAsia="Arial" w:hAnsi="Arial"/>
                <w:sz w:val="18"/>
                <w:szCs w:val="18"/>
                <w:color w:val="auto"/>
              </w:rPr>
              <w:t>(18,996)</w:t>
            </w:r>
          </w:p>
        </w:tc>
        <w:tc>
          <w:tcPr>
            <w:tcW w:w="780" w:type="dxa"/>
            <w:vAlign w:val="bottom"/>
            <w:gridSpan w:val="2"/>
            <w:shd w:val="clear" w:color="auto" w:fill="CFF0FC"/>
          </w:tcPr>
          <w:p>
            <w:pPr>
              <w:jc w:val="center"/>
              <w:ind w:right="34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9.87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Cancelled or forfeited</w:t>
            </w:r>
          </w:p>
        </w:tc>
        <w:tc>
          <w:tcPr>
            <w:tcW w:w="2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(23,121)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34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outstanding end of year</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342,671</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527,696</w:t>
            </w:r>
          </w:p>
        </w:tc>
        <w:tc>
          <w:tcPr>
            <w:tcW w:w="460" w:type="dxa"/>
            <w:vAlign w:val="bottom"/>
            <w:tcBorders>
              <w:top w:val="single" w:sz="8" w:color="CFF0FC"/>
              <w:bottom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92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299,160</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780" w:type="dxa"/>
            <w:vAlign w:val="bottom"/>
            <w:tcBorders>
              <w:top w:val="single" w:sz="8" w:color="CFF0FC"/>
              <w:bottom w:val="single" w:sz="8" w:color="CFF0FC"/>
            </w:tcBorders>
            <w:gridSpan w:val="2"/>
            <w:shd w:val="clear" w:color="auto" w:fill="CFF0FC"/>
          </w:tcPr>
          <w:p>
            <w:pPr>
              <w:jc w:val="center"/>
              <w:ind w:right="34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2.11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restricted stock granted</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31,138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285,956</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369,350</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 fair value of restricted stock granted</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87,000</w:t>
            </w:r>
          </w:p>
        </w:tc>
        <w:tc>
          <w:tcPr>
            <w:tcW w:w="40" w:type="dxa"/>
            <w:vAlign w:val="bottom"/>
          </w:tcPr>
          <w:p>
            <w:pPr>
              <w:spacing w:after="0"/>
              <w:rPr>
                <w:sz w:val="19"/>
                <w:szCs w:val="19"/>
                <w:color w:val="auto"/>
              </w:rPr>
            </w:pPr>
          </w:p>
        </w:tc>
        <w:tc>
          <w:tcPr>
            <w:tcW w:w="520" w:type="dxa"/>
            <w:vAlign w:val="bottom"/>
            <w:gridSpan w:val="2"/>
          </w:tcPr>
          <w:p>
            <w:pPr>
              <w:jc w:val="center"/>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7"/>
              </w:rPr>
              <w:t>1,223,000</w:t>
            </w:r>
          </w:p>
        </w:tc>
        <w:tc>
          <w:tcPr>
            <w:tcW w:w="60" w:type="dxa"/>
            <w:vAlign w:val="bottom"/>
          </w:tcPr>
          <w:p>
            <w:pPr>
              <w:spacing w:after="0"/>
              <w:rPr>
                <w:sz w:val="19"/>
                <w:szCs w:val="19"/>
                <w:color w:val="auto"/>
              </w:rPr>
            </w:pP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2,019,000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2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Weighted-average fair value per restricted stock granted during year</w:t>
            </w:r>
          </w:p>
        </w:tc>
        <w:tc>
          <w:tcPr>
            <w:tcW w:w="880" w:type="dxa"/>
            <w:vAlign w:val="bottom"/>
            <w:gridSpan w:val="3"/>
            <w:shd w:val="clear" w:color="auto" w:fill="CFF0FC"/>
          </w:tcPr>
          <w:p>
            <w:pPr>
              <w:ind w:left="4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2.81</w:t>
            </w:r>
          </w:p>
        </w:tc>
        <w:tc>
          <w:tcPr>
            <w:tcW w:w="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center"/>
              <w:ind w:right="7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Stock-based compensation expense - Cost of sales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62,000</w:t>
            </w:r>
          </w:p>
        </w:tc>
        <w:tc>
          <w:tcPr>
            <w:tcW w:w="40" w:type="dxa"/>
            <w:vAlign w:val="bottom"/>
          </w:tcPr>
          <w:p>
            <w:pPr>
              <w:spacing w:after="0"/>
              <w:rPr>
                <w:sz w:val="19"/>
                <w:szCs w:val="19"/>
                <w:color w:val="auto"/>
              </w:rPr>
            </w:pPr>
          </w:p>
        </w:tc>
        <w:tc>
          <w:tcPr>
            <w:tcW w:w="520" w:type="dxa"/>
            <w:vAlign w:val="bottom"/>
            <w:gridSpan w:val="2"/>
          </w:tcPr>
          <w:p>
            <w:pPr>
              <w:jc w:val="center"/>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255,000</w:t>
            </w:r>
          </w:p>
        </w:tc>
        <w:tc>
          <w:tcPr>
            <w:tcW w:w="60" w:type="dxa"/>
            <w:vAlign w:val="bottom"/>
          </w:tcPr>
          <w:p>
            <w:pPr>
              <w:spacing w:after="0"/>
              <w:rPr>
                <w:sz w:val="19"/>
                <w:szCs w:val="19"/>
                <w:color w:val="auto"/>
              </w:rPr>
            </w:pP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Stock-based compensation expense - SG&amp;A (1)</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ind w:left="4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1,078,000</w:t>
            </w:r>
          </w:p>
        </w:tc>
        <w:tc>
          <w:tcPr>
            <w:tcW w:w="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center"/>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7"/>
              </w:rPr>
              <w:t>1,263,000</w:t>
            </w:r>
          </w:p>
        </w:tc>
        <w:tc>
          <w:tcPr>
            <w:tcW w:w="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7,574,000</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tcPr>
          <w:p>
            <w:pPr>
              <w:jc w:val="right"/>
              <w:spacing w:after="0"/>
              <w:rPr>
                <w:sz w:val="20"/>
                <w:szCs w:val="20"/>
                <w:color w:val="auto"/>
              </w:rPr>
            </w:pPr>
            <w:r>
              <w:rPr>
                <w:rFonts w:ascii="Arial" w:cs="Arial" w:eastAsia="Arial" w:hAnsi="Arial"/>
                <w:sz w:val="18"/>
                <w:szCs w:val="18"/>
                <w:b w:val="1"/>
                <w:bCs w:val="1"/>
                <w:color w:val="auto"/>
              </w:rPr>
              <w:t>(279,000)</w:t>
            </w:r>
          </w:p>
        </w:tc>
        <w:tc>
          <w:tcPr>
            <w:tcW w:w="520" w:type="dxa"/>
            <w:vAlign w:val="bottom"/>
            <w:gridSpan w:val="2"/>
          </w:tcPr>
          <w:p>
            <w:pPr>
              <w:jc w:val="center"/>
              <w:ind w:right="79"/>
              <w:spacing w:after="0"/>
              <w:rPr>
                <w:sz w:val="20"/>
                <w:szCs w:val="20"/>
                <w:color w:val="auto"/>
              </w:rPr>
            </w:pPr>
            <w:r>
              <w:rPr>
                <w:rFonts w:ascii="Arial" w:cs="Arial" w:eastAsia="Arial" w:hAnsi="Arial"/>
                <w:sz w:val="18"/>
                <w:szCs w:val="18"/>
                <w:color w:val="auto"/>
                <w:w w:val="79"/>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(374,000)</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4"/>
              </w:rPr>
              <w:t>Total weighted-average remaining vesting period in years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1.61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lef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w w:val="97"/>
              </w:rPr>
              <w:t>Total fair value of restricted stock vested during the year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1,389,000</w:t>
            </w:r>
          </w:p>
        </w:tc>
        <w:tc>
          <w:tcPr>
            <w:tcW w:w="40" w:type="dxa"/>
            <w:vAlign w:val="bottom"/>
          </w:tcPr>
          <w:p>
            <w:pPr>
              <w:spacing w:after="0"/>
              <w:rPr>
                <w:sz w:val="20"/>
                <w:szCs w:val="20"/>
                <w:color w:val="auto"/>
              </w:rPr>
            </w:pPr>
          </w:p>
        </w:tc>
        <w:tc>
          <w:tcPr>
            <w:tcW w:w="520" w:type="dxa"/>
            <w:vAlign w:val="bottom"/>
            <w:gridSpan w:val="2"/>
          </w:tcPr>
          <w:p>
            <w:pPr>
              <w:jc w:val="center"/>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7"/>
              </w:rPr>
              <w:t>3,371,000</w:t>
            </w:r>
          </w:p>
        </w:tc>
        <w:tc>
          <w:tcPr>
            <w:tcW w:w="60" w:type="dxa"/>
            <w:vAlign w:val="bottom"/>
          </w:tcPr>
          <w:p>
            <w:pPr>
              <w:spacing w:after="0"/>
              <w:rPr>
                <w:sz w:val="20"/>
                <w:szCs w:val="20"/>
                <w:color w:val="auto"/>
              </w:rPr>
            </w:pP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7,355,000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7"/>
          </w:tcPr>
          <w:p>
            <w:pPr>
              <w:jc w:val="center"/>
              <w:ind w:right="88"/>
              <w:spacing w:after="0"/>
              <w:rPr>
                <w:sz w:val="20"/>
                <w:szCs w:val="20"/>
                <w:color w:val="auto"/>
              </w:rPr>
            </w:pPr>
            <w:r>
              <w:rPr>
                <w:rFonts w:ascii="Arial" w:cs="Arial" w:eastAsia="Arial" w:hAnsi="Arial"/>
                <w:sz w:val="14"/>
                <w:szCs w:val="14"/>
                <w:b w:val="1"/>
                <w:bCs w:val="1"/>
                <w:color w:val="auto"/>
                <w:w w:val="92"/>
              </w:rPr>
              <w:t>Performance-Based</w:t>
            </w:r>
          </w:p>
        </w:tc>
        <w:tc>
          <w:tcPr>
            <w:tcW w:w="80" w:type="dxa"/>
            <w:vAlign w:val="bottom"/>
          </w:tcPr>
          <w:p>
            <w:pPr>
              <w:spacing w:after="0"/>
              <w:rPr>
                <w:sz w:val="18"/>
                <w:szCs w:val="18"/>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Performance-Based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7"/>
          </w:tcPr>
          <w:p>
            <w:pPr>
              <w:jc w:val="center"/>
              <w:ind w:right="88"/>
              <w:spacing w:after="0"/>
              <w:rPr>
                <w:sz w:val="20"/>
                <w:szCs w:val="20"/>
                <w:color w:val="auto"/>
              </w:rPr>
            </w:pPr>
            <w:r>
              <w:rPr>
                <w:rFonts w:ascii="Arial" w:cs="Arial" w:eastAsia="Arial" w:hAnsi="Arial"/>
                <w:sz w:val="14"/>
                <w:szCs w:val="14"/>
                <w:b w:val="1"/>
                <w:bCs w:val="1"/>
                <w:color w:val="auto"/>
                <w:w w:val="92"/>
              </w:rPr>
              <w:t>Restricted Stock</w:t>
            </w:r>
          </w:p>
        </w:tc>
        <w:tc>
          <w:tcPr>
            <w:tcW w:w="80" w:type="dxa"/>
            <w:vAlign w:val="bottom"/>
          </w:tcPr>
          <w:p>
            <w:pPr>
              <w:spacing w:after="0"/>
              <w:rPr>
                <w:sz w:val="16"/>
                <w:szCs w:val="16"/>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gridSpan w:val="5"/>
          </w:tcPr>
          <w:p>
            <w:pPr>
              <w:jc w:val="center"/>
              <w:ind w:left="351"/>
              <w:spacing w:after="0"/>
              <w:rPr>
                <w:sz w:val="20"/>
                <w:szCs w:val="20"/>
                <w:color w:val="auto"/>
              </w:rPr>
            </w:pPr>
            <w:r>
              <w:rPr>
                <w:rFonts w:ascii="Arial" w:cs="Arial" w:eastAsia="Arial" w:hAnsi="Arial"/>
                <w:sz w:val="14"/>
                <w:szCs w:val="14"/>
                <w:b w:val="1"/>
                <w:bCs w:val="1"/>
                <w:color w:val="auto"/>
                <w:w w:val="92"/>
              </w:rPr>
              <w:t xml:space="preserve">2020 </w:t>
            </w:r>
            <w:r>
              <w:rPr>
                <w:rFonts w:ascii="Arial" w:cs="Arial" w:eastAsia="Arial" w:hAnsi="Arial"/>
                <w:sz w:val="12"/>
                <w:szCs w:val="12"/>
                <w:b w:val="1"/>
                <w:bCs w:val="1"/>
                <w:color w:val="auto"/>
                <w:w w:val="92"/>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4"/>
          </w:tcPr>
          <w:p>
            <w:pPr>
              <w:jc w:val="center"/>
              <w:ind w:right="216"/>
              <w:spacing w:after="0"/>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Shares of PBRS granted</w:t>
            </w:r>
          </w:p>
        </w:tc>
        <w:tc>
          <w:tcPr>
            <w:tcW w:w="6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306,257</w:t>
            </w:r>
          </w:p>
        </w:tc>
        <w:tc>
          <w:tcPr>
            <w:tcW w:w="100" w:type="dxa"/>
            <w:vAlign w:val="bottom"/>
            <w:tcBorders>
              <w:top w:val="single" w:sz="8" w:color="CFF0FC"/>
              <w:right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left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221,439</w:t>
            </w:r>
          </w:p>
        </w:tc>
        <w:tc>
          <w:tcPr>
            <w:tcW w:w="100" w:type="dxa"/>
            <w:vAlign w:val="bottom"/>
            <w:tcBorders>
              <w:top w:val="single" w:sz="8" w:color="CFF0FC"/>
            </w:tcBorders>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 fair value of PBRS granted</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980,000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1,608,000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2"/>
              </w:rPr>
              <w:t>Weighted-average fair value per PBRS granted during year</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right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left w:val="single" w:sz="8" w:color="CFF0FC"/>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7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Stock-based compensation expense - Cost of sales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Stock-based compensation expense - SG&amp;A</w:t>
            </w: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218,000</w:t>
            </w:r>
          </w:p>
        </w:tc>
        <w:tc>
          <w:tcPr>
            <w:tcW w:w="100" w:type="dxa"/>
            <w:vAlign w:val="bottom"/>
            <w:tcBorders>
              <w:right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left w:val="single" w:sz="8" w:color="CFF0FC"/>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7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(53,000)</w:t>
            </w:r>
          </w:p>
        </w:tc>
        <w:tc>
          <w:tcPr>
            <w:tcW w:w="40" w:type="dxa"/>
            <w:vAlign w:val="bottom"/>
          </w:tcPr>
          <w:p>
            <w:pPr>
              <w:spacing w:after="0"/>
              <w:rPr>
                <w:sz w:val="21"/>
                <w:szCs w:val="21"/>
                <w:color w:val="auto"/>
              </w:rPr>
            </w:pPr>
          </w:p>
        </w:tc>
        <w:tc>
          <w:tcPr>
            <w:tcW w:w="52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(84,000)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4"/>
              </w:rPr>
              <w:t>Total weighted-average remaining vesting period in years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right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lef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2"/>
              </w:rPr>
              <w:t>Total fair value of PBRS vested during the year</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11"/>
          </w:tcPr>
          <w:p>
            <w:pPr>
              <w:jc w:val="center"/>
              <w:ind w:right="520"/>
              <w:spacing w:after="0"/>
              <w:rPr>
                <w:sz w:val="20"/>
                <w:szCs w:val="20"/>
                <w:color w:val="auto"/>
              </w:rPr>
            </w:pPr>
            <w:r>
              <w:rPr>
                <w:rFonts w:ascii="Arial" w:cs="Arial" w:eastAsia="Arial" w:hAnsi="Arial"/>
                <w:sz w:val="14"/>
                <w:szCs w:val="14"/>
                <w:b w:val="1"/>
                <w:bCs w:val="1"/>
                <w:color w:val="auto"/>
                <w:w w:val="92"/>
              </w:rPr>
              <w:t>Restricted Stock Units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RSU granted</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231,816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lef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31,833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35,511</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 fair value of RSU granted</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255,000</w:t>
            </w:r>
          </w:p>
        </w:tc>
        <w:tc>
          <w:tcPr>
            <w:tcW w:w="40" w:type="dxa"/>
            <w:vAlign w:val="bottom"/>
          </w:tcPr>
          <w:p>
            <w:pPr>
              <w:spacing w:after="0"/>
              <w:rPr>
                <w:sz w:val="19"/>
                <w:szCs w:val="19"/>
                <w:color w:val="auto"/>
              </w:rPr>
            </w:pPr>
          </w:p>
        </w:tc>
        <w:tc>
          <w:tcPr>
            <w:tcW w:w="520" w:type="dxa"/>
            <w:vAlign w:val="bottom"/>
            <w:gridSpan w:val="2"/>
          </w:tcPr>
          <w:p>
            <w:pPr>
              <w:jc w:val="center"/>
              <w:ind w:right="7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187,000</w:t>
            </w:r>
          </w:p>
        </w:tc>
        <w:tc>
          <w:tcPr>
            <w:tcW w:w="60" w:type="dxa"/>
            <w:vAlign w:val="bottom"/>
          </w:tcPr>
          <w:p>
            <w:pPr>
              <w:spacing w:after="0"/>
              <w:rPr>
                <w:sz w:val="19"/>
                <w:szCs w:val="19"/>
                <w:color w:val="auto"/>
              </w:rPr>
            </w:pP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4"/>
              </w:rPr>
              <w:t>Weighted-average fair value per RSU granted during year</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ind w:left="4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1.10</w:t>
            </w:r>
          </w:p>
        </w:tc>
        <w:tc>
          <w:tcPr>
            <w:tcW w:w="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center"/>
              <w:ind w:right="7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7"/>
              </w:rPr>
              <w:t>Stock-based compensation expense - SG&amp;A</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255,000</w:t>
            </w:r>
          </w:p>
        </w:tc>
        <w:tc>
          <w:tcPr>
            <w:tcW w:w="40" w:type="dxa"/>
            <w:vAlign w:val="bottom"/>
          </w:tcPr>
          <w:p>
            <w:pPr>
              <w:spacing w:after="0"/>
              <w:rPr>
                <w:sz w:val="19"/>
                <w:szCs w:val="19"/>
                <w:color w:val="auto"/>
              </w:rPr>
            </w:pPr>
          </w:p>
        </w:tc>
        <w:tc>
          <w:tcPr>
            <w:tcW w:w="520" w:type="dxa"/>
            <w:vAlign w:val="bottom"/>
            <w:gridSpan w:val="2"/>
          </w:tcPr>
          <w:p>
            <w:pPr>
              <w:jc w:val="center"/>
              <w:ind w:right="7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187,000</w:t>
            </w:r>
          </w:p>
        </w:tc>
        <w:tc>
          <w:tcPr>
            <w:tcW w:w="60" w:type="dxa"/>
            <w:vAlign w:val="bottom"/>
          </w:tcPr>
          <w:p>
            <w:pPr>
              <w:spacing w:after="0"/>
              <w:rPr>
                <w:sz w:val="19"/>
                <w:szCs w:val="19"/>
                <w:color w:val="auto"/>
              </w:rPr>
            </w:pP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ind w:left="4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rPr>
              <w:t>(63,000)</w:t>
            </w:r>
          </w:p>
        </w:tc>
        <w:tc>
          <w:tcPr>
            <w:tcW w:w="520" w:type="dxa"/>
            <w:vAlign w:val="bottom"/>
            <w:gridSpan w:val="2"/>
            <w:shd w:val="clear" w:color="auto" w:fill="CFF0FC"/>
          </w:tcPr>
          <w:p>
            <w:pPr>
              <w:jc w:val="center"/>
              <w:ind w:right="7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(46,000)</w:t>
            </w:r>
          </w:p>
        </w:tc>
        <w:tc>
          <w:tcPr>
            <w:tcW w:w="5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w w:val="94"/>
              </w:rPr>
              <w:t>Total weighted-average remaining vesting period in years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0.48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Total fair value of RSU vested during the year</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ind w:left="4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187,000</w:t>
            </w:r>
          </w:p>
        </w:tc>
        <w:tc>
          <w:tcPr>
            <w:tcW w:w="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center"/>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187,000</w:t>
            </w:r>
          </w:p>
        </w:tc>
        <w:tc>
          <w:tcPr>
            <w:tcW w:w="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29"/>
          <w:szCs w:val="29"/>
          <w:color w:val="auto"/>
          <w:vertAlign w:val="superscript"/>
        </w:rPr>
      </w:pPr>
      <w:r>
        <w:rPr>
          <w:rFonts w:ascii="Arial" w:cs="Arial" w:eastAsia="Arial" w:hAnsi="Arial"/>
          <w:sz w:val="16"/>
          <w:szCs w:val="16"/>
          <w:color w:val="auto"/>
        </w:rPr>
        <w:t>As it relates to 2018, see Note 14-Related Party Transactions.</w:t>
      </w:r>
    </w:p>
    <w:p>
      <w:pPr>
        <w:spacing w:after="0" w:line="50" w:lineRule="exact"/>
        <w:rPr>
          <w:rFonts w:ascii="Arial" w:cs="Arial" w:eastAsia="Arial" w:hAnsi="Arial"/>
          <w:sz w:val="29"/>
          <w:szCs w:val="29"/>
          <w:color w:val="auto"/>
          <w:vertAlign w:val="superscript"/>
        </w:rPr>
      </w:pPr>
    </w:p>
    <w:p>
      <w:pPr>
        <w:jc w:val="both"/>
        <w:ind w:left="500" w:hanging="492"/>
        <w:spacing w:after="0" w:line="252"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5"/>
          <w:szCs w:val="15"/>
          <w:color w:val="auto"/>
        </w:rPr>
        <w:t>The PBRS restricted stock grants are tied to our free cash flow, fixed costs per ton of ammonia measured annually over a three-year period and modified based on our ranking relative to total stockholder return (share price appreciation plus dividends reinvested) (“TSR”) versus the companies in our 2020 and 2019 peer group (“Peer Group”) for the year of grant over a three-year measurement period. The actual number of shares that will vest at the end of the third year will be based on our performance against the metrics set in the awards but are subject to reduction to a minimum (or even zero) for recording less than the targeted performance. The threshold performance for free cash flow is 70% and for fixed costs per ton of ammonia is 60% of the targeted improvement with a maximum for each of 120% of target. The TSR modifier will adjust the overall actual performance up or down by as much as 25% based on our TSR versus the Peer Group average TSR. We estimate the fair value of each PBRS on the date of grant using a Monte Carlo simulation.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No stock options have been granted under the 2016 Plan during 2020, 2019 or 2018. As it relates to stock options granted under the 2008</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exercise price of the outstanding options granted were equal to the market value of our common stock at the date of grant and vested at the end of each one-year period at the rate of 16.5% per year for the first five years and the remaining unvested options vested at the end of the sixth year. The fair value for of the stock options granted under the 2008 Plan were estimated, using an option pricing model, as of the date of the grant, which date was also the service inception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in 2020 is presented below:</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Exercisable at end of year</w:t>
            </w: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122,000</w:t>
            </w: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Cost of sales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141,000</w:t>
            </w:r>
          </w:p>
        </w:tc>
        <w:tc>
          <w:tcPr>
            <w:tcW w:w="10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Stock-based compensation expense - SG&amp;A</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42,000</w:t>
            </w:r>
          </w:p>
        </w:tc>
        <w:tc>
          <w:tcPr>
            <w:tcW w:w="16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71,000</w:t>
            </w:r>
          </w:p>
        </w:tc>
        <w:tc>
          <w:tcPr>
            <w:tcW w:w="100" w:type="dxa"/>
            <w:vAlign w:val="bottom"/>
          </w:tcPr>
          <w:p>
            <w:pPr>
              <w:spacing w:after="0"/>
              <w:rPr>
                <w:sz w:val="19"/>
                <w:szCs w:val="19"/>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(36,000)</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(54,000)</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Total intrinsic value of options exercised during the year</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options vested during the year</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180,000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169,000</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Total intrinsic value of options outstanding at end of year</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intrinsic value of options exercisable at end of year</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contractual life period in years (options outstanding)</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r>
      <w:tr>
        <w:trPr>
          <w:trHeight w:val="234"/>
        </w:trPr>
        <w:tc>
          <w:tcPr>
            <w:tcW w:w="7840" w:type="dxa"/>
            <w:vAlign w:val="bottom"/>
          </w:tcPr>
          <w:p>
            <w:pPr>
              <w:spacing w:after="0"/>
              <w:rPr>
                <w:sz w:val="20"/>
                <w:szCs w:val="20"/>
                <w:color w:val="auto"/>
              </w:rPr>
            </w:pPr>
            <w:r>
              <w:rPr>
                <w:rFonts w:ascii="Arial" w:cs="Arial" w:eastAsia="Arial" w:hAnsi="Arial"/>
                <w:sz w:val="18"/>
                <w:szCs w:val="18"/>
                <w:color w:val="auto"/>
              </w:rPr>
              <w:t>Total weighted-average remaining contractual life period in years (options exercisable)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Stock-based Compensation Expense Not Yet Recognized – </w:t>
      </w:r>
      <w:r>
        <w:rPr>
          <w:rFonts w:ascii="Arial" w:cs="Arial" w:eastAsia="Arial" w:hAnsi="Arial"/>
          <w:sz w:val="17"/>
          <w:szCs w:val="17"/>
          <w:color w:val="auto"/>
        </w:rPr>
        <w:t>At December 31, 2020, the total stock-based compensation expense not yet recognized is</w:t>
      </w:r>
      <w:r>
        <w:rPr>
          <w:rFonts w:ascii="Arial" w:cs="Arial" w:eastAsia="Arial" w:hAnsi="Arial"/>
          <w:sz w:val="17"/>
          <w:szCs w:val="17"/>
          <w:b w:val="1"/>
          <w:bCs w:val="1"/>
          <w:color w:val="auto"/>
        </w:rPr>
        <w:t xml:space="preserve"> </w:t>
      </w:r>
      <w:r>
        <w:rPr>
          <w:rFonts w:ascii="Arial" w:cs="Arial" w:eastAsia="Arial" w:hAnsi="Arial"/>
          <w:sz w:val="17"/>
          <w:szCs w:val="17"/>
          <w:color w:val="auto"/>
        </w:rPr>
        <w:t>$2,212,000, relating to all forms of non-vested equity awards, which we will be amortizing (subject to adjustments for actual forfeitures and performance assessments associated with the PBRS restricted stock) through the respective remaining vesting periods through December 2022.</w:t>
      </w:r>
    </w:p>
    <w:p>
      <w:pPr>
        <w:spacing w:after="0" w:line="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Reserved Shares of Common Stock – </w:t>
      </w:r>
      <w:r>
        <w:rPr>
          <w:rFonts w:ascii="Arial" w:cs="Arial" w:eastAsia="Arial" w:hAnsi="Arial"/>
          <w:sz w:val="18"/>
          <w:szCs w:val="18"/>
          <w:color w:val="auto"/>
        </w:rPr>
        <w:t>As of December 31, 2020, we have reserved 1.6 million shares of common stock issuable upon potential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of preferred stocks and equity awards pursuant to their respective terms.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NOL Rights Agreement - </w:t>
      </w:r>
      <w:r>
        <w:rPr>
          <w:rFonts w:ascii="Arial" w:cs="Arial" w:eastAsia="Arial" w:hAnsi="Arial"/>
          <w:sz w:val="18"/>
          <w:szCs w:val="18"/>
          <w:color w:val="auto"/>
        </w:rPr>
        <w:t>On July 6, 2020, we entered into the Section 382 Rights Agreement (the “NOL Rights Agreement”), dated as of July 6, 2020,</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LSB and Computershare Trust Company, N.A., as rights agent.</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(“Group”) from acquiring beneficial ownership of 4.9% or more of our outstanding common shares.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rights issued under the NOL Rights Agreement will expire on the earliest to occur of (i) the close of business on the day following the certification of the voting results of our 2021 annual meeting of stockholders, or other duly held stockholders’ meeting, (ii) the date on which our Board determines in its sole discretion that (x) the NOL Rights Agreement is no longer necessary for the preservation of material valuable NOLs or tax attributes or (y) the NOLs and tax attributes have been fully utilized and may no longer be carried forward and (iii) the close of business on July 6,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may, in its discretion, determine that a person, entity or a certain transaction is exempt from the operation of the NOL Rights Agreement or amend the terms of the rights.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of the NOL Rights Agreement does not purport to be complete and is qualified in its entirety by reference to the Rights Agreement filed as an exhibit to our Current Report on Form 8-K filed on July 6,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Non-Redeemable Preferred Stock</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Series Non-Redeemable B Preferred </w:t>
      </w:r>
      <w:r>
        <w:rPr>
          <w:rFonts w:ascii="Arial" w:cs="Arial" w:eastAsia="Arial" w:hAnsi="Arial"/>
          <w:sz w:val="18"/>
          <w:szCs w:val="18"/>
          <w:color w:val="auto"/>
        </w:rPr>
        <w:t>– The 20,000 shares of Series B 12% cumulative, convertible preferred stock (“Series B Preferred”), $100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convertible, in whole or in part, into 666,666 shares of our common stock (33.3333 shares of common stock for each share of preferred stock) at any time at the option of the holder and entitle the holder to one vote per share. The Series B Preferred provides for annual cumulative dividends of 12% ($12.00 per share) from date of issue, payable when and as declared. All of the outstanding shares of the Series B Preferred are owned by the Golsen Holders and an immediate family member.</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Series Non-Redeemable D Preferred </w:t>
      </w:r>
      <w:r>
        <w:rPr>
          <w:rFonts w:ascii="Arial" w:cs="Arial" w:eastAsia="Arial" w:hAnsi="Arial"/>
          <w:sz w:val="17"/>
          <w:szCs w:val="17"/>
          <w:color w:val="auto"/>
        </w:rPr>
        <w:t>– The 1,000,000 shares of Series D 6% cumulative, convertible Class C preferred stock (“Series D Preferred”) have</w:t>
      </w:r>
      <w:r>
        <w:rPr>
          <w:rFonts w:ascii="Arial" w:cs="Arial" w:eastAsia="Arial" w:hAnsi="Arial"/>
          <w:sz w:val="17"/>
          <w:szCs w:val="17"/>
          <w:b w:val="1"/>
          <w:bCs w:val="1"/>
          <w:color w:val="auto"/>
        </w:rPr>
        <w:t xml:space="preserve"> </w:t>
      </w:r>
      <w:r>
        <w:rPr>
          <w:rFonts w:ascii="Arial" w:cs="Arial" w:eastAsia="Arial" w:hAnsi="Arial"/>
          <w:sz w:val="17"/>
          <w:szCs w:val="17"/>
          <w:color w:val="auto"/>
        </w:rPr>
        <w:t>no par value and are convertible, in whole or in part, into 250,000 shares of our common stock (1 share of common stock for 4 shares of preferred stock) at any time at the option of the holder. Dividends on the Series D Preferred are cumulative and payable annually in arrears at the rate of 6% per annum ($0.06 per share) of the liquidation preference of $1.00 per share. Each holder of the Series D Preferred shall be entitled to .875 votes per share. All of the outstanding shares of Series D Preferred are owned by the Golsen Holders and an immediate family member.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concerning dividends on the Series B and D Preferred in Note 14 – Related Party Transactions.</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 At December 31, 2020, we are authorized to issue an additional 230,000 shares of $100 par value preferred stock and an additional 3,860,000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no-par value preferred stock. Upon issuance, our Board will determine the specific terms and conditions of such preferred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Executive Benefit Agreement, Employee Savings Plans and Collective Bargaining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party to a death benefit agreement (“2005 Agreement”) with Jack E. Golsen (“J. Golsen”), who retired as discussed in Note 14-Related Party Transactions.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2005 Agreement provides that, upon J. Golsen’s death, we will pay to the designated beneficiary, a lump-sum payment of $2,500,000 to be funded from the net proceeds received by us under certain life insurance policies on his life that are owned by us. We are obligated to keep in existence life insurance policies with a total face amount of no less than $2,500,000 of the stated death benefit.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this agreement: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death benefit</w:t>
            </w: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Total accrued death benefit</w:t>
            </w:r>
          </w:p>
        </w:tc>
        <w:tc>
          <w:tcPr>
            <w:tcW w:w="1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accrued executive benefit under the 2005 Agreement is included in noncurrent accrued and other liabilities. We accrue for such liabilities when they become probable and discount the liabilities to their present value.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assist us in funding the 2005 Agreement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Executive Benefit Agreement, Employee Savings Plans and Collective Bargaining Agreements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about these life insurance policies.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4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face value of life insurance policies</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4,500</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cash surrender values of life insurance policies</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1,796</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Loans on cash surrender values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(1,703)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surrender values</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4"/>
                <w:szCs w:val="2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5"/>
          </w:tcPr>
          <w:p>
            <w:pPr>
              <w:jc w:val="right"/>
              <w:ind w:right="10"/>
              <w:spacing w:after="0" w:line="155" w:lineRule="exact"/>
              <w:rPr>
                <w:sz w:val="20"/>
                <w:szCs w:val="20"/>
                <w:color w:val="auto"/>
              </w:rPr>
            </w:pPr>
            <w:r>
              <w:rPr>
                <w:rFonts w:ascii="Arial" w:cs="Arial" w:eastAsia="Arial" w:hAnsi="Arial"/>
                <w:sz w:val="14"/>
                <w:szCs w:val="14"/>
                <w:color w:val="auto"/>
                <w:w w:val="99"/>
              </w:rPr>
              <w:t>(In Thousands)</w:t>
            </w: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life insurance premiums</w:t>
            </w:r>
          </w:p>
        </w:tc>
        <w:tc>
          <w:tcPr>
            <w:tcW w:w="110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215</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215</w:t>
            </w:r>
          </w:p>
        </w:tc>
        <w:tc>
          <w:tcPr>
            <w:tcW w:w="7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spacing w:after="0"/>
              <w:rPr>
                <w:sz w:val="20"/>
                <w:szCs w:val="20"/>
                <w:color w:val="auto"/>
              </w:rPr>
            </w:pPr>
            <w:r>
              <w:rPr>
                <w:rFonts w:ascii="Arial" w:cs="Arial" w:eastAsia="Arial" w:hAnsi="Arial"/>
                <w:sz w:val="18"/>
                <w:szCs w:val="18"/>
                <w:color w:val="auto"/>
              </w:rPr>
              <w:t>Decreases (increases) in cash surrender values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75"/>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Savings Plans - We sponsor a savings plan under Section 401(k) of the Internal Revenue Code under which participation is available to substantially all full-time employees. Beginning in January 2019, we began matching 50% of an employee’s contribution, up to 6%, for substantially all full-time employees. Prior to 2019, we did not contribute to this plan except for certain employees. For 2020, 2019 and 2018, the amounts contributed to this plan were $1,022,000, $997,000, and $243,000, respectively.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 Bargaining Agreements - As of December 31, 2020, we employed 573 persons, 188 of whom are represented by unions under agreements, including agreements being negotiated, that expire in July 2021 through November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we entered into a financing arrangement with an affiliate of LSB Funding as discussed in footnote (G) of Note 6, which transaction included debt issuance costs of approximately $0.1 million paid to this affiliate. During 2019, we entered into two separate financing arrangements with an affiliate of LSB Funding as discussed in footnotes (E) and (F) Note 6, which transactions included debt issuance costs totaling approximately $0.1 million paid to this affiliate. During 2019, we incurred a consent fee of approximately $0.3 million from LSB Funding associated with the issuance of the New Notes discussed in footnote (B) of Note 6. During 2018, we sold $50.0 million and $0.5 million principal amount of notes to an affiliate of LSB Funding and Daniel D. Greenwell, respectively, associated with the issuance and sale of the Notes discussed in footnote (B) of Note 6. As discussed in Note 10, we paid a fee of $2.8 million to LSB Funding relating to the letter agreement amending the terms of the Series E Redeemable Preferred. LSB Funding holds all outstanding shares of the Series E and Series F Redeemable Preferred discussed in Note 10. Pursuant to the terms of the Board Representation and Standstill Agreement, our Board includes two directors that are employees of affiliates of LSB Funding. During 2020, 2019 and 2018, we incurred director fees associated with these directors totaling approximately $0.3 million for each respective year.</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December 30, 2018, Daniel D. Greenwell elected not to enter into a new employment agreement and resigned from the Board and his roles as Chairman and our Chief Executive Officer. Subject to the execution of a release agreement, which was executed in January 2019, Mr. Greenwell was entitled to certain severance benefits pursuant to the terms of his employment agreement. As a result, we incurred an expense of approximately $2.6 million relating to these severance benefits in 2018. In addition, approximately $2.7 million of share-based compensation was incurred in 2018 due to the accelerated vesting of 312,369 shares of restricted stock.</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accumulated dividends on the Series B and Series D Preferred totaled approximately $1.6 million. The Series B Preferred and Series D Preferred are non-redeemable preferred stocks issued in 1986 and 2001, respectively, of which all outstanding shares are owned by the Golsen Holders and an immediate family member.</w:t>
      </w:r>
    </w:p>
    <w:p>
      <w:pPr>
        <w:spacing w:after="0" w:line="76"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During 2020, 2019 and 2018, we incurred director fees associated with Barry H. Golsen totaling approximately $0.1 million for each respective year.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result of J. Golsen informing the Board of his election to retire as Executive Chairman effective December 31, 2017, we determined not to extend the employment agreement with J. Golsen beyond its then current term that expired on December 31, 2017 (the “Retirement Date”) and, in accordance with the terms his employment agreement, delivered a notice of non-renewal to J. Golsen. Following the Retirement Date, J. Golsen serves as Chairman Emeritus of our Board.</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2017, we entered into a transition agreement (the “Transition Agreement”) with J. Golsen that commenced on January 1, 2018 and ends upon the earlier of his death or a change in control as defined in the Transition Agreement. During the term, J. Golsen will receive an annual cash retainer of $480,000 and an additional monthly amount of $4,400 to cover certain expenses. In accordance with the terms of the Transition Agreement, we will also reimburse J. Golsen for his cost of certain medical insurance coverage until his death. Effective as of the Retirement Date, the severance agreement that was in force with J. Golsen was terminated. In consideration for his services, including as Chairman Emeritus, we will pay J. Golsen a one-time payment equal to $2,320,000 upon the consummation of a change in control should one occur prior to his death.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55"/>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Interest on long-term debt and other, net of capitalized</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45,730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interest</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42,184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taxes, net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Accounts receivable, supplies and accounts payable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16,286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associated with additions of PP&amp;E</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18,350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accrued on Series E Redeemable Preferred</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35,182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30,729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Accretion of Series E Redeemable Preferred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1,995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155"/>
        </w:trPr>
        <w:tc>
          <w:tcPr>
            <w:tcW w:w="3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gridSpan w:val="5"/>
          </w:tcPr>
          <w:p>
            <w:pPr>
              <w:ind w:left="60"/>
              <w:spacing w:after="0" w:line="155" w:lineRule="exact"/>
              <w:rPr>
                <w:sz w:val="20"/>
                <w:szCs w:val="20"/>
                <w:color w:val="auto"/>
              </w:rPr>
            </w:pPr>
            <w:r>
              <w:rPr>
                <w:rFonts w:ascii="Arial" w:cs="Arial" w:eastAsia="Arial" w:hAnsi="Arial"/>
                <w:sz w:val="14"/>
                <w:szCs w:val="14"/>
                <w:color w:val="auto"/>
                <w:w w:val="96"/>
              </w:rPr>
              <w:t>(Dollars In Thousands)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9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180,036</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187,641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187,164</w:t>
            </w:r>
          </w:p>
        </w:tc>
        <w:tc>
          <w:tcPr>
            <w:tcW w:w="80" w:type="dxa"/>
            <w:vAlign w:val="bottom"/>
          </w:tcPr>
          <w:p>
            <w:pPr>
              <w:spacing w:after="0"/>
              <w:rPr>
                <w:sz w:val="19"/>
                <w:szCs w:val="19"/>
                <w:color w:val="auto"/>
              </w:rPr>
            </w:pPr>
          </w:p>
        </w:tc>
      </w:tr>
      <w:tr>
        <w:trPr>
          <w:trHeight w:val="229"/>
        </w:trPr>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products</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133,024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148,598</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Mining products</w:t>
            </w:r>
          </w:p>
        </w:tc>
        <w:tc>
          <w:tcPr>
            <w:tcW w:w="1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38,256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37,786</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42,398</w:t>
            </w:r>
          </w:p>
        </w:tc>
        <w:tc>
          <w:tcPr>
            <w:tcW w:w="80" w:type="dxa"/>
            <w:vAlign w:val="bottom"/>
            <w:tcBorders>
              <w:bottom w:val="single" w:sz="8" w:color="CFF0FC"/>
            </w:tcBorders>
          </w:tcPr>
          <w:p>
            <w:pPr>
              <w:spacing w:after="0"/>
              <w:rPr>
                <w:sz w:val="19"/>
                <w:szCs w:val="19"/>
                <w:color w:val="auto"/>
              </w:rPr>
            </w:pPr>
          </w:p>
        </w:tc>
      </w:tr>
      <w:tr>
        <w:trPr>
          <w:trHeight w:val="223"/>
        </w:trPr>
        <w:tc>
          <w:tcPr>
            <w:tcW w:w="35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net sales</w:t>
            </w:r>
          </w:p>
        </w:tc>
        <w:tc>
          <w:tcPr>
            <w:tcW w:w="1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351,316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365,070</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17 months at December 31, 2020.</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$2.5 million and $3.6 million of contract liabilities as of December 31, 2020 and 2019, respectively. During 2020, revenues of $1.9 million were recognized and included in the balance at the beginning of the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center"/>
        <w:ind w:right="-39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our leases as of December 31, 2020 and 2019 are presented below:</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color w:val="auto"/>
                <w:w w:val="93"/>
              </w:rPr>
              <w:t>(Dollars In Thousands)</w:t>
            </w: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lease expense:</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15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7,611</w:t>
            </w:r>
          </w:p>
        </w:tc>
        <w:tc>
          <w:tcPr>
            <w:tcW w:w="3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cost (1)</w:t>
            </w:r>
          </w:p>
        </w:tc>
        <w:tc>
          <w:tcPr>
            <w:tcW w:w="5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5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 related to leases:</w:t>
            </w: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58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5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3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w w:val="99"/>
              </w:rPr>
              <w:t>Right-of-use assets obtained in exchange for new operating lease liabilities</w:t>
            </w:r>
          </w:p>
        </w:tc>
        <w:tc>
          <w:tcPr>
            <w:tcW w:w="15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17,064</w:t>
            </w:r>
          </w:p>
        </w:tc>
        <w:tc>
          <w:tcPr>
            <w:tcW w:w="3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5,967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lease-related information:</w:t>
            </w:r>
          </w:p>
        </w:tc>
        <w:tc>
          <w:tcPr>
            <w:tcW w:w="5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 finance leases (in years)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4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8.65%</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(1) Includes variable and finance lease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Additionally, under ASC 840, expenses associated with our operating leases agreements, including month-to-month leases, were $10,235,000 in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future minimum operating lease payments due under ASC 842 are summarized by fiscal year in the table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Operating Leases</w:t>
            </w:r>
          </w:p>
        </w:tc>
        <w:tc>
          <w:tcPr>
            <w:tcW w:w="100" w:type="dxa"/>
            <w:vAlign w:val="bottom"/>
          </w:tcPr>
          <w:p>
            <w:pPr>
              <w:spacing w:after="0"/>
              <w:rPr>
                <w:sz w:val="14"/>
                <w:szCs w:val="14"/>
                <w:color w:val="auto"/>
              </w:rPr>
            </w:pPr>
          </w:p>
        </w:tc>
      </w:tr>
      <w:tr>
        <w:trPr>
          <w:trHeight w:val="210"/>
        </w:trPr>
        <w:tc>
          <w:tcPr>
            <w:tcW w:w="5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color w:val="auto"/>
              </w:rPr>
              <w:t>(In thousands)</w:t>
            </w: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2022</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2024</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FF0FC"/>
            </w:tcBorders>
          </w:tcPr>
          <w:p>
            <w:pPr>
              <w:spacing w:after="0"/>
              <w:rPr>
                <w:sz w:val="21"/>
                <w:szCs w:val="21"/>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31,468</w:t>
            </w:r>
          </w:p>
        </w:tc>
        <w:tc>
          <w:tcPr>
            <w:tcW w:w="10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(4,917)</w:t>
            </w: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we did not have any executed operating leases with lease terms greater than one year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for 2020 and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6"/>
          </w:tcPr>
          <w:p>
            <w:pPr>
              <w:spacing w:after="0" w:line="155" w:lineRule="exact"/>
              <w:rPr>
                <w:sz w:val="20"/>
                <w:szCs w:val="20"/>
                <w:color w:val="auto"/>
              </w:rPr>
            </w:pPr>
            <w:r>
              <w:rPr>
                <w:rFonts w:ascii="Arial" w:cs="Arial" w:eastAsia="Arial" w:hAnsi="Arial"/>
                <w:sz w:val="14"/>
                <w:szCs w:val="14"/>
                <w:color w:val="auto"/>
                <w:w w:val="98"/>
              </w:rPr>
              <w:t>(In Thousands, Except Per Share Amounts)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83,411</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105,033</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73,969</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loss (1) (2)</w:t>
            </w:r>
          </w:p>
        </w:tc>
        <w:tc>
          <w:tcPr>
            <w:tcW w:w="16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(19,452)</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loss per common share</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94,152</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121,527</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75,495</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income (loss) (1) (2)</w:t>
            </w:r>
          </w:p>
        </w:tc>
        <w:tc>
          <w:tcPr>
            <w:tcW w:w="16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loss per common share</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(0.69)</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60" w:type="dxa"/>
            <w:vAlign w:val="bottom"/>
          </w:tcPr>
          <w:p>
            <w:pPr>
              <w:spacing w:after="0"/>
              <w:rPr>
                <w:sz w:val="24"/>
                <w:szCs w:val="24"/>
                <w:color w:val="auto"/>
              </w:rPr>
            </w:pP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F-37</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income (expense) items impacted gross profit (loss) and net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5840" w:type="dxa"/>
            <w:vAlign w:val="bottom"/>
            <w:vMerge w:val="restart"/>
          </w:tcPr>
          <w:p>
            <w:pPr>
              <w:spacing w:after="0"/>
              <w:rPr>
                <w:sz w:val="20"/>
                <w:szCs w:val="20"/>
                <w:color w:val="auto"/>
              </w:rPr>
            </w:pPr>
            <w:r>
              <w:rPr>
                <w:rFonts w:ascii="Arial" w:cs="Arial" w:eastAsia="Arial" w:hAnsi="Arial"/>
                <w:sz w:val="18"/>
                <w:szCs w:val="18"/>
                <w:color w:val="auto"/>
              </w:rPr>
              <w:t>Recovery from settlements with certain vendors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5"/>
          </w:tcPr>
          <w:p>
            <w:pPr>
              <w:jc w:val="right"/>
              <w:ind w:right="980"/>
              <w:spacing w:after="0"/>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Turnaround expense: (A)</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(7,232)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Unrealized gain (loss) on natural gas contracts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income (expense) items impacted net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Charge associated with assets held for sale</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(9,701)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Legal fees associated with Leidos matter</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840" w:type="dxa"/>
            <w:vAlign w:val="bottom"/>
          </w:tcPr>
          <w:p>
            <w:pPr>
              <w:ind w:left="260"/>
              <w:spacing w:after="0"/>
              <w:rPr>
                <w:sz w:val="20"/>
                <w:szCs w:val="20"/>
                <w:color w:val="auto"/>
              </w:rPr>
            </w:pPr>
            <w:r>
              <w:rPr>
                <w:rFonts w:ascii="Arial" w:cs="Arial" w:eastAsia="Arial" w:hAnsi="Arial"/>
                <w:sz w:val="18"/>
                <w:szCs w:val="18"/>
                <w:color w:val="auto"/>
              </w:rPr>
              <w:t>2020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(3,287)</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2019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(932)</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(1,496)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(3,843)</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Interest expense associated with Global judgment</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(1,327)</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FF0FC"/>
            </w:tcBorders>
          </w:tcPr>
          <w:p>
            <w:pPr>
              <w:spacing w:after="0"/>
              <w:rPr>
                <w:sz w:val="23"/>
                <w:szCs w:val="23"/>
                <w:color w:val="auto"/>
              </w:rPr>
            </w:pPr>
          </w:p>
        </w:tc>
      </w:tr>
      <w:tr>
        <w:trPr>
          <w:trHeight w:val="210"/>
        </w:trPr>
        <w:tc>
          <w:tcPr>
            <w:tcW w:w="5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5,733</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20" w:hanging="492"/>
        <w:spacing w:after="0" w:line="258"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Turnaround expenses do not include the impact on operating results relating to lost absorption or reduced margins due to the associated plants being shut down.</w:t>
      </w:r>
    </w:p>
    <w:p>
      <w:pPr>
        <w:spacing w:after="0" w:line="1"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deferred tax benefit for the three-month period ended December 31, 2019 is primarily due to federal and state indefinite lived carryforward benefits that can be realized through the reversal of deferred tax liabilities.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2020, 2019, and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8"/>
              </w:rPr>
              <w:t>Deductions-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Charges to</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(Recovery of)</w:t>
            </w: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Write-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Description (1)</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offs/Costs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 allowance for doubtful accounts: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700" w:type="dxa"/>
            <w:vAlign w:val="bottom"/>
          </w:tcPr>
          <w:p>
            <w:pPr>
              <w:jc w:val="right"/>
              <w:ind w:right="4992"/>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00" w:type="dxa"/>
            <w:vAlign w:val="bottom"/>
          </w:tcPr>
          <w:p>
            <w:pPr>
              <w:jc w:val="right"/>
              <w:ind w:right="499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700" w:type="dxa"/>
            <w:vAlign w:val="bottom"/>
          </w:tcPr>
          <w:p>
            <w:pPr>
              <w:jc w:val="right"/>
              <w:ind w:right="4992"/>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Deferred tax assets - valuation allowance: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jc w:val="right"/>
              <w:ind w:right="4992"/>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jc w:val="right"/>
              <w:ind w:right="4992"/>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jc w:val="right"/>
              <w:ind w:right="4992"/>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880" w:firstLine="8"/>
        <w:spacing w:after="0" w:line="483" w:lineRule="auto"/>
        <w:tabs>
          <w:tab w:leader="none" w:pos="499"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Deducted in the consolidated balance sheet from the related assets to which the reserve applies. Other valuation and qualifying accounts are detailed in our notes to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77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4.15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LSB Industries, Inc. (the “Company”) has two classes of securities registered under Section 12 of the Securities Exchange Act of 1934, as amended (the “Exchange Act”): (i) common stock, par value $0.10 per share (“Common Stock”), and (ii) preferred stock purchase rights (the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following description of the Common Stock is based upon the Company’s certificate of incorporation as currently in effect (the “Certificate of Incorporation”), the Company’s Amended and Restated Bylaws (the “Bylaws” and, together with our Certificate of Incorporation, our “Charter Documents”) and applicable provisions of law. We have summarized certain portions of the Certificate of Incorporation and Bylaws below. The summary is not complete and is subject to, and is qualified in its entirety by express reference to, the provisions of the Company’s Certificate of Incorporation and Bylaws, each of which is filed as an exhibit to the Annual Report on Form 10-K of which this exhibit is a part.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Company’s authorized capital stock consists of 75,000,000 shares of Common Stock, $0.10 par value per share, 250,000 shares of Preferred Stock, $100 par value per share, and 5,000,000 shares have been designated as Class C Preferred Stock, no par value (both “Preferred Stock”). Of the Class C Preferred Stock, 139,768 shares have been designated Series E-1 Cumulative Redeemable Class C Preferred Stock (“Series E-1)”and 1 share has been designated Series F-1 Redeemable Class C Preferred Stock (“Series F-1”).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i w:val="1"/>
          <w:iCs w:val="1"/>
          <w:color w:val="auto"/>
        </w:rPr>
        <w:t>Common Stock Outstanding</w:t>
      </w:r>
      <w:r>
        <w:rPr>
          <w:rFonts w:ascii="Arial" w:cs="Arial" w:eastAsia="Arial" w:hAnsi="Arial"/>
          <w:sz w:val="22"/>
          <w:szCs w:val="22"/>
          <w:color w:val="auto"/>
        </w:rPr>
        <w:t>. The outstanding shares of the Common Stock are duly authorized, validly issued, fully</w:t>
      </w:r>
      <w:r>
        <w:rPr>
          <w:rFonts w:ascii="Arial" w:cs="Arial" w:eastAsia="Arial" w:hAnsi="Arial"/>
          <w:sz w:val="22"/>
          <w:szCs w:val="22"/>
          <w:i w:val="1"/>
          <w:iCs w:val="1"/>
          <w:color w:val="auto"/>
        </w:rPr>
        <w:t xml:space="preserve"> </w:t>
      </w:r>
      <w:r>
        <w:rPr>
          <w:rFonts w:ascii="Arial" w:cs="Arial" w:eastAsia="Arial" w:hAnsi="Arial"/>
          <w:sz w:val="22"/>
          <w:szCs w:val="22"/>
          <w:color w:val="auto"/>
        </w:rPr>
        <w:t>paid and nonassessable.</w:t>
      </w:r>
    </w:p>
    <w:p>
      <w:pPr>
        <w:spacing w:after="0" w:line="175" w:lineRule="exact"/>
        <w:rPr>
          <w:sz w:val="20"/>
          <w:szCs w:val="20"/>
          <w:color w:val="auto"/>
        </w:rPr>
      </w:pPr>
    </w:p>
    <w:p>
      <w:pPr>
        <w:ind w:right="200" w:firstLine="864"/>
        <w:spacing w:after="0" w:line="274" w:lineRule="auto"/>
        <w:rPr>
          <w:sz w:val="20"/>
          <w:szCs w:val="20"/>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Each holder of shares of Common Stock is entitled to one vote for each share, in person or by proxy, at</w:t>
      </w:r>
      <w:r>
        <w:rPr>
          <w:rFonts w:ascii="Arial" w:cs="Arial" w:eastAsia="Arial" w:hAnsi="Arial"/>
          <w:sz w:val="21"/>
          <w:szCs w:val="21"/>
          <w:i w:val="1"/>
          <w:iCs w:val="1"/>
          <w:color w:val="auto"/>
        </w:rPr>
        <w:t xml:space="preserve"> </w:t>
      </w:r>
      <w:r>
        <w:rPr>
          <w:rFonts w:ascii="Arial" w:cs="Arial" w:eastAsia="Arial" w:hAnsi="Arial"/>
          <w:sz w:val="21"/>
          <w:szCs w:val="21"/>
          <w:color w:val="auto"/>
        </w:rPr>
        <w:t>any and all meetings of the Stockholders of the Company, on all propositions before such meetings.</w:t>
      </w:r>
    </w:p>
    <w:p>
      <w:pPr>
        <w:spacing w:after="0" w:line="164" w:lineRule="exact"/>
        <w:rPr>
          <w:sz w:val="20"/>
          <w:szCs w:val="20"/>
          <w:color w:val="auto"/>
        </w:rPr>
      </w:pPr>
    </w:p>
    <w:p>
      <w:pPr>
        <w:ind w:right="100" w:firstLine="555"/>
        <w:spacing w:after="0" w:line="297" w:lineRule="auto"/>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Subject to preferential dividend rights of any other class or series of stock, the holders of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are entitled to receive dividends, including dividends of stock, if, as and when declared by the Company’s board of directors, subject to any limitations applicable by law and to the rights of the holders, if any, of the Company’s preferred stock.</w:t>
      </w:r>
    </w:p>
    <w:p>
      <w:pPr>
        <w:spacing w:after="0" w:line="161" w:lineRule="exact"/>
        <w:rPr>
          <w:sz w:val="20"/>
          <w:szCs w:val="20"/>
          <w:color w:val="auto"/>
        </w:rPr>
      </w:pPr>
    </w:p>
    <w:p>
      <w:pPr>
        <w:jc w:val="both"/>
        <w:ind w:firstLine="555"/>
        <w:spacing w:after="0"/>
        <w:rPr>
          <w:sz w:val="20"/>
          <w:szCs w:val="20"/>
          <w:color w:val="auto"/>
        </w:rPr>
      </w:pPr>
      <w:r>
        <w:rPr>
          <w:rFonts w:ascii="Arial" w:cs="Arial" w:eastAsia="Arial" w:hAnsi="Arial"/>
          <w:sz w:val="22"/>
          <w:szCs w:val="22"/>
          <w:i w:val="1"/>
          <w:iCs w:val="1"/>
          <w:color w:val="auto"/>
        </w:rPr>
        <w:t>Other Rights and Restrictions</w:t>
      </w:r>
      <w:r>
        <w:rPr>
          <w:rFonts w:ascii="Arial" w:cs="Arial" w:eastAsia="Arial" w:hAnsi="Arial"/>
          <w:sz w:val="22"/>
          <w:szCs w:val="22"/>
          <w:color w:val="auto"/>
        </w:rPr>
        <w:t>. Subject to the preferential rights of any other class or series of stock, all shares of our</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have equal dividend, distribution, liquidation and other rights, and have no preference, appraisal or exchange rights, except for any 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jc w:val="both"/>
        <w:spacing w:after="0" w:line="257" w:lineRule="auto"/>
        <w:rPr>
          <w:sz w:val="20"/>
          <w:szCs w:val="20"/>
          <w:color w:val="auto"/>
        </w:rPr>
      </w:pPr>
      <w:r>
        <w:rPr>
          <w:rFonts w:ascii="Arial" w:cs="Arial" w:eastAsia="Arial" w:hAnsi="Arial"/>
          <w:sz w:val="21"/>
          <w:szCs w:val="21"/>
          <w:color w:val="auto"/>
        </w:rPr>
        <w:t>provided by Delaware law. Furthermore, holders of our Common Stock have no conversion, sinking fund or redemption rights, or preemptive rights to subscribe for any of our securities. Our Certificate of Incorporation and Bylaws do not restrict the ability of a holder of our Common Stock to transfer the holder’s shares of our Common Stock.</w:t>
      </w:r>
    </w:p>
    <w:p>
      <w:pPr>
        <w:spacing w:after="0" w:line="196" w:lineRule="exact"/>
        <w:rPr>
          <w:sz w:val="20"/>
          <w:szCs w:val="20"/>
          <w:color w:val="auto"/>
        </w:rPr>
      </w:pPr>
    </w:p>
    <w:p>
      <w:pPr>
        <w:ind w:right="200" w:firstLine="555"/>
        <w:spacing w:after="0"/>
        <w:rPr>
          <w:sz w:val="20"/>
          <w:szCs w:val="20"/>
          <w:color w:val="auto"/>
        </w:rPr>
      </w:pPr>
      <w:r>
        <w:rPr>
          <w:rFonts w:ascii="Arial" w:cs="Arial" w:eastAsia="Arial" w:hAnsi="Arial"/>
          <w:sz w:val="22"/>
          <w:szCs w:val="22"/>
          <w:color w:val="auto"/>
        </w:rPr>
        <w:t>The rights, powers, preferences and privileges of holders of our Common Stock are subject to, and may be adversely affected by, the rights of holders of shares of our outstanding preferred stock and of any series of preferred stock which we may designate and issue in the future.</w:t>
      </w:r>
    </w:p>
    <w:p>
      <w:pPr>
        <w:spacing w:after="0" w:line="186" w:lineRule="exact"/>
        <w:rPr>
          <w:sz w:val="20"/>
          <w:szCs w:val="20"/>
          <w:color w:val="auto"/>
        </w:rPr>
      </w:pPr>
    </w:p>
    <w:p>
      <w:pPr>
        <w:ind w:right="2000" w:firstLine="864"/>
        <w:spacing w:after="0" w:line="435" w:lineRule="auto"/>
        <w:rPr>
          <w:sz w:val="20"/>
          <w:szCs w:val="20"/>
          <w:color w:val="auto"/>
        </w:rPr>
      </w:pPr>
      <w:r>
        <w:rPr>
          <w:rFonts w:ascii="Arial" w:cs="Arial" w:eastAsia="Arial" w:hAnsi="Arial"/>
          <w:sz w:val="22"/>
          <w:szCs w:val="22"/>
          <w:i w:val="1"/>
          <w:iCs w:val="1"/>
          <w:color w:val="auto"/>
        </w:rPr>
        <w:t xml:space="preserve">Listing: </w:t>
      </w:r>
      <w:r>
        <w:rPr>
          <w:rFonts w:ascii="Arial" w:cs="Arial" w:eastAsia="Arial" w:hAnsi="Arial"/>
          <w:sz w:val="22"/>
          <w:szCs w:val="22"/>
          <w:color w:val="auto"/>
        </w:rPr>
        <w:t>Our common stock is listed on the New York Stock Exchange under the symbol “LXU.”</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Preferred Stock</w:t>
      </w:r>
    </w:p>
    <w:p>
      <w:pPr>
        <w:spacing w:after="0" w:line="1" w:lineRule="exact"/>
        <w:rPr>
          <w:sz w:val="20"/>
          <w:szCs w:val="20"/>
          <w:color w:val="auto"/>
        </w:rPr>
      </w:pPr>
    </w:p>
    <w:p>
      <w:pPr>
        <w:ind w:right="80" w:firstLine="864"/>
        <w:spacing w:after="0" w:line="238" w:lineRule="auto"/>
        <w:rPr>
          <w:sz w:val="20"/>
          <w:szCs w:val="20"/>
          <w:color w:val="auto"/>
        </w:rPr>
      </w:pPr>
      <w:r>
        <w:rPr>
          <w:rFonts w:ascii="Arial" w:cs="Arial" w:eastAsia="Arial" w:hAnsi="Arial"/>
          <w:sz w:val="22"/>
          <w:szCs w:val="22"/>
          <w:color w:val="auto"/>
        </w:rPr>
        <w:t>Under the Certificate of Incorporation, the Preferred Stock may be issued from time to time in one or more series, each of such series to have such designations, preference and relative, participating, optional, voting or other special rights and qualifications, limitations or restrictions thereof as are stated and expressed in a resolution or resolutions providing for the issue of such series as determined and adopted by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b w:val="1"/>
          <w:bCs w:val="1"/>
          <w:color w:val="auto"/>
        </w:rPr>
        <w:t>nti-Takeover Effects of Delaware Law, Our Certificate of Incorporation and Our Bylaws</w:t>
      </w:r>
    </w:p>
    <w:p>
      <w:pPr>
        <w:spacing w:after="0" w:line="21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Some provisions of Delaware law, our Certificate of Incorporation and our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Delaware Law</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Section 203 of the DGCL prohibits a Delaware corporation from engaging in any business combination with any interested stockholder for a period of three years following the date that the stockholder became an interested stockholder, unless:</w:t>
      </w:r>
    </w:p>
    <w:p>
      <w:pPr>
        <w:spacing w:after="0" w:line="105" w:lineRule="exact"/>
        <w:rPr>
          <w:sz w:val="20"/>
          <w:szCs w:val="20"/>
          <w:color w:val="auto"/>
        </w:rPr>
      </w:pPr>
    </w:p>
    <w:p>
      <w:pPr>
        <w:ind w:left="880" w:hanging="440"/>
        <w:spacing w:after="0"/>
        <w:tabs>
          <w:tab w:leader="none" w:pos="8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transaction is approved by the board of directors before the date the interested stockholder attained that status;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5" w:name="page96"/>
    <w:bookmarkEnd w:id="95"/>
    <w:p>
      <w:pPr>
        <w:jc w:val="both"/>
        <w:ind w:left="880" w:hanging="440"/>
        <w:spacing w:after="0"/>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86" w:lineRule="exact"/>
        <w:rPr>
          <w:rFonts w:ascii="Arial" w:cs="Arial" w:eastAsia="Arial" w:hAnsi="Arial"/>
          <w:sz w:val="22"/>
          <w:szCs w:val="22"/>
          <w:color w:val="auto"/>
        </w:rPr>
      </w:pPr>
    </w:p>
    <w:p>
      <w:pPr>
        <w:ind w:left="880" w:hanging="440"/>
        <w:spacing w:after="0" w:line="328" w:lineRule="auto"/>
        <w:tabs>
          <w:tab w:leader="none" w:pos="8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0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An interested stockholder is defined as a person who, together with any affiliates or associates of such person, beneficially owns, directly or indirectly, 15% or more of the outstanding voting shares of a Delaware 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Our Certificate of Incorporation and Our Bylaws</w:t>
      </w:r>
    </w:p>
    <w:p>
      <w:pPr>
        <w:spacing w:after="0" w:line="20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Provisions of our Certificate of Incorporation and our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Among other things, our Certificate of Incorporation and Bylaws:</w:t>
      </w:r>
    </w:p>
    <w:p>
      <w:pPr>
        <w:spacing w:after="0" w:line="206" w:lineRule="exact"/>
        <w:rPr>
          <w:sz w:val="20"/>
          <w:szCs w:val="20"/>
          <w:color w:val="auto"/>
        </w:rPr>
      </w:pPr>
    </w:p>
    <w:p>
      <w:pPr>
        <w:jc w:val="both"/>
        <w:ind w:left="880" w:hanging="440"/>
        <w:spacing w:after="0"/>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provide for the division of the Board into three classes, each class consisting as nearly as possible of one-third of the whole. The term of office of one class of directors expires each year; with each class of directors elected for a term of three years and until the stockholders elect their qualified successors;</w:t>
      </w:r>
    </w:p>
    <w:p>
      <w:pPr>
        <w:spacing w:after="0" w:line="186" w:lineRule="exact"/>
        <w:rPr>
          <w:rFonts w:ascii="Arial" w:cs="Arial" w:eastAsia="Arial" w:hAnsi="Arial"/>
          <w:sz w:val="22"/>
          <w:szCs w:val="22"/>
          <w:color w:val="auto"/>
        </w:rPr>
      </w:pPr>
    </w:p>
    <w:p>
      <w:pPr>
        <w:jc w:val="both"/>
        <w:ind w:left="880" w:right="20" w:hanging="440"/>
        <w:spacing w:after="0"/>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provide that all vacancies, including newly created directorships, may, except as otherwise required by law or, if applicable, the rights of holders of a series of preferred stock, be filled by a majority of directors then in office, even if less than a quorum, or by the sole remaining director;</w:t>
      </w:r>
    </w:p>
    <w:p>
      <w:pPr>
        <w:spacing w:after="0" w:line="186"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provide that our Certificate of Incorporation and Bylaws may be amended by the affirmative vote of the holders of at least two-thirds of our then outstanding voting stock;</w:t>
      </w:r>
    </w:p>
    <w:p>
      <w:pPr>
        <w:spacing w:after="0" w:line="174" w:lineRule="exact"/>
        <w:rPr>
          <w:rFonts w:ascii="Arial" w:cs="Arial" w:eastAsia="Arial" w:hAnsi="Arial"/>
          <w:sz w:val="22"/>
          <w:szCs w:val="22"/>
          <w:color w:val="auto"/>
        </w:rPr>
      </w:pPr>
    </w:p>
    <w:p>
      <w:pPr>
        <w:ind w:left="880" w:right="20" w:hanging="440"/>
        <w:spacing w:after="0" w:line="250" w:lineRule="auto"/>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provide that special meetings of our stockholders may only be called by our chairman or by a majority of the directors then in office;</w:t>
      </w:r>
    </w:p>
    <w:p>
      <w:pPr>
        <w:spacing w:after="0" w:line="174" w:lineRule="exact"/>
        <w:rPr>
          <w:rFonts w:ascii="Arial" w:cs="Arial" w:eastAsia="Arial" w:hAnsi="Arial"/>
          <w:sz w:val="22"/>
          <w:szCs w:val="22"/>
          <w:color w:val="auto"/>
        </w:rPr>
      </w:pPr>
    </w:p>
    <w:p>
      <w:pPr>
        <w:jc w:val="both"/>
        <w:ind w:left="880" w:hanging="440"/>
        <w:spacing w:after="0" w:line="287" w:lineRule="auto"/>
        <w:tabs>
          <w:tab w:leader="none" w:pos="8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provide that the affirmative vote of the holders of not less than two-thirds of the outstanding voting stock of the Company voting as a single class shall be required for the approval or authorization of any (i) merger or consolidation of the Company with or into any other corporation, or (ii) sale, lease or exchange of all or substantially all of the assets of the Company to or with any other corporation, person or entity; provided, however, that such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6" w:name="page97"/>
    <w:bookmarkEnd w:id="96"/>
    <w:p>
      <w:pPr>
        <w:jc w:val="both"/>
        <w:ind w:left="440"/>
        <w:spacing w:after="0" w:line="246" w:lineRule="auto"/>
        <w:rPr>
          <w:sz w:val="20"/>
          <w:szCs w:val="20"/>
          <w:color w:val="auto"/>
        </w:rPr>
      </w:pPr>
      <w:r>
        <w:rPr>
          <w:rFonts w:ascii="Arial" w:cs="Arial" w:eastAsia="Arial" w:hAnsi="Arial"/>
          <w:sz w:val="21"/>
          <w:szCs w:val="21"/>
          <w:color w:val="auto"/>
        </w:rPr>
        <w:t>two-thirds voting requirement shall not be applicable if (a) the Company is merged with a corporation in which at least two-thirds of the outstanding shares of each class of stock of such corporation is owned by the Company, or (b) if a transaction described in clauses (i) or (ii) above has been approved by a vote of at least a majority of the members of the board of directors of the Company. If such two-thirds voting requirement of the outstanding voting stock of the Company shall not be applicable under the provisions of clauses (a) or (b) above, then in such event transactions specified in (i) or (ii) above shall require only such affirmative vote as is required by law, regulation or any other provision of our Certificate of Incorporation; and</w:t>
      </w:r>
    </w:p>
    <w:p>
      <w:pPr>
        <w:spacing w:after="0" w:line="184" w:lineRule="exact"/>
        <w:rPr>
          <w:sz w:val="20"/>
          <w:szCs w:val="20"/>
          <w:color w:val="auto"/>
        </w:rPr>
      </w:pPr>
    </w:p>
    <w:p>
      <w:pPr>
        <w:ind w:left="440" w:hanging="440"/>
        <w:spacing w:after="0"/>
        <w:tabs>
          <w:tab w:leader="none" w:pos="4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provide that our Bylaws can be amended by our board of directors.</w:t>
      </w: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151765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56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DESCRIPTION OF PREFERRED STOCK PURCHASE RIGHTS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following description of the Rights is not complete and is subject to, and is qualified in its entirety by reference to, the full text and provisions of the Section 382 Rights Agreement, dated as of July 6, 2020, between the Company and Computershare Trust company, N.A., as rights agent, a copy of which is filed as an exhibit to the Annual Report on Form 10-K of which this exhibit is a part.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Distribution Date; Exercisability; Expiration</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Initially, the Rights will be attached to all certificates representing outstanding shares of Common Stock (the “Common Shares”) (or other evidence of book-entry or other uncertificated ownership) and no separate certificates evidencing the Rights (“Right Certificates”) will be issued. Until the Distribution Date (as defined below), the Rights will be transferred with and only with the Common Shares. As long as the Rights are attached to the Common Shares, the Company will issue one Right with each new Common Share so that all such Common Shares will have Rights attached (subject to certain limited exceptions).</w:t>
      </w:r>
    </w:p>
    <w:p>
      <w:pPr>
        <w:spacing w:after="0" w:line="14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The Rights will separate and begin trading separately from the Common Shares, and Right Certificates will be caused to evidence the Rights, on the earlier to occur of (i) the Close of Business (as such term is defined in the Rights Agreement) on the tenth day following a public announcement, or the public disclosure of facts indicating, that a Person or group of affiliated or associated Persons has acquired Beneficial Ownership of 4.9% or more of the outstanding Common Shares (an “Acquiring Person”) (or, in the event that the Board of Directors determines to effect an exchange in accordance with Section 24 of the Rights Agreement and the Board of Directors determines that a later date is advisable, then such later date) and (ii) the Close of Business on the tenth Business Day (as such term is defined in the Rights Agreement)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Shares (the earlier of such dates, the “Distribution Date”). As soon as practicable after the Distribution Date, unless the Rights are recorded in book-entry or other uncertificated form, the Company will prepare and cause the Right Certificates to be sent to each record holder of Common Shares as of the Distribution Date.</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An “Acquiring Person” will not include (i) the Company, (ii) any Subsidiary (as such term is defined in the Rights Agreement) of the Company, (iii) any employee benefit plan of the Company or of any Subsidiary of the Company, (iv) any entity holding Common Shares for or pursuant to the terms of any such employee benefit plan or (v) any Person who or which, together with all Affiliates and Associates (as such terms are defined in the Rights Agreement) of such Person, at the time of the first public announcement of the Rights Agreement, is a Beneficial Owner of 4.9% or more of the Common Shares then outstanding (a “Grandfathered Stockholder”). However, if a Grandfathered Stockholder becomes, after such time, the Beneficial Owner of any additional Common Shares (regardless of whether, thereafter or as a result thereof, there is an increase, decrease or no change in the percentage of Common Shares then outstanding Beneficially Owned (as such term is defined in the Rights Agreement) by such Grandfathered Stockholder) then such Grandfathered Stockholder shall be deemed to be an Acquiring Person unless, upon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98" w:name="page99"/>
    <w:bookmarkEnd w:id="98"/>
    <w:p>
      <w:pPr>
        <w:jc w:val="both"/>
        <w:spacing w:after="0" w:line="273" w:lineRule="auto"/>
        <w:rPr>
          <w:sz w:val="20"/>
          <w:szCs w:val="20"/>
          <w:color w:val="auto"/>
        </w:rPr>
      </w:pPr>
      <w:r>
        <w:rPr>
          <w:rFonts w:ascii="Arial" w:cs="Arial" w:eastAsia="Arial" w:hAnsi="Arial"/>
          <w:sz w:val="19"/>
          <w:szCs w:val="19"/>
          <w:color w:val="auto"/>
        </w:rPr>
        <w:t>acquisition of Beneficial Ownership of additional Common Shares, such person is not the Beneficial Owner of 4.9% or more of the Common Shares then outstanding. In addition, upon the first decrease of a Grandfathered Stockholder’s Beneficial Ownership below 4.9%, such Grandfathered Stockholder will no longer be deemed to be a Grandfathered Stockholder. In the event that after the time of the first public announcement of the Rights Agreement, any agreement, arrangement or understanding pursuant to which any Grandfathered Stockholder is deemed to be the Beneficial Owner of Common Shares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4.9% or more of the Common Shares then outstanding.</w:t>
      </w:r>
    </w:p>
    <w:p>
      <w:pPr>
        <w:spacing w:after="0" w:line="15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“Beneficial Ownership” is defined in the Rights Agreement to include any securities (i) which a Person or any of such Person’s Affiliates or Associates (a) actually owns (directly or indirectly) or would be deemed to actually or constructively own for purposes of Section 382 of the Code or the Treasury Regulations (as such terms are defined in the Rights Agreement) promulgated thereunder, including any coordinated acquisition of securities by any Persons who have a formal or informal understanding with respect to such acquisition (to the extent ownership of such securities would be attributed to such Persons under Section 382 of the Code and the Treasury Regulations promulgated thereunder), (b) beneficially owns, directly or indirectly, within the meaning of Rules 13d-3 or 13d-5 promulgated under the Exchange Act or (c)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 holding or voting such securities, or obtaining, changing or influencing control of the Company or (iii) which are the subject of, or reference securities for, or that underlie, certain derivative positions of any Person or any of such Person’s Affiliates or Associates; </w:t>
      </w:r>
      <w:r>
        <w:rPr>
          <w:rFonts w:ascii="Arial" w:cs="Arial" w:eastAsia="Arial" w:hAnsi="Arial"/>
          <w:sz w:val="19"/>
          <w:szCs w:val="19"/>
          <w:i w:val="1"/>
          <w:iCs w:val="1"/>
          <w:color w:val="auto"/>
        </w:rPr>
        <w:t>provided</w:t>
      </w:r>
      <w:r>
        <w:rPr>
          <w:rFonts w:ascii="Arial" w:cs="Arial" w:eastAsia="Arial" w:hAnsi="Arial"/>
          <w:sz w:val="19"/>
          <w:szCs w:val="19"/>
          <w:color w:val="auto"/>
        </w:rPr>
        <w:t>, that a Person shall not be deemed to be the Beneficial Owner of, or to Beneficially Own, (x) securities tendered pursuant to a tender or exchange offer made pursuant to, and in accordance with, the applicable rules and regulations promulgated under the Exchange Act until such tendered securities are accepted for purchase or exchange or (y) any shares of the Company’s Preferred Stock or Class C Preferred Stock (other than the Preferred Shares).</w:t>
      </w:r>
    </w:p>
    <w:p>
      <w:pPr>
        <w:spacing w:after="0" w:line="16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The Rights are not exercisable until the Distribution Date. The Rights will expire on the earliest to occur of (i) the Close of Business on the day following the certification of the voting results of the Company’s 2021 annual meeting of stockholders, if at such stockholder meeting or any other meeting of stockholders of the Company duly held prior to such meeting, a proposal to ratify the Rights Agreement has not been passed by the requisite vote of the Company’s stockholders, (ii)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(iii) the Close of Business on July 6, 2023 (the “Final Expiration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99" w:name="page100"/>
    <w:bookmarkEnd w:id="99"/>
    <w:p>
      <w:pPr>
        <w:ind w:left="880"/>
        <w:spacing w:after="0"/>
        <w:rPr>
          <w:sz w:val="20"/>
          <w:szCs w:val="20"/>
          <w:color w:val="auto"/>
        </w:rPr>
      </w:pPr>
      <w:r>
        <w:rPr>
          <w:rFonts w:ascii="Arial" w:cs="Arial" w:eastAsia="Arial" w:hAnsi="Arial"/>
          <w:sz w:val="22"/>
          <w:szCs w:val="22"/>
          <w:b w:val="1"/>
          <w:bCs w:val="1"/>
          <w:color w:val="auto"/>
        </w:rPr>
        <w:t>Exempt Persons and Transactions</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The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the Board of Directors makes a contrary determination with respect to such Person regardless of the reason therefor. In addition, the Board of Directors may, in its sole and absolute discretion, exempt any transaction from triggering the Rights Agreement, so long as the determination in respect of such exemption is made prior to such time as any Person becomes an Acquiring Person. Any Person, together with all Affiliates and Associates of such Person, who proposes to acquire 4.9% or more of the outstanding Common Shares may apply to the Board of Directors in advance for an exemption in accordance with and pursuant to the terms of the Rights Agreement.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Flip-in Event</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of Directors so elects, the Company may deliver upon payment of the exercise price of a Right an amount of cash, securities or other property equivalent in value to the Common Shares issuable upon exercise of a Right.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Exchange</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At any time after any Person becomes an Acquiring Person, the Board of Directors may exchange the Rights (other than Rights owned by any Person which have become void), in whole or in part, at an exchange ratio of one Common Share per Right (subject to adjustment). The Company may issue, transfer or deposit such Common Shares (or other property as permitted under the Rights Agreement) to or into a trust or other entity created upon such terms as the Board of Directors may determine and may direct that all holders of Rights receive such Common Shares or other property only from the trust or other entity. In the event that the Board of Directors determines, before the Distribution Date, to effect an exchange, the Board of Directors may delay the occurrence of the Distribution Date to such time as it deems advisable.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Flip-over Event</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Shares are or will be changed into or exchanged for stock or other securities of any other Person or cash or any other property or (ii) 50% or more of the Company’s consolidated assets or Earning Power (as defined in the Rights Agreement) is sold, then proper provision will be made so that each holder of a Right will thereafter have the right to receive, upon the exercise thereof at the then current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2"/>
          <w:szCs w:val="22"/>
          <w:color w:val="auto"/>
        </w:rPr>
        <w:t>exercise price of the Right, that number of shares of common stock of the acquiring company which at the time of such transaction will have a market value of two times the exercise price of the Right.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Redemption</w:t>
      </w:r>
    </w:p>
    <w:p>
      <w:pPr>
        <w:spacing w:after="0" w:line="21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At any time prior to the earlier to occur of (i) the Close of Business on the tenth day following the Stock Acquisition Date (as defined in the Rights Agreement) (or, if the tenth day following the Stock Acquisition Date occurs before the Record Date, the Close of Business on the Record Date) and (ii) the Final Expiration Date, the Board of Directors may redeem the Rights in whole, but not in part, at a price of $0.001 per Right (the “Redemption Price”).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Amendment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terms of the Rights may be amended by the Board of Directors without the consent of the holders of the Rights, except that at any time after the Close of Business on the tenth day following the Stock Acquisition Date (or, if the tenth day following the Stock Acquisition Date occurs before the Record Date, the Close of Business on the Record Date), no such amendment may adversely affect the interests of the holders of the Rights (other than the Acquiring Person and its Affiliates and Associates).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Preferred Stock Rights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Rights of Holders</w:t>
      </w:r>
    </w:p>
    <w:p>
      <w:pPr>
        <w:spacing w:after="0" w:line="21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Until a Right is exercised, the holder thereof, as such, will have no rights as a stockholder of the Company, including, without limitation, the right to vote or to receive dividends.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3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21.1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LSB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SUBSIDIARY LISTING</w:t>
      </w:r>
    </w:p>
    <w:p>
      <w:pPr>
        <w:jc w:val="center"/>
        <w:spacing w:after="0"/>
        <w:rPr>
          <w:sz w:val="20"/>
          <w:szCs w:val="20"/>
          <w:color w:val="auto"/>
        </w:rPr>
      </w:pPr>
      <w:r>
        <w:rPr>
          <w:rFonts w:ascii="Arial" w:cs="Arial" w:eastAsia="Arial" w:hAnsi="Arial"/>
          <w:sz w:val="22"/>
          <w:szCs w:val="22"/>
          <w:b w:val="1"/>
          <w:bCs w:val="1"/>
          <w:color w:val="auto"/>
        </w:rPr>
        <w:t>December 31, 2020</w:t>
      </w:r>
    </w:p>
    <w:p>
      <w:pPr>
        <w:spacing w:after="0" w:line="188" w:lineRule="exact"/>
        <w:rPr>
          <w:sz w:val="20"/>
          <w:szCs w:val="20"/>
          <w:color w:val="auto"/>
        </w:rPr>
      </w:pPr>
    </w:p>
    <w:p>
      <w:pPr>
        <w:jc w:val="right"/>
        <w:ind w:right="5940"/>
        <w:spacing w:after="0"/>
        <w:rPr>
          <w:sz w:val="20"/>
          <w:szCs w:val="20"/>
          <w:color w:val="auto"/>
        </w:rPr>
      </w:pPr>
      <w:r>
        <w:rPr>
          <w:rFonts w:ascii="Arial" w:cs="Arial" w:eastAsia="Arial" w:hAnsi="Arial"/>
          <w:sz w:val="19"/>
          <w:szCs w:val="19"/>
          <w:color w:val="auto"/>
        </w:rPr>
        <w:t>LSB INDUSTRIES, INC. (Direct subsidiaries in bold italics)</w:t>
      </w:r>
    </w:p>
    <w:p>
      <w:pPr>
        <w:spacing w:after="0" w:line="241" w:lineRule="exact"/>
        <w:rPr>
          <w:sz w:val="20"/>
          <w:szCs w:val="20"/>
          <w:color w:val="auto"/>
        </w:rPr>
      </w:pPr>
    </w:p>
    <w:p>
      <w:pPr>
        <w:jc w:val="right"/>
        <w:ind w:right="5940"/>
        <w:spacing w:after="0"/>
        <w:rPr>
          <w:sz w:val="20"/>
          <w:szCs w:val="20"/>
          <w:color w:val="auto"/>
        </w:rPr>
      </w:pPr>
      <w:r>
        <w:rPr>
          <w:rFonts w:ascii="Arial" w:cs="Arial" w:eastAsia="Arial" w:hAnsi="Arial"/>
          <w:sz w:val="22"/>
          <w:szCs w:val="22"/>
          <w:b w:val="1"/>
          <w:bCs w:val="1"/>
          <w:i w:val="1"/>
          <w:iCs w:val="1"/>
          <w:color w:val="auto"/>
        </w:rPr>
        <w:t>LSB Chemical L.L.C. (f/k/a/ LSB Chemical Corp.)</w:t>
      </w:r>
    </w:p>
    <w:p>
      <w:pPr>
        <w:ind w:left="1580"/>
        <w:spacing w:after="0" w:line="238" w:lineRule="auto"/>
        <w:rPr>
          <w:sz w:val="20"/>
          <w:szCs w:val="20"/>
          <w:color w:val="auto"/>
        </w:rPr>
      </w:pPr>
      <w:r>
        <w:rPr>
          <w:rFonts w:ascii="Arial" w:cs="Arial" w:eastAsia="Arial" w:hAnsi="Arial"/>
          <w:sz w:val="22"/>
          <w:szCs w:val="22"/>
          <w:color w:val="auto"/>
        </w:rPr>
        <w:t>Cherokee Nitrogen L.L.C. (f/k/a Cherokee Nitrogen Company)</w:t>
      </w:r>
    </w:p>
    <w:p>
      <w:pPr>
        <w:ind w:left="1580"/>
        <w:spacing w:after="0" w:line="230" w:lineRule="auto"/>
        <w:rPr>
          <w:sz w:val="20"/>
          <w:szCs w:val="20"/>
          <w:color w:val="auto"/>
        </w:rPr>
      </w:pPr>
      <w:r>
        <w:rPr>
          <w:rFonts w:ascii="Arial" w:cs="Arial" w:eastAsia="Arial" w:hAnsi="Arial"/>
          <w:sz w:val="22"/>
          <w:szCs w:val="22"/>
          <w:color w:val="auto"/>
        </w:rPr>
        <w:t>El Dorado Chemical Company</w:t>
      </w:r>
    </w:p>
    <w:p>
      <w:pPr>
        <w:ind w:left="2380"/>
        <w:spacing w:after="0" w:line="231" w:lineRule="auto"/>
        <w:rPr>
          <w:sz w:val="20"/>
          <w:szCs w:val="20"/>
          <w:color w:val="auto"/>
        </w:rPr>
      </w:pPr>
      <w:r>
        <w:rPr>
          <w:rFonts w:ascii="Arial" w:cs="Arial" w:eastAsia="Arial" w:hAnsi="Arial"/>
          <w:sz w:val="22"/>
          <w:szCs w:val="22"/>
          <w:color w:val="auto"/>
        </w:rPr>
        <w:t>EDC Ag Products Company L.L.C.</w:t>
      </w:r>
    </w:p>
    <w:p>
      <w:pPr>
        <w:ind w:left="2380"/>
        <w:spacing w:after="0" w:line="230" w:lineRule="auto"/>
        <w:rPr>
          <w:sz w:val="20"/>
          <w:szCs w:val="20"/>
          <w:color w:val="auto"/>
        </w:rPr>
      </w:pPr>
      <w:r>
        <w:rPr>
          <w:rFonts w:ascii="Arial" w:cs="Arial" w:eastAsia="Arial" w:hAnsi="Arial"/>
          <w:sz w:val="22"/>
          <w:szCs w:val="22"/>
          <w:color w:val="auto"/>
        </w:rPr>
        <w:t>Chemex I Corp. (f/k/a Slurry Explosive Corporation)</w:t>
      </w:r>
    </w:p>
    <w:p>
      <w:pPr>
        <w:ind w:left="2380"/>
        <w:spacing w:after="0" w:line="231" w:lineRule="auto"/>
        <w:rPr>
          <w:sz w:val="20"/>
          <w:szCs w:val="20"/>
          <w:color w:val="auto"/>
        </w:rPr>
      </w:pPr>
      <w:r>
        <w:rPr>
          <w:rFonts w:ascii="Arial" w:cs="Arial" w:eastAsia="Arial" w:hAnsi="Arial"/>
          <w:sz w:val="22"/>
          <w:szCs w:val="22"/>
          <w:color w:val="auto"/>
        </w:rPr>
        <w:t>El Dorado Ammonia L.L.C.</w:t>
      </w:r>
    </w:p>
    <w:p>
      <w:pPr>
        <w:ind w:left="1580" w:right="320"/>
        <w:spacing w:after="0" w:line="230" w:lineRule="auto"/>
        <w:rPr>
          <w:sz w:val="20"/>
          <w:szCs w:val="20"/>
          <w:color w:val="auto"/>
        </w:rPr>
      </w:pPr>
      <w:r>
        <w:rPr>
          <w:rFonts w:ascii="Arial" w:cs="Arial" w:eastAsia="Arial" w:hAnsi="Arial"/>
          <w:sz w:val="22"/>
          <w:szCs w:val="22"/>
          <w:color w:val="auto"/>
        </w:rPr>
        <w:t>El Dorado Nitrogen L.L.C. (f/k/a El Dorado Nitric L.L.C., f/k/a El Dorado Nitric Company, f/k/a El Dorado Nitrogen Company, f/k/a LSB Nitrogen Corporation, f/k/a LSB Import Corp.)</w:t>
      </w:r>
    </w:p>
    <w:p>
      <w:pPr>
        <w:ind w:left="1580"/>
        <w:spacing w:after="0" w:line="231" w:lineRule="auto"/>
        <w:rPr>
          <w:sz w:val="20"/>
          <w:szCs w:val="20"/>
          <w:color w:val="auto"/>
        </w:rPr>
      </w:pPr>
      <w:r>
        <w:rPr>
          <w:rFonts w:ascii="Arial" w:cs="Arial" w:eastAsia="Arial" w:hAnsi="Arial"/>
          <w:sz w:val="22"/>
          <w:szCs w:val="22"/>
          <w:color w:val="auto"/>
        </w:rPr>
        <w:t>Pryor Chemical Company (f/k/a Pryor Plant Chemical Company, f/k/a LSB Financial Corp.)</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TRISON Construction, Inc.</w:t>
      </w:r>
    </w:p>
    <w:p>
      <w:pPr>
        <w:sectPr>
          <w:pgSz w:w="11900" w:h="16838" w:orient="portrait"/>
          <w:cols w:equalWidth="0" w:num="1">
            <w:col w:w="11240"/>
          </w:cols>
          <w:pgMar w:left="32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280" w:right="160" w:hanging="638"/>
        <w:spacing w:after="0" w:line="277"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333-199864) pertaining to the LSB Industries, Inc. 2008 Incentive Stock Plan, as amended by the First Amendment;</w:t>
      </w:r>
    </w:p>
    <w:p>
      <w:pPr>
        <w:spacing w:after="0" w:line="170" w:lineRule="exact"/>
        <w:rPr>
          <w:rFonts w:ascii="Arial" w:cs="Arial" w:eastAsia="Arial" w:hAnsi="Arial"/>
          <w:sz w:val="18"/>
          <w:szCs w:val="18"/>
          <w:color w:val="auto"/>
        </w:rPr>
      </w:pPr>
    </w:p>
    <w:p>
      <w:pPr>
        <w:ind w:left="1280" w:right="140" w:hanging="638"/>
        <w:spacing w:after="0" w:line="277"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LSB Industries, Inc. 2008 Incentive Stock Plan or any combination of the foregoing;</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333-209838) pertaining to the LSB Industries, Inc. 2008 Incentive Plan, as amended;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Registration Statement (Form S-8 No. 333-212281) pertaining to the LSB Industries, Inc. 2016 Long Term Incentive Plan; and</w:t>
      </w:r>
    </w:p>
    <w:p>
      <w:pPr>
        <w:spacing w:after="0" w:line="236" w:lineRule="exact"/>
        <w:rPr>
          <w:rFonts w:ascii="Arial" w:cs="Arial" w:eastAsia="Arial" w:hAnsi="Arial"/>
          <w:sz w:val="17"/>
          <w:szCs w:val="17"/>
          <w:color w:val="auto"/>
        </w:rPr>
      </w:pPr>
    </w:p>
    <w:p>
      <w:pPr>
        <w:ind w:left="1280" w:hanging="638"/>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S-3 No. 333-228139) of LSB Industries, Inc.</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February 25, 2021, with respect to the consolidated financial statements and schedule of LSB Industries, Inc. included in this Annual Report (Form 10-K) of LSB Industries, Inc.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35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760" w:right="20" w:hanging="578"/>
        <w:spacing w:after="0" w:line="263" w:lineRule="auto"/>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760" w:hanging="578"/>
        <w:spacing w:after="0" w:line="263" w:lineRule="auto"/>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580" w:hanging="572"/>
        <w:spacing w:after="0" w:line="308"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760" w:hanging="578"/>
        <w:spacing w:after="0" w:line="342" w:lineRule="auto"/>
        <w:tabs>
          <w:tab w:leader="none" w:pos="17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760" w:right="20" w:hanging="578"/>
        <w:spacing w:after="0" w:line="277" w:lineRule="auto"/>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760" w:right="20" w:hanging="578"/>
        <w:spacing w:after="0" w:line="263" w:lineRule="auto"/>
        <w:tabs>
          <w:tab w:leader="none" w:pos="1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760" w:hanging="578"/>
        <w:spacing w:after="0" w:line="263" w:lineRule="auto"/>
        <w:tabs>
          <w:tab w:leader="none" w:pos="1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580" w:right="20" w:hanging="572"/>
        <w:spacing w:after="0" w:line="342"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760" w:hanging="578"/>
        <w:spacing w:after="0" w:line="342" w:lineRule="auto"/>
        <w:tabs>
          <w:tab w:leader="none" w:pos="17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760" w:hanging="578"/>
        <w:spacing w:after="0" w:line="277" w:lineRule="auto"/>
        <w:tabs>
          <w:tab w:leader="none" w:pos="1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2020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2020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2"/>
    </w:lvl>
  </w:abstractNum>
  <w:abstractNum w:abstractNumId="10">
    <w:nsid w:val="7724C67E"/>
    <w:multiLevelType w:val="hybridMultilevel"/>
    <w:lvl w:ilvl="0">
      <w:lvlJc w:val="left"/>
      <w:lvlText w:val="%1."/>
      <w:numFmt w:val="decimal"/>
      <w:start w:val="3"/>
    </w:lvl>
  </w:abstractNum>
  <w:abstractNum w:abstractNumId="11">
    <w:nsid w:val="5C482A97"/>
    <w:multiLevelType w:val="hybridMultilevel"/>
    <w:lvl w:ilvl="0">
      <w:lvlJc w:val="left"/>
      <w:lvlText w:val="%1."/>
      <w:numFmt w:val="decimal"/>
      <w:start w:val="4"/>
    </w:lvl>
  </w:abstractNum>
  <w:abstractNum w:abstractNumId="12">
    <w:nsid w:val="2463B9EA"/>
    <w:multiLevelType w:val="hybridMultilevel"/>
    <w:lvl w:ilvl="0">
      <w:lvlJc w:val="left"/>
      <w:lvlText w:val="%1."/>
      <w:numFmt w:val="decimal"/>
      <w:start w:val="5"/>
    </w:lvl>
  </w:abstractNum>
  <w:abstractNum w:abstractNumId="13">
    <w:nsid w:val="5E884ADC"/>
    <w:multiLevelType w:val="hybridMultilevel"/>
    <w:lvl w:ilvl="0">
      <w:lvlJc w:val="left"/>
      <w:lvlText w:val="%1."/>
      <w:numFmt w:val="decimal"/>
      <w:start w:val="6"/>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7"/>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upperLetter"/>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lvl w:ilvl="1">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8"/>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04"/>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upperLetter"/>
      <w:start w:val="1"/>
    </w:lvl>
  </w:abstractNum>
  <w:abstractNum w:abstractNumId="41">
    <w:nsid w:val="70C6A529"/>
    <w:multiLevelType w:val="hybridMultilevel"/>
    <w:lvl w:ilvl="0">
      <w:lvlJc w:val="left"/>
      <w:lvlText w:val="(%1)"/>
      <w:numFmt w:val="upperLetter"/>
      <w:start w:val="2"/>
    </w:lvl>
  </w:abstractNum>
  <w:abstractNum w:abstractNumId="42">
    <w:nsid w:val="520EEDD1"/>
    <w:multiLevelType w:val="hybridMultilevel"/>
    <w:lvl w:ilvl="0">
      <w:lvlJc w:val="left"/>
      <w:lvlText w:val="(%1)"/>
      <w:numFmt w:val="upperLetter"/>
      <w:start w:val="3"/>
    </w:lvl>
  </w:abstractNum>
  <w:abstractNum w:abstractNumId="43">
    <w:nsid w:val="374A3FE6"/>
    <w:multiLevelType w:val="hybridMultilevel"/>
    <w:lvl w:ilvl="0">
      <w:lvlJc w:val="left"/>
      <w:lvlText w:val="(%1)"/>
      <w:numFmt w:val="upperLetter"/>
      <w:start w:val="8"/>
    </w:lvl>
  </w:abstractNum>
  <w:abstractNum w:abstractNumId="44">
    <w:nsid w:val="4F4EF005"/>
    <w:multiLevelType w:val="hybridMultilevel"/>
    <w:lvl w:ilvl="0">
      <w:lvlJc w:val="left"/>
      <w:lvlText w:val="%1."/>
      <w:numFmt w:val="decimal"/>
      <w:start w:val="8"/>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lvl w:ilvl="1">
      <w:lvlJc w:val="left"/>
      <w:lvlText w:val="(%2)"/>
      <w:numFmt w:val="decimal"/>
      <w:start w:val="1"/>
    </w:lvl>
  </w:abstractNum>
  <w:abstractNum w:abstractNumId="47">
    <w:nsid w:val="275AC794"/>
    <w:multiLevelType w:val="hybridMultilevel"/>
    <w:lvl w:ilvl="0">
      <w:lvlJc w:val="left"/>
      <w:lvlText w:val="%1."/>
      <w:numFmt w:val="decimal"/>
      <w:start w:val="10"/>
    </w:lvl>
    <w:lvl w:ilvl="1">
      <w:lvlJc w:val="left"/>
      <w:lvlText w:val="%2"/>
      <w:numFmt w:val="decimal"/>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2"/>
    </w:lvl>
  </w:abstractNum>
  <w:abstractNum w:abstractNumId="53">
    <w:nsid w:val="354FE9F9"/>
    <w:multiLevelType w:val="hybridMultilevel"/>
    <w:lvl w:ilvl="0">
      <w:lvlJc w:val="left"/>
      <w:lvlText w:val="(%1)"/>
      <w:numFmt w:val="upperLetter"/>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29" Type="http://schemas.openxmlformats.org/officeDocument/2006/relationships/image" Target="media/image67.png"/><Relationship Id="rId130" Type="http://schemas.openxmlformats.org/officeDocument/2006/relationships/image" Target="media/image68.png"/><Relationship Id="rId131" Type="http://schemas.openxmlformats.org/officeDocument/2006/relationships/image" Target="media/image69.png"/><Relationship Id="rId144" Type="http://schemas.openxmlformats.org/officeDocument/2006/relationships/image" Target="media/image70.png"/><Relationship Id="rId145" Type="http://schemas.openxmlformats.org/officeDocument/2006/relationships/image" Target="media/image71.png"/><Relationship Id="rId146" Type="http://schemas.openxmlformats.org/officeDocument/2006/relationships/image" Target="media/image72.png"/><Relationship Id="rId158" Type="http://schemas.openxmlformats.org/officeDocument/2006/relationships/image" Target="media/image73.png"/><Relationship Id="rId159" Type="http://schemas.openxmlformats.org/officeDocument/2006/relationships/image" Target="media/image74.png"/><Relationship Id="rId160" Type="http://schemas.openxmlformats.org/officeDocument/2006/relationships/image" Target="media/image75.png"/><Relationship Id="rId171" Type="http://schemas.openxmlformats.org/officeDocument/2006/relationships/image" Target="media/image76.png"/><Relationship Id="rId172" Type="http://schemas.openxmlformats.org/officeDocument/2006/relationships/image" Target="media/image77.png"/><Relationship Id="rId173" Type="http://schemas.openxmlformats.org/officeDocument/2006/relationships/image" Target="media/image78.png"/><Relationship Id="rId174" Type="http://schemas.openxmlformats.org/officeDocument/2006/relationships/image" Target="media/image79.png"/><Relationship Id="rId175" Type="http://schemas.openxmlformats.org/officeDocument/2006/relationships/image" Target="media/image80.png"/><Relationship Id="rId176" Type="http://schemas.openxmlformats.org/officeDocument/2006/relationships/image" Target="media/image81.png"/><Relationship Id="rId177" Type="http://schemas.openxmlformats.org/officeDocument/2006/relationships/image" Target="media/image82.png"/><Relationship Id="rId178" Type="http://schemas.openxmlformats.org/officeDocument/2006/relationships/image" Target="media/image83.png"/><Relationship Id="rId179" Type="http://schemas.openxmlformats.org/officeDocument/2006/relationships/image" Target="media/image84.png"/><Relationship Id="rId180" Type="http://schemas.openxmlformats.org/officeDocument/2006/relationships/image" Target="media/image85.png"/><Relationship Id="rId181" Type="http://schemas.openxmlformats.org/officeDocument/2006/relationships/image" Target="media/image86.png"/><Relationship Id="rId182" Type="http://schemas.openxmlformats.org/officeDocument/2006/relationships/image" Target="media/image87.png"/><Relationship Id="rId183" Type="http://schemas.openxmlformats.org/officeDocument/2006/relationships/image" Target="media/image88.png"/><Relationship Id="rId184" Type="http://schemas.openxmlformats.org/officeDocument/2006/relationships/image" Target="media/image89.png"/><Relationship Id="rId185" Type="http://schemas.openxmlformats.org/officeDocument/2006/relationships/image" Target="media/image90.png"/><Relationship Id="rId186" Type="http://schemas.openxmlformats.org/officeDocument/2006/relationships/image" Target="media/image91.png"/><Relationship Id="rId187" Type="http://schemas.openxmlformats.org/officeDocument/2006/relationships/image" Target="media/image92.png"/><Relationship Id="rId188" Type="http://schemas.openxmlformats.org/officeDocument/2006/relationships/image" Target="media/image93.png"/><Relationship Id="rId189" Type="http://schemas.openxmlformats.org/officeDocument/2006/relationships/image" Target="media/image94.png"/><Relationship Id="rId190" Type="http://schemas.openxmlformats.org/officeDocument/2006/relationships/image" Target="media/image95.png"/><Relationship Id="rId191" Type="http://schemas.openxmlformats.org/officeDocument/2006/relationships/image" Target="media/image96.png"/><Relationship Id="rId192" Type="http://schemas.openxmlformats.org/officeDocument/2006/relationships/image" Target="media/image97.png"/><Relationship Id="rId193" Type="http://schemas.openxmlformats.org/officeDocument/2006/relationships/image" Target="media/image98.png"/><Relationship Id="rId194" Type="http://schemas.openxmlformats.org/officeDocument/2006/relationships/image" Target="media/image99.png"/><Relationship Id="rId195" Type="http://schemas.openxmlformats.org/officeDocument/2006/relationships/image" Target="media/image100.png"/><Relationship Id="rId196" Type="http://schemas.openxmlformats.org/officeDocument/2006/relationships/image" Target="media/image101.png"/><Relationship Id="rId197" Type="http://schemas.openxmlformats.org/officeDocument/2006/relationships/image" Target="media/image102.png"/><Relationship Id="rId198" Type="http://schemas.openxmlformats.org/officeDocument/2006/relationships/image" Target="media/image103.png"/><Relationship Id="rId199"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2" Type="http://schemas.openxmlformats.org/officeDocument/2006/relationships/image" Target="media/image107.png"/><Relationship Id="rId203" Type="http://schemas.openxmlformats.org/officeDocument/2006/relationships/image" Target="media/image108.png"/><Relationship Id="rId204" Type="http://schemas.openxmlformats.org/officeDocument/2006/relationships/image" Target="media/image109.png"/><Relationship Id="rId205" Type="http://schemas.openxmlformats.org/officeDocument/2006/relationships/image" Target="media/image110.png"/><Relationship Id="rId206" Type="http://schemas.openxmlformats.org/officeDocument/2006/relationships/image" Target="media/image111.png"/><Relationship Id="rId207" Type="http://schemas.openxmlformats.org/officeDocument/2006/relationships/image" Target="media/image112.png"/><Relationship Id="rId208" Type="http://schemas.openxmlformats.org/officeDocument/2006/relationships/image" Target="media/image113.png"/><Relationship Id="rId209" Type="http://schemas.openxmlformats.org/officeDocument/2006/relationships/image" Target="media/image114.png"/><Relationship Id="rId210" Type="http://schemas.openxmlformats.org/officeDocument/2006/relationships/image" Target="media/image115.png"/><Relationship Id="rId211" Type="http://schemas.openxmlformats.org/officeDocument/2006/relationships/image" Target="media/image116.png"/><Relationship Id="rId212" Type="http://schemas.openxmlformats.org/officeDocument/2006/relationships/image" Target="media/image117.png"/><Relationship Id="rId213" Type="http://schemas.openxmlformats.org/officeDocument/2006/relationships/image" Target="media/image118.png"/><Relationship Id="rId214" Type="http://schemas.openxmlformats.org/officeDocument/2006/relationships/image" Target="media/image119.png"/><Relationship Id="rId215" Type="http://schemas.openxmlformats.org/officeDocument/2006/relationships/image" Target="media/image120.png"/><Relationship Id="rId216" Type="http://schemas.openxmlformats.org/officeDocument/2006/relationships/image" Target="media/image121.png"/><Relationship Id="rId217" Type="http://schemas.openxmlformats.org/officeDocument/2006/relationships/image" Target="media/image122.png"/><Relationship Id="rId218" Type="http://schemas.openxmlformats.org/officeDocument/2006/relationships/image" Target="media/image123.png"/><Relationship Id="rId219" Type="http://schemas.openxmlformats.org/officeDocument/2006/relationships/image" Target="media/image124.png"/><Relationship Id="rId220" Type="http://schemas.openxmlformats.org/officeDocument/2006/relationships/image" Target="media/image125.png"/><Relationship Id="rId221" Type="http://schemas.openxmlformats.org/officeDocument/2006/relationships/image" Target="media/image126.png"/><Relationship Id="rId222" Type="http://schemas.openxmlformats.org/officeDocument/2006/relationships/image" Target="media/image127.png"/><Relationship Id="rId223" Type="http://schemas.openxmlformats.org/officeDocument/2006/relationships/image" Target="media/image128.png"/><Relationship Id="rId224" Type="http://schemas.openxmlformats.org/officeDocument/2006/relationships/image" Target="media/image129.png"/><Relationship Id="rId225" Type="http://schemas.openxmlformats.org/officeDocument/2006/relationships/image" Target="media/image130.png"/><Relationship Id="rId226" Type="http://schemas.openxmlformats.org/officeDocument/2006/relationships/image" Target="media/image131.png"/><Relationship Id="rId227" Type="http://schemas.openxmlformats.org/officeDocument/2006/relationships/image" Target="media/image132.png"/><Relationship Id="rId228" Type="http://schemas.openxmlformats.org/officeDocument/2006/relationships/image" Target="media/image133.png"/><Relationship Id="rId229" Type="http://schemas.openxmlformats.org/officeDocument/2006/relationships/image" Target="media/image134.png"/><Relationship Id="rId230" Type="http://schemas.openxmlformats.org/officeDocument/2006/relationships/image" Target="media/image135.png"/><Relationship Id="rId68" Type="http://schemas.openxmlformats.org/officeDocument/2006/relationships/hyperlink" Target="http://www.sec.gov/Archives/edgar/data/60714/000119312513084410/d447083dex3i1.htm" TargetMode="External"/><Relationship Id="rId69" Type="http://schemas.openxmlformats.org/officeDocument/2006/relationships/hyperlink" Target="http://www.sec.gov/Archives/edgar/data/60714/000119312514323405/d781455dex3ii.htm" TargetMode="External"/><Relationship Id="rId70" Type="http://schemas.openxmlformats.org/officeDocument/2006/relationships/hyperlink" Target="http://www.sec.gov/Archives/edgar/data/60714/000119312515161375/d918969dex3ii.htm" TargetMode="External"/><Relationship Id="rId71" Type="http://schemas.openxmlformats.org/officeDocument/2006/relationships/hyperlink" Target="http://www.sec.gov/Archives/edgar/data/60714/000119312515397856/d22963dex3ii.htm" TargetMode="External"/><Relationship Id="rId72" Type="http://schemas.openxmlformats.org/officeDocument/2006/relationships/hyperlink" Target="http://www.sec.gov/Archives/edgar/data/60714/000119312515415325/d102136dex3ii.htm" TargetMode="External"/><Relationship Id="rId73" Type="http://schemas.openxmlformats.org/officeDocument/2006/relationships/hyperlink" Target="http://www.sec.gov/Archives/edgar/data/60714/000156459020031834/lxu-ex31_6.htm" TargetMode="External"/><Relationship Id="rId74" Type="http://schemas.openxmlformats.org/officeDocument/2006/relationships/hyperlink" Target="http://www.sec.gov/Archives/edgar/data/60714/000006071411000006/ex43.htm" TargetMode="External"/><Relationship Id="rId75" Type="http://schemas.openxmlformats.org/officeDocument/2006/relationships/hyperlink" Target="http://www.sec.gov/Archives/edgar/data/60714/000119312512474073/d440760dex43.htm" TargetMode="External"/><Relationship Id="rId76" Type="http://schemas.openxmlformats.org/officeDocument/2006/relationships/hyperlink" Target="http://www.sec.gov/Archives/edgar/data/60714/000119312515397856/d22963dex41.htm" TargetMode="External"/><Relationship Id="rId77" Type="http://schemas.openxmlformats.org/officeDocument/2006/relationships/hyperlink" Target="http://www.sec.gov/Archives/edgar/data/60714/000119312518303142/d635267dex41.htm" TargetMode="External"/><Relationship Id="rId78" Type="http://schemas.openxmlformats.org/officeDocument/2006/relationships/hyperlink" Target="http://www.sec.gov/Archives/edgar/data/60714/000119312518316135/d602126dex41.htm" TargetMode="External"/><Relationship Id="rId79" Type="http://schemas.openxmlformats.org/officeDocument/2006/relationships/hyperlink" Target="http://www.sec.gov/Archives/edgar/data/60714/000119312515397856/d22963dex42.htm" TargetMode="External"/><Relationship Id="rId80" Type="http://schemas.openxmlformats.org/officeDocument/2006/relationships/hyperlink" Target="http://www.sec.gov/Archives/edgar/data/60714/000119312518303142/d635267dex42.htm" TargetMode="External"/><Relationship Id="rId81" Type="http://schemas.openxmlformats.org/officeDocument/2006/relationships/hyperlink" Target="http://www.sec.gov/Archives/edgar/data/60714/000156459020031834/lxu-ex41_7.htm" TargetMode="External"/><Relationship Id="rId82" Type="http://schemas.openxmlformats.org/officeDocument/2006/relationships/hyperlink" Target="http://www.sec.gov/Archives/edgar/data/60714/000119312513332936/d583332dex41.htm" TargetMode="External"/><Relationship Id="rId83" Type="http://schemas.openxmlformats.org/officeDocument/2006/relationships/hyperlink" Target="http://www.sec.gov/Archives/edgar/data/60714/000119312516730637/d169793dex41.htm" TargetMode="External"/><Relationship Id="rId84" Type="http://schemas.openxmlformats.org/officeDocument/2006/relationships/hyperlink" Target="http://www.sec.gov/Archives/edgar/data/60714/000119312513332936/d583332dex991.htm" TargetMode="External"/><Relationship Id="rId85" Type="http://schemas.openxmlformats.org/officeDocument/2006/relationships/hyperlink" Target="http://www.sec.gov/Archives/edgar/data/60714/000119312518131457/d576542dex41.htm" TargetMode="External"/><Relationship Id="rId89" Type="http://schemas.openxmlformats.org/officeDocument/2006/relationships/hyperlink" Target="http://www.sec.gov/Archives/edgar/data/60714/000119312506070789/dex102.htm" TargetMode="External"/><Relationship Id="rId90" Type="http://schemas.openxmlformats.org/officeDocument/2006/relationships/hyperlink" Target="http://www.sec.gov/Archives/edgar/data/60714/000119312514380305/d808481dex992.htm" TargetMode="External"/><Relationship Id="rId91" Type="http://schemas.openxmlformats.org/officeDocument/2006/relationships/hyperlink" Target="http://www.sec.gov/Archives/edgar/data/60714/000119312514233234/d743642dex993.htm" TargetMode="External"/><Relationship Id="rId92" Type="http://schemas.openxmlformats.org/officeDocument/2006/relationships/hyperlink" Target="http://www.sec.gov/Archives/edgar/data/60714/000119312516423656/d108521dex103.htm" TargetMode="External"/><Relationship Id="rId93" Type="http://schemas.openxmlformats.org/officeDocument/2006/relationships/hyperlink" Target="http://www.sec.gov/Archives/edgar/data/60714/000156459016013735/lxu-ex108_1305.htm" TargetMode="External"/><Relationship Id="rId94" Type="http://schemas.openxmlformats.org/officeDocument/2006/relationships/hyperlink" Target="http://www.sec.gov/Archives/edgar/data/60714/000119312516634750/d218339dex48.htm" TargetMode="External"/><Relationship Id="rId95" Type="http://schemas.openxmlformats.org/officeDocument/2006/relationships/hyperlink" Target="http://www.sec.gov/Archives/edgar/data/60714/000119312516634750/d218339dex49.htm" TargetMode="External"/><Relationship Id="rId96" Type="http://schemas.openxmlformats.org/officeDocument/2006/relationships/hyperlink" Target="http://www.sec.gov/Archives/edgar/data/60714/000119312516634750/d218339dex410.htm" TargetMode="External"/><Relationship Id="rId97" Type="http://schemas.openxmlformats.org/officeDocument/2006/relationships/hyperlink" Target="http://www.sec.gov/Archives/edgar/data/60714/000119312516634750/d218339dex411.htm" TargetMode="External"/><Relationship Id="rId98" Type="http://schemas.openxmlformats.org/officeDocument/2006/relationships/hyperlink" Target="http://www.sec.gov/Archives/edgar/data/60714/000119312519000948/d684802dex104.htm" TargetMode="External"/><Relationship Id="rId99" Type="http://schemas.openxmlformats.org/officeDocument/2006/relationships/hyperlink" Target="http://www.sec.gov/Archives/edgar/data/60714/000119312519000948/d684802dex105.htm" TargetMode="External"/><Relationship Id="rId100" Type="http://schemas.openxmlformats.org/officeDocument/2006/relationships/hyperlink" Target="http://www.sec.gov/Archives/edgar/data/60714/000156459019004486/lxu-ex1012_319.htm" TargetMode="External"/><Relationship Id="rId101" Type="http://schemas.openxmlformats.org/officeDocument/2006/relationships/hyperlink" Target="http://www.sec.gov/Archives/edgar/data/60714/000156459018024898/lxu-ex104_465.htm" TargetMode="External"/><Relationship Id="rId102" Type="http://schemas.openxmlformats.org/officeDocument/2006/relationships/hyperlink" Target="http://www.sec.gov/Archives/edgar/data/60714/000119312519000948/d684802dex101.htm" TargetMode="External"/><Relationship Id="rId103" Type="http://schemas.openxmlformats.org/officeDocument/2006/relationships/hyperlink" Target="http://www.sec.gov/Archives/edgar/data/60714/000156459016013735/lxu-ex1017_1306.htm" TargetMode="External"/><Relationship Id="rId104" Type="http://schemas.openxmlformats.org/officeDocument/2006/relationships/hyperlink" Target="http://www.sec.gov/Archives/edgar/data/60714/000119312516423587/d114611dex101.htm" TargetMode="External"/><Relationship Id="rId105" Type="http://schemas.openxmlformats.org/officeDocument/2006/relationships/hyperlink" Target="http://www.sec.gov/Archives/edgar/data/60714/000156459018024898/lxu-ex103_466.htm" TargetMode="External"/><Relationship Id="rId106" Type="http://schemas.openxmlformats.org/officeDocument/2006/relationships/hyperlink" Target="http://www.sec.gov/Archives/edgar/data/60714/000156459019004486/lxu-ex1018_318.htm" TargetMode="External"/><Relationship Id="rId107" Type="http://schemas.openxmlformats.org/officeDocument/2006/relationships/hyperlink" Target="http://www.sec.gov/Archives/edgar/data/60714/000156459019004486/lxu-ex1019_317.htm" TargetMode="External"/><Relationship Id="rId108" Type="http://schemas.openxmlformats.org/officeDocument/2006/relationships/hyperlink" Target="http://www.sec.gov/Archives/edgar/data/60714/000119312516423587/d114611dex102.htm" TargetMode="External"/><Relationship Id="rId109" Type="http://schemas.openxmlformats.org/officeDocument/2006/relationships/hyperlink" Target="http://www.sec.gov/Archives/edgar/data/60714/000156459016013735/lxu-ex1025_1714.htm" TargetMode="External"/><Relationship Id="rId110" Type="http://schemas.openxmlformats.org/officeDocument/2006/relationships/hyperlink" Target="http://www.sec.gov/Archives/edgar/data/60714/000156459018024898/lxu-ex105_464.htm" TargetMode="External"/><Relationship Id="rId111" Type="http://schemas.openxmlformats.org/officeDocument/2006/relationships/hyperlink" Target="http://www.sec.gov/Archives/edgar/data/60714/000156459019004486/lxu-ex1023_316.htm" TargetMode="External"/><Relationship Id="rId112" Type="http://schemas.openxmlformats.org/officeDocument/2006/relationships/hyperlink" Target="http://www.sec.gov/Archives/edgar/data/60714/000119312519000948/d684802dex103.htm" TargetMode="External"/><Relationship Id="rId116" Type="http://schemas.openxmlformats.org/officeDocument/2006/relationships/hyperlink" Target="http://www.sec.gov/Archives/edgar/data/60714/000156459016013735/lxu-ex1026_1304.htm" TargetMode="External"/><Relationship Id="rId117" Type="http://schemas.openxmlformats.org/officeDocument/2006/relationships/hyperlink" Target="http://www.sec.gov/Archives/edgar/data/60714/000119312516668250/d235105dex101.htm" TargetMode="External"/><Relationship Id="rId118" Type="http://schemas.openxmlformats.org/officeDocument/2006/relationships/hyperlink" Target="http://www.sec.gov/Archives/edgar/data/60714/000119312519036251/d683551dex101.htm" TargetMode="External"/><Relationship Id="rId119" Type="http://schemas.openxmlformats.org/officeDocument/2006/relationships/hyperlink" Target="http://www.sec.gov/Archives/edgar/data/60714/000119312519000948/d684802dex102.htm" TargetMode="External"/><Relationship Id="rId120" Type="http://schemas.openxmlformats.org/officeDocument/2006/relationships/hyperlink" Target="http://www.sec.gov/Archives/edgar/data/60714/000156459020006380/lxu-ex1030_263.htm" TargetMode="External"/><Relationship Id="rId121" Type="http://schemas.openxmlformats.org/officeDocument/2006/relationships/hyperlink" Target="http://www.sec.gov/Archives/edgar/data/60714/000156459020022839/lxu-ex101_172.htm" TargetMode="External"/><Relationship Id="rId122" Type="http://schemas.openxmlformats.org/officeDocument/2006/relationships/hyperlink" Target="http://www.sec.gov/Archives/edgar/data/60714/000156459016013735/lxu-ex1028_2726.htm" TargetMode="External"/><Relationship Id="rId123" Type="http://schemas.openxmlformats.org/officeDocument/2006/relationships/hyperlink" Target="http://www.sec.gov/Archives/edgar/data/60714/000119312515346822/d84269dex101.htm" TargetMode="External"/><Relationship Id="rId124" Type="http://schemas.openxmlformats.org/officeDocument/2006/relationships/hyperlink" Target="http://www.sec.gov/Archives/edgar/data/60714/000119312515346822/d84269dex102.htm" TargetMode="External"/><Relationship Id="rId125" Type="http://schemas.openxmlformats.org/officeDocument/2006/relationships/hyperlink" Target="http://www.sec.gov/Archives/edgar/data/60714/000119312515397856/d22963dex105.htm" TargetMode="External"/><Relationship Id="rId126" Type="http://schemas.openxmlformats.org/officeDocument/2006/relationships/hyperlink" Target="http://www.sec.gov/Archives/edgar/data/60714/000006071402000055/lsb8kex21.htm" TargetMode="External"/><Relationship Id="rId127" Type="http://schemas.openxmlformats.org/officeDocument/2006/relationships/hyperlink" Target="http://www.sec.gov/Archives/edgar/data/60714/000006071410000017/ex_101b.htm" TargetMode="External"/><Relationship Id="rId128" Type="http://schemas.openxmlformats.org/officeDocument/2006/relationships/hyperlink" Target="http://www.sec.gov/Archives/edgar/data/60714/000156459016013735/lxu-ex1049_2728.htm" TargetMode="External"/><Relationship Id="rId132" Type="http://schemas.openxmlformats.org/officeDocument/2006/relationships/hyperlink" Target="http://www.sec.gov/Archives/edgar/data/60714/000156459019038411/lxu-ex101_97.htm" TargetMode="External"/><Relationship Id="rId133" Type="http://schemas.openxmlformats.org/officeDocument/2006/relationships/hyperlink" Target="http://www.sec.gov/Archives/edgar/data/60714/000156459016023298/lxu-ex101_952.htm" TargetMode="External"/><Relationship Id="rId134" Type="http://schemas.openxmlformats.org/officeDocument/2006/relationships/hyperlink" Target="http://www.sec.gov/Archives/edgar/data/60714/000119312516589507/d158530dex101.htm" TargetMode="External"/><Relationship Id="rId135" Type="http://schemas.openxmlformats.org/officeDocument/2006/relationships/hyperlink" Target="http://www.sec.gov/Archives/edgar/data/60714/000119312512493957/d450320dex992.htm" TargetMode="External"/><Relationship Id="rId136" Type="http://schemas.openxmlformats.org/officeDocument/2006/relationships/hyperlink" Target="http://www.sec.gov/Archives/edgar/data/60714/000119312513336457/d584968dex101.htm" TargetMode="External"/><Relationship Id="rId137" Type="http://schemas.openxmlformats.org/officeDocument/2006/relationships/hyperlink" Target="http://www.sec.gov/Archives/edgar/data/60714/000119312513437582/d624909dex991.htm" TargetMode="External"/><Relationship Id="rId138" Type="http://schemas.openxmlformats.org/officeDocument/2006/relationships/hyperlink" Target="http://www.sec.gov/Archives/edgar/data/60714/000119312513437582/d624909dex992.htm" TargetMode="External"/><Relationship Id="rId139" Type="http://schemas.openxmlformats.org/officeDocument/2006/relationships/hyperlink" Target="http://www.sec.gov/Archives/edgar/data/60714/000119312514003788/d654209dex991.htm" TargetMode="External"/><Relationship Id="rId140" Type="http://schemas.openxmlformats.org/officeDocument/2006/relationships/hyperlink" Target="http://www.sec.gov/Archives/edgar/data/60714/000119312515352882/d70894dex101.htm" TargetMode="External"/><Relationship Id="rId141" Type="http://schemas.openxmlformats.org/officeDocument/2006/relationships/hyperlink" Target="http://www.sec.gov/Archives/edgar/data/60714/000119312515161375/d918969dex991.htm" TargetMode="External"/><Relationship Id="rId142" Type="http://schemas.openxmlformats.org/officeDocument/2006/relationships/hyperlink" Target="http://www.sec.gov/Archives/edgar/data/60714/000119312514223976/d737274dex991.htm" TargetMode="External"/><Relationship Id="rId143" Type="http://schemas.openxmlformats.org/officeDocument/2006/relationships/hyperlink" Target="http://www.sec.gov/Archives/edgar/data/60714/000119312514070134/d635174dex49.htm" TargetMode="External"/><Relationship Id="rId147" Type="http://schemas.openxmlformats.org/officeDocument/2006/relationships/hyperlink" Target="http://www.sec.gov/Archives/edgar/data/60714/000119312515225851/d943984dex991.htm" TargetMode="External"/><Relationship Id="rId148" Type="http://schemas.openxmlformats.org/officeDocument/2006/relationships/hyperlink" Target="http://www.sec.gov/Archives/edgar/data/60714/000119312515377933/d95941dex103.htm" TargetMode="External"/><Relationship Id="rId149" Type="http://schemas.openxmlformats.org/officeDocument/2006/relationships/hyperlink" Target="http://www.sec.gov/Archives/edgar/data/60714/000119312517014226/d331616dex101.htm" TargetMode="External"/><Relationship Id="rId150" Type="http://schemas.openxmlformats.org/officeDocument/2006/relationships/hyperlink" Target="http://www.sec.gov/Archives/edgar/data/60714/000119312518123715/d572977dex101.htm" TargetMode="External"/><Relationship Id="rId151" Type="http://schemas.openxmlformats.org/officeDocument/2006/relationships/hyperlink" Target="http://www.sec.gov/Archives/edgar/data/60714/000089914019000267/l28210130b.htm" TargetMode="External"/><Relationship Id="rId152" Type="http://schemas.openxmlformats.org/officeDocument/2006/relationships/hyperlink" Target="http://www.sec.gov/Archives/edgar/data/60714/000156459020022839/lxu-ex103_337.htm" TargetMode="External"/><Relationship Id="rId153" Type="http://schemas.openxmlformats.org/officeDocument/2006/relationships/hyperlink" Target="http://www.sec.gov/Archives/edgar/data/60714/000156459016013735/lxu-ex1072_2228.htm" TargetMode="External"/><Relationship Id="rId154" Type="http://schemas.openxmlformats.org/officeDocument/2006/relationships/hyperlink" Target="http://www.sec.gov/Archives/edgar/data/60714/000156459016013735/lxu-ex1073_2229.htm" TargetMode="External"/><Relationship Id="rId155" Type="http://schemas.openxmlformats.org/officeDocument/2006/relationships/hyperlink" Target="http://www.sec.gov/Archives/edgar/data/60714/000119312515377933/d95941dex101.htm" TargetMode="External"/><Relationship Id="rId156" Type="http://schemas.openxmlformats.org/officeDocument/2006/relationships/hyperlink" Target="http://www.sec.gov/Archives/edgar/data/60714/000119312515377933/d95941dex102.htm" TargetMode="External"/><Relationship Id="rId157" Type="http://schemas.openxmlformats.org/officeDocument/2006/relationships/hyperlink" Target="http://www.sec.gov/Archives/edgar/data/60714/000119312515377933/d95941dex104.htm" TargetMode="External"/><Relationship Id="rId161" Type="http://schemas.openxmlformats.org/officeDocument/2006/relationships/hyperlink" Target="http://www.sec.gov/Archives/edgar/data/60714/000119312518131457/d576542dex101.htm" TargetMode="External"/><Relationship Id="rId162" Type="http://schemas.openxmlformats.org/officeDocument/2006/relationships/hyperlink" Target="http://www.sec.gov/Archives/edgar/data/60714/000119312515377933/d95941dex105.htm" TargetMode="External"/><Relationship Id="rId163" Type="http://schemas.openxmlformats.org/officeDocument/2006/relationships/hyperlink" Target="http://www.sec.gov/Archives/edgar/data/60714/000119312515397856/d22963dex101.htm" TargetMode="External"/><Relationship Id="rId164" Type="http://schemas.openxmlformats.org/officeDocument/2006/relationships/hyperlink" Target="http://www.sec.gov/Archives/edgar/data/60714/000119312515397856/d22963dex103.htm" TargetMode="External"/><Relationship Id="rId165" Type="http://schemas.openxmlformats.org/officeDocument/2006/relationships/hyperlink" Target="http://www.sec.gov/Archives/edgar/data/60714/000119312515397856/d22963dex104.htm" TargetMode="External"/><Relationship Id="rId166" Type="http://schemas.openxmlformats.org/officeDocument/2006/relationships/hyperlink" Target="http://www.sec.gov/Archives/edgar/data/60714/000119312516680812/d242514dex101.htm" TargetMode="External"/><Relationship Id="rId167" Type="http://schemas.openxmlformats.org/officeDocument/2006/relationships/hyperlink" Target="http://www.sec.gov/Archives/edgar/data/60714/000119312518303142/d635267dex101.htm" TargetMode="External"/><Relationship Id="rId168" Type="http://schemas.openxmlformats.org/officeDocument/2006/relationships/hyperlink" Target="http://www.sec.gov/Archives/edgar/data/60714/000119312517220264/d421413dex101.htm" TargetMode="External"/><Relationship Id="rId169" Type="http://schemas.openxmlformats.org/officeDocument/2006/relationships/hyperlink" Target="http://www.sec.gov/Archives/edgar/data/60714/000119312517325152/d458883dex101.htm" TargetMode="External"/><Relationship Id="rId170" Type="http://schemas.openxmlformats.org/officeDocument/2006/relationships/hyperlink" Target="http://www.sec.gov/Archives/edgar/data/60714/000119312518303142/d6352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2021-02-25T15:38:03Z</dcterms:created>
  <dcterms:modified xsi:type="dcterms:W3CDTF">2021-02-25T15:38:03Z</dcterms:modified>
</cp:coreProperties>
</file>