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8" w:lineRule="exact"/>
        <w:rPr>
          <w:sz w:val="24"/>
          <w:szCs w:val="24"/>
          <w:color w:val="auto"/>
        </w:rPr>
      </w:pPr>
    </w:p>
    <w:p>
      <w:pPr>
        <w:ind w:left="520" w:right="20" w:hanging="512"/>
        <w:spacing w:after="0" w:line="262"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04"/>
        </w:trPr>
        <w:tc>
          <w:tcPr>
            <w:tcW w:w="33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7460" w:type="dxa"/>
            <w:vAlign w:val="bottom"/>
          </w:tcPr>
          <w:p>
            <w:pPr>
              <w:jc w:val="center"/>
              <w:ind w:right="28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73-1015226</w:t>
            </w:r>
          </w:p>
        </w:tc>
      </w:tr>
      <w:tr>
        <w:trPr>
          <w:trHeight w:val="149"/>
        </w:trPr>
        <w:tc>
          <w:tcPr>
            <w:tcW w:w="7460" w:type="dxa"/>
            <w:vAlign w:val="bottom"/>
          </w:tcPr>
          <w:p>
            <w:pPr>
              <w:jc w:val="center"/>
              <w:ind w:right="2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60" w:type="dxa"/>
            <w:vAlign w:val="bottom"/>
          </w:tcPr>
          <w:p>
            <w:pPr>
              <w:jc w:val="center"/>
              <w:ind w:right="28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7460" w:type="dxa"/>
            <w:vAlign w:val="bottom"/>
          </w:tcPr>
          <w:p>
            <w:pPr>
              <w:jc w:val="center"/>
              <w:ind w:right="2842"/>
              <w:spacing w:after="0"/>
              <w:rPr>
                <w:sz w:val="20"/>
                <w:szCs w:val="20"/>
                <w:color w:val="auto"/>
              </w:rPr>
            </w:pPr>
            <w:r>
              <w:rPr>
                <w:rFonts w:ascii="Times New Roman" w:cs="Times New Roman" w:eastAsia="Times New Roman" w:hAnsi="Times New Roman"/>
                <w:sz w:val="18"/>
                <w:szCs w:val="18"/>
                <w:b w:val="1"/>
                <w:bCs w:val="1"/>
                <w:color w:val="auto"/>
                <w:w w:val="99"/>
              </w:rPr>
              <w:t>3503 NW 63</w:t>
            </w:r>
            <w:r>
              <w:rPr>
                <w:rFonts w:ascii="Times New Roman" w:cs="Times New Roman" w:eastAsia="Times New Roman" w:hAnsi="Times New Roman"/>
                <w:sz w:val="15"/>
                <w:szCs w:val="15"/>
                <w:b w:val="1"/>
                <w:bCs w:val="1"/>
                <w:color w:val="auto"/>
                <w:w w:val="99"/>
              </w:rPr>
              <w:t>rd</w:t>
            </w:r>
            <w:r>
              <w:rPr>
                <w:rFonts w:ascii="Times New Roman" w:cs="Times New Roman" w:eastAsia="Times New Roman" w:hAnsi="Times New Roman"/>
                <w:sz w:val="18"/>
                <w:szCs w:val="18"/>
                <w:b w:val="1"/>
                <w:bCs w:val="1"/>
                <w:color w:val="auto"/>
                <w:w w:val="99"/>
              </w:rPr>
              <w:t xml:space="preserve"> Street, Suite 500, Oklahoma City, Oklahoma</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73116</w:t>
            </w:r>
          </w:p>
        </w:tc>
      </w:tr>
      <w:tr>
        <w:trPr>
          <w:trHeight w:val="190"/>
        </w:trPr>
        <w:tc>
          <w:tcPr>
            <w:tcW w:w="7460" w:type="dxa"/>
            <w:vAlign w:val="bottom"/>
          </w:tcPr>
          <w:p>
            <w:pPr>
              <w:jc w:val="center"/>
              <w:ind w:right="28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8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746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8"/>
                <w:szCs w:val="18"/>
                <w:b w:val="1"/>
                <w:bCs w:val="1"/>
                <w:color w:val="auto"/>
              </w:rPr>
              <w:t>(405) 235-4546</w:t>
            </w:r>
          </w:p>
        </w:tc>
        <w:tc>
          <w:tcPr>
            <w:tcW w:w="1180" w:type="dxa"/>
            <w:vAlign w:val="bottom"/>
          </w:tcPr>
          <w:p>
            <w:pPr>
              <w:spacing w:after="0"/>
              <w:rPr>
                <w:sz w:val="24"/>
                <w:szCs w:val="24"/>
                <w:color w:val="auto"/>
              </w:rPr>
            </w:pP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w:t>
            </w: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LXU</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40"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was 28,782,431 shares as of October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510540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9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885"/>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Times New Roman" w:cs="Times New Roman" w:eastAsia="Times New Roman" w:hAnsi="Times New Roman"/>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LSB INDUSTRIES, INC.</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(Information at September 30, 2019 is unaudited)</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gridSpan w:val="5"/>
          </w:tcPr>
          <w:p>
            <w:pPr>
              <w:jc w:val="right"/>
              <w:ind w:right="119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66,783</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4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insurance</w:t>
            </w: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Supplies</w:t>
            </w:r>
          </w:p>
        </w:tc>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supplies, prepaid items and other</w:t>
            </w:r>
          </w:p>
        </w:tc>
        <w:tc>
          <w:tcPr>
            <w:tcW w:w="4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4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4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1,129,781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1,148,333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(Continued on following page)</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at September 30, 2019 is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00" w:type="dxa"/>
            <w:vAlign w:val="bottom"/>
            <w:gridSpan w:val="4"/>
          </w:tcPr>
          <w:p>
            <w:pPr>
              <w:jc w:val="right"/>
              <w:ind w:right="117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54,088</w:t>
            </w:r>
          </w:p>
        </w:tc>
        <w:tc>
          <w:tcPr>
            <w:tcW w:w="4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financing</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accrued and other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Series E 14% cumulative, redeemable Class C preferred stock, no par value,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210,000 shares issued; 139,768 outstanding; aggregate liquidation preference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$234,680,000 ($212,071,000 at December 31, 2018)</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226,271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Series F redeemable Class C preferred stock, no par value, 1 share issued and</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outstanding; aggregate liquidation preference of $100</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Series B 12% cumulative, convertible preferred stock, $100 par value; 20,000</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aggregate liquidation preference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$2,965,000 ($2,785,000 at December 31, 2018)</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Series D 6% cumulative, convertible Class C preferred stock, no par value;</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1,000,000 shares issued and outstanding; aggregate liquidation preference</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 $1,237,000 ($1,192,000 at December 31, 2018)</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$.10 par value; 75,000,000 shares authorized,</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31,283,210 shares issued</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200,045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Common stock, 2,500,779 shares (2,438,305 shares at December 31, 2018)</w:t>
            </w: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283,496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1,129,781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9"/>
                <w:szCs w:val="19"/>
                <w:color w:val="auto"/>
              </w:rPr>
            </w:pPr>
          </w:p>
        </w:tc>
        <w:tc>
          <w:tcPr>
            <w:tcW w:w="244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9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75,495</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291,174</w:t>
            </w:r>
          </w:p>
        </w:tc>
        <w:tc>
          <w:tcPr>
            <w:tcW w:w="2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283,430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273,912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1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(2,426)</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(5,816)</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convertible preferred stocks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on Series E redeemable preferred stock</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Accretion of Series E redeemable preferred stock</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(39,133)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(60,030)</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(82,036)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dilutive net loss per common share</w:t>
            </w:r>
          </w:p>
        </w:tc>
        <w:tc>
          <w:tcPr>
            <w:tcW w:w="19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44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Treasury</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Non-</w:t>
            </w:r>
          </w:p>
        </w:tc>
        <w:tc>
          <w:tcPr>
            <w:tcW w:w="2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Capital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100" w:type="dxa"/>
            <w:vAlign w:val="bottom"/>
          </w:tcPr>
          <w:p>
            <w:pPr>
              <w:spacing w:after="0"/>
              <w:rPr>
                <w:sz w:val="18"/>
                <w:szCs w:val="18"/>
                <w:color w:val="auto"/>
              </w:rPr>
            </w:pP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Redeemable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Stock</w:t>
            </w:r>
          </w:p>
        </w:tc>
        <w:tc>
          <w:tcPr>
            <w:tcW w:w="2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Excess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Treasury</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7"/>
              </w:rPr>
              <w:t>Stock</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8"/>
              </w:rPr>
              <w:t>Preferred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Par</w:t>
            </w:r>
          </w:p>
        </w:tc>
        <w:tc>
          <w:tcPr>
            <w:tcW w:w="20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Par</w:t>
            </w:r>
          </w:p>
        </w:tc>
        <w:tc>
          <w:tcPr>
            <w:tcW w:w="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Retained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Value</w:t>
            </w:r>
          </w:p>
        </w:tc>
        <w:tc>
          <w:tcPr>
            <w:tcW w:w="200" w:type="dxa"/>
            <w:vAlign w:val="bottom"/>
          </w:tcPr>
          <w:p>
            <w:pPr>
              <w:spacing w:after="0"/>
              <w:rPr>
                <w:sz w:val="20"/>
                <w:szCs w:val="20"/>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Value</w:t>
            </w:r>
          </w:p>
        </w:tc>
        <w:tc>
          <w:tcPr>
            <w:tcW w:w="8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Earnings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$ 198,482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153,773</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(16,186)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$ 342,197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(11,540)</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accrued on redeemable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(7,256)</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134,481</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accrued on redeemable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(7,589)</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133,026</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(30,794)</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(30,794)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Dividend accrued on redeemable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(7,764)</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$ 200,045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93,968</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(16,645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$ 283,496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spacing w:after="0"/>
              <w:rPr>
                <w:sz w:val="17"/>
                <w:szCs w:val="17"/>
                <w:color w:val="auto"/>
              </w:rPr>
            </w:pP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31,281</w:t>
            </w:r>
          </w:p>
        </w:tc>
        <w:tc>
          <w:tcPr>
            <w:tcW w:w="40" w:type="dxa"/>
            <w:vAlign w:val="bottom"/>
            <w:shd w:val="clear" w:color="auto" w:fill="CFF0FC"/>
          </w:tcPr>
          <w:p>
            <w:pPr>
              <w:spacing w:after="0"/>
              <w:rPr>
                <w:sz w:val="19"/>
                <w:szCs w:val="19"/>
                <w:color w:val="auto"/>
              </w:rPr>
            </w:pPr>
          </w:p>
        </w:tc>
        <w:tc>
          <w:tcPr>
            <w:tcW w:w="1060" w:type="dxa"/>
            <w:vAlign w:val="bottom"/>
            <w:gridSpan w:val="6"/>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(2,662)</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$ 193,956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256,214</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(18,102)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$ 438,196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accrued on redeemable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(6,338)</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(1,599)</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6"/>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31,281</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60" w:type="dxa"/>
            <w:vAlign w:val="bottom"/>
            <w:tcBorders>
              <w:top w:val="single" w:sz="8" w:color="CFF0FC"/>
            </w:tcBorders>
            <w:gridSpan w:val="2"/>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242,686</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425,948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(27,506)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accrued on redeemable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(6,628)</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(802)</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31,281</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60" w:type="dxa"/>
            <w:vAlign w:val="bottom"/>
            <w:tcBorders>
              <w:top w:val="single" w:sz="8" w:color="CFF0FC"/>
            </w:tcBorders>
            <w:gridSpan w:val="2"/>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207,750</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392,522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(26,084)</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accrued on redeemable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(6,782)</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31,281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$ 198,103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174,403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(18,113</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$ 360,521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9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w w:val="94"/>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(In Thousands)</w:t>
            </w: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(35,703)</w:t>
            </w:r>
          </w:p>
        </w:tc>
        <w:tc>
          <w:tcPr>
            <w:tcW w:w="720" w:type="dxa"/>
            <w:vAlign w:val="bottom"/>
            <w:gridSpan w:val="2"/>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and other assets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on sales of property and equipment</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provided (used) by changes in assets and liabilities: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Prepaid insurance</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Accrued interest</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proceeds from sales of property and equipment</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property insurance recovery associated with</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proceeds from sale of discontinued operations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(20,358)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debt facility</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revolving debt facility</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proceeds from 9.625% senior secured notes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senior secured notes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other long-term debt</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other long-term debt</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(12,065)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debt-related costs, including extinguishment and</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modification costs</w:t>
            </w: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(7,970)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preferred stock modification costs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Taxes paid on equity awards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1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refer to the notes to our audited consolidated financial statements included in our Form 10-K for the year ended December 31, 2018 (“2018 Form 10-K”), filed with the Securities and Exchange Commission (“SEC”) on February 26, 2019.</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 </w:t>
      </w:r>
      <w:r>
        <w:rPr>
          <w:rFonts w:ascii="Times New Roman" w:cs="Times New Roman" w:eastAsia="Times New Roman" w:hAnsi="Times New Roman"/>
          <w:sz w:val="18"/>
          <w:szCs w:val="18"/>
          <w:color w:val="auto"/>
        </w:rPr>
        <w:t>LSB Industries, Inc. (“LSB”) and its subsidiaries (the “Company”, “We”, “Us”, or “Our”) are consolidated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condensed 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condensed consolidated financial statements and notes thereto have been reclassified to conform to current period presentation.</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Nature of Business – </w:t>
      </w:r>
      <w:r>
        <w:rPr>
          <w:rFonts w:ascii="Times New Roman" w:cs="Times New Roman" w:eastAsia="Times New Roman" w:hAnsi="Times New Roman"/>
          <w:sz w:val="18"/>
          <w:szCs w:val="18"/>
          <w:color w:val="auto"/>
        </w:rPr>
        <w:t>We are engaged in the manufacture and sale of chemical products. The chemical products we primarily manufacture, market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ammonia, fertilizer grade ammonium nitrate (“HDAN”), urea ammonium nitrate (“UAN”), and ammonium nitrate (“AN”)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LSB completed the sale of all of the stock of the Climate Control Group, Inc. (an indirect subsidiary that conducted LSB’s Climate Control Business) pursuant to the terms of a stock purchase agreement. During the first quarter of 2018, we received the remaining proceeds held in a related indemnity escrow account of $2.7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unaudited condensed consolidated financial statements of the Company as of September 30, 2019 and for the three and nine months ended September 30, 2019 and 2018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2018 Form 10-K.</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Income taxes are accounted for under the asset and liability method. Deferred tax assets and liabilities are measured using enacted tax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benefits associated with amounts that are deductible for income tax purposes are recorded through the statement of operations. These benefits are principally generated from exercises of non-qualified stock options and restricted stock. We reduce income tax expense for investment tax credits in the period the credit arises and is earned.</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and our legal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Redeemable Preferred Stocks </w:t>
      </w:r>
      <w:r>
        <w:rPr>
          <w:rFonts w:ascii="Times New Roman" w:cs="Times New Roman" w:eastAsia="Times New Roman" w:hAnsi="Times New Roman"/>
          <w:sz w:val="18"/>
          <w:szCs w:val="18"/>
          <w:color w:val="auto"/>
        </w:rPr>
        <w:t>– Our redeemable preferred stocks that are redeemable outside of our control are classified as temporary/mezzanine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 However, this accretion will change if the expected redemption date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ASU 2016-02 and related ASUs – </w:t>
      </w: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supersedes the lease requirements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addition, the FASB issued various other ASUs further amending lease accounting guidance (together “ASC 842”). On January 1, 2019, we adopted ASC 842 as discussed in Note 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Adoption of ASC 842</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2019, we adopted ASC 842 using the additional transition method option provided by ASU 2018-11. Under this transition method, we applied the new accounting guidance on the date of adoption. Upon adoption, a cumulative effect adjustment was not required; however, the effect of this guidance on our consolidated financial statements impacted our balance sheet presentation by increasing the amount of our noncurrent assets for the inclusion of right-of-use assets of $15.9 million and increasing the amount of our liabilities for the inclusion of the associated lease obligations of $15.9 million, most of which were classified as noncurrent.</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transition option we elected, ASC 842 is applied only to the most current period presented in the financial statements and our reporting for the comparative periods presented in the financial statements continue to be in accordance with Topic 840, including disclosures. Upon adoption, we elected the following accounting policies or practical expedients related to ASC 842:</w:t>
      </w:r>
    </w:p>
    <w:p>
      <w:pPr>
        <w:spacing w:after="0" w:line="68" w:lineRule="exact"/>
        <w:rPr>
          <w:sz w:val="20"/>
          <w:szCs w:val="20"/>
          <w:color w:val="auto"/>
        </w:rPr>
      </w:pPr>
    </w:p>
    <w:p>
      <w:pPr>
        <w:ind w:left="760" w:hanging="374"/>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accounting similar to Topic 840 operating leases accounting to leases that meet the definition of short-term leases;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evaluate land easements that exist or expired before January 1, 2019 and that were not previously accounted for as leases under Topic 840.</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a lease at inception. 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lease term. Currently, most of our leases are classified as operating leases under which we are the lessee and primarily relate to railcars, other equipment and office space. In addition, our leases that are classified as finance leases (previously classified as capital leases) and other leases under which we are the lessor are not material. Most of our leases do not include options to extend or terminate the lease prior to the end of the term. As of September 30, 2019, we did not have any material operating leases with lease terms greater than one year that have not yet commenced.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Adoption of ASC 842 (continued)</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4"/>
                <w:szCs w:val="24"/>
                <w:color w:val="auto"/>
              </w:rPr>
            </w:pPr>
          </w:p>
        </w:tc>
        <w:tc>
          <w:tcPr>
            <w:tcW w:w="21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tcPr>
          <w:p>
            <w:pPr>
              <w:spacing w:after="0"/>
              <w:rPr>
                <w:sz w:val="20"/>
                <w:szCs w:val="20"/>
                <w:color w:val="auto"/>
              </w:rPr>
            </w:pPr>
          </w:p>
        </w:tc>
        <w:tc>
          <w:tcPr>
            <w:tcW w:w="21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September 30, 2019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6"/>
                <w:szCs w:val="16"/>
                <w:color w:val="auto"/>
              </w:rPr>
              <w:t>(Dollars In Thousands)</w:t>
            </w: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14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1580" w:type="dxa"/>
            <w:vAlign w:val="bottom"/>
            <w:gridSpan w:val="2"/>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5,391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1,923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cost (1)</w:t>
            </w: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right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7,363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 related to leases:</w:t>
            </w: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5,757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right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5,822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65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right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5,070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lease-related information:</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right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 (in years)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  Includes variable and finance lease costs.</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2019 are as follows:</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the remainder of 2019</w:t>
            </w:r>
          </w:p>
        </w:tc>
        <w:tc>
          <w:tcPr>
            <w:tcW w:w="140" w:type="dxa"/>
            <w:vAlign w:val="bottom"/>
            <w:shd w:val="clear" w:color="auto" w:fill="CFF0FC"/>
          </w:tcPr>
          <w:p>
            <w:pPr>
              <w:spacing w:after="0"/>
              <w:rPr>
                <w:sz w:val="21"/>
                <w:szCs w:val="21"/>
                <w:color w:val="auto"/>
              </w:rPr>
            </w:pPr>
          </w:p>
        </w:tc>
        <w:tc>
          <w:tcPr>
            <w:tcW w:w="1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gridSpan w:val="2"/>
          </w:tcPr>
          <w:p>
            <w:pPr>
              <w:spacing w:after="0"/>
              <w:rPr>
                <w:sz w:val="21"/>
                <w:szCs w:val="21"/>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gridSpan w:val="2"/>
          </w:tcPr>
          <w:p>
            <w:pPr>
              <w:spacing w:after="0"/>
              <w:rPr>
                <w:sz w:val="21"/>
                <w:szCs w:val="21"/>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Borders>
              <w:top w:val="single" w:sz="8" w:color="CFF0FC"/>
            </w:tcBorders>
            <w:shd w:val="clear" w:color="auto" w:fill="CFF0FC"/>
          </w:tcPr>
          <w:p>
            <w:pPr>
              <w:spacing w:after="0"/>
              <w:rPr>
                <w:sz w:val="20"/>
                <w:szCs w:val="20"/>
                <w:color w:val="auto"/>
              </w:rPr>
            </w:pPr>
          </w:p>
        </w:tc>
        <w:tc>
          <w:tcPr>
            <w:tcW w:w="172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19,620</w:t>
            </w:r>
          </w:p>
        </w:tc>
        <w:tc>
          <w:tcPr>
            <w:tcW w:w="100" w:type="dxa"/>
            <w:vAlign w:val="bottom"/>
            <w:tcBorders>
              <w:top w:val="single" w:sz="8" w:color="CFF0FC"/>
              <w:right w:val="single" w:sz="8" w:color="CFF0FC"/>
            </w:tcBorders>
            <w:shd w:val="clear" w:color="auto" w:fill="CFF0FC"/>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(3,431)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1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disclosed in our 2018 Form 10-K and under Topic 840, future minimum lease payments on operating leases having initial or remaining terms one year or more at December 31, 2018 were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207"/>
        </w:trPr>
        <w:tc>
          <w:tcPr>
            <w:tcW w:w="5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7"/>
                <w:szCs w:val="17"/>
                <w:color w:val="auto"/>
              </w:rPr>
            </w:pPr>
          </w:p>
        </w:tc>
      </w:tr>
      <w:tr>
        <w:trPr>
          <w:trHeight w:val="24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00" w:type="dxa"/>
            <w:vAlign w:val="bottom"/>
            <w:shd w:val="clear" w:color="auto" w:fill="CFF0FC"/>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1"/>
                <w:szCs w:val="21"/>
                <w:color w:val="auto"/>
              </w:rPr>
            </w:pPr>
          </w:p>
        </w:tc>
      </w:tr>
      <w:tr>
        <w:trPr>
          <w:trHeight w:val="24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FF0FC"/>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Pr>
          <w:p>
            <w:pPr>
              <w:spacing w:after="0"/>
              <w:rPr>
                <w:sz w:val="21"/>
                <w:szCs w:val="21"/>
                <w:color w:val="auto"/>
              </w:rPr>
            </w:pPr>
          </w:p>
        </w:tc>
      </w:tr>
      <w:tr>
        <w:trPr>
          <w:trHeight w:val="24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FF0FC"/>
          </w:tcPr>
          <w:p>
            <w:pPr>
              <w:spacing w:after="0"/>
              <w:rPr>
                <w:sz w:val="21"/>
                <w:szCs w:val="21"/>
                <w:color w:val="auto"/>
              </w:rPr>
            </w:pPr>
          </w:p>
        </w:tc>
      </w:tr>
      <w:tr>
        <w:trPr>
          <w:trHeight w:val="243"/>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bottom w:val="single" w:sz="8" w:color="CFF0FC"/>
            </w:tcBorders>
          </w:tcPr>
          <w:p>
            <w:pPr>
              <w:spacing w:after="0"/>
              <w:rPr>
                <w:sz w:val="21"/>
                <w:szCs w:val="21"/>
                <w:color w:val="auto"/>
              </w:rPr>
            </w:pPr>
          </w:p>
        </w:tc>
      </w:tr>
      <w:tr>
        <w:trPr>
          <w:trHeight w:val="23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00" w:type="dxa"/>
            <w:vAlign w:val="bottom"/>
            <w:shd w:val="clear" w:color="auto" w:fill="CFF0FC"/>
          </w:tcPr>
          <w:p>
            <w:pPr>
              <w:spacing w:after="0"/>
              <w:rPr>
                <w:sz w:val="20"/>
                <w:szCs w:val="20"/>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Adoption of ASC 842 (continued)</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under Topic 840, expenses associated with our operating lease agreements, including month-to-month leases, for the three and nine months ending September 30, 2018 were approximately $2.6 million and $7.5 million,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Loss Per Common Share</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14"/>
          </w:tcPr>
          <w:p>
            <w:pPr>
              <w:jc w:val="right"/>
              <w:ind w:right="860"/>
              <w:spacing w:after="0"/>
              <w:rPr>
                <w:sz w:val="20"/>
                <w:szCs w:val="20"/>
                <w:color w:val="auto"/>
              </w:rPr>
            </w:pPr>
            <w:r>
              <w:rPr>
                <w:rFonts w:ascii="Times New Roman" w:cs="Times New Roman" w:eastAsia="Times New Roman" w:hAnsi="Times New Roman"/>
                <w:sz w:val="16"/>
                <w:szCs w:val="16"/>
                <w:color w:val="auto"/>
              </w:rPr>
              <w:t>(Dollars In Thousands, Except Per Share Amounts)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(30,794)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(26,084)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(35,703)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(59,181)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for basic net loss per common share: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E Redeemable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Preferred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(19,748)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B Preferred</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D Preferred</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Accretion of Series E Redeemable Preferred</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74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Numerator for basic and dilutive net loss per common</w:t>
            </w:r>
          </w:p>
        </w:tc>
        <w:tc>
          <w:tcPr>
            <w:tcW w:w="6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80" w:type="dxa"/>
            <w:vAlign w:val="bottom"/>
          </w:tcPr>
          <w:p>
            <w:pPr>
              <w:spacing w:after="0"/>
              <w:rPr>
                <w:sz w:val="23"/>
                <w:szCs w:val="23"/>
                <w:color w:val="auto"/>
              </w:rPr>
            </w:pPr>
          </w:p>
        </w:tc>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 - net loss attributable to common stockholders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(33,422)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(60,030)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(82,036)</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7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Denominator for basic and dilutive net loss per</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share - adjusted weighted-average</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(1)</w:t>
            </w:r>
          </w:p>
        </w:tc>
        <w:tc>
          <w:tcPr>
            <w:tcW w:w="6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28,065,519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27,500,323</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28,025,130</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27,484,227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dilutive net loss per common share</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tab/>
        <w:t>Excludes the weighted-average shares of unvested restricted stock that are contingently issuable.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securities were not included in the computation of diluted net loss per common share as their effect would have been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Nine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24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September 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9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stocks</w:t>
            </w:r>
          </w:p>
        </w:tc>
        <w:tc>
          <w:tcPr>
            <w:tcW w:w="9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803,611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1,186,429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846,902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Redeemable Preferred - embedded derivative</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2,147,923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2,576,451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2,191,214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2,584,502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Current and Noncurrent Accrued and Other Liabilities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8"/>
              </w:rPr>
              <w:t>September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7"/>
          </w:tcPr>
          <w:p>
            <w:pPr>
              <w:jc w:val="right"/>
              <w:ind w:right="86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17,523</w:t>
            </w:r>
          </w:p>
        </w:tc>
        <w:tc>
          <w:tcPr>
            <w:tcW w:w="16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4,748</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death and other executive benefits</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2,568</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Series E Redeemable Preferred - embedded derivative</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health and worker compensation insurance claims</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litigation settlement (see Note 6)</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9,226</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46,310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50,990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4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7,001</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4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39,309</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42,129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Long-Term Debt</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long-term debt consists of the following:</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6"/>
          </w:tcPr>
          <w:p>
            <w:pPr>
              <w:jc w:val="right"/>
              <w:ind w:right="77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Revolver Loan, with a current interest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5.5% (A)</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 due 2023 (B)</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Promissory Note due 2021, with an interest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5.25% (C)</w:t>
            </w:r>
          </w:p>
        </w:tc>
        <w:tc>
          <w:tcPr>
            <w:tcW w:w="4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Secured Promissory Note due 2023, with a current interest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6.35% (D)</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Financing due 2023, with an interest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8.32% (E)</w:t>
            </w:r>
          </w:p>
        </w:tc>
        <w:tc>
          <w:tcPr>
            <w:tcW w:w="4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Secured Promissory Note due 2019 (E)</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net of premium and debt issuance</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(13,172)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(14,962)</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456,753</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425,199</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due after one year, net</w:t>
            </w:r>
          </w:p>
        </w:tc>
        <w:tc>
          <w:tcPr>
            <w:tcW w:w="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447,663</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412,681</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55" w:lineRule="auto"/>
        <w:tabs>
          <w:tab w:leader="none" w:pos="29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amended in February 2019, our revolving credit facility (the “Working Capital Revolver Loan”) provides for advances up to $75 million, based on specific percentages of eligible accounts receivable and inventories and up to $10 million of letters of credit, the outstanding amount of which reduces the available for borrowing under the Working Capital Revolver Loan. At September 30, 2019, our available borrowings under our Working Capital Revolver Loan were approximately $33.8 million, based on our eligible collateral, less outstanding letters of credit. The maturity date of the Working Capital Revolver Loan is February 26, 2024.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81" w:lineRule="exact"/>
        <w:rPr>
          <w:rFonts w:ascii="Times New Roman" w:cs="Times New Roman" w:eastAsia="Times New Roman" w:hAnsi="Times New Roman"/>
          <w:sz w:val="18"/>
          <w:szCs w:val="18"/>
          <w:b w:val="1"/>
          <w:bCs w:val="1"/>
          <w:color w:val="auto"/>
        </w:rPr>
      </w:pPr>
    </w:p>
    <w:p>
      <w:pPr>
        <w:ind w:right="20" w:firstLine="8"/>
        <w:spacing w:after="0" w:line="282" w:lineRule="auto"/>
        <w:tabs>
          <w:tab w:leader="none" w:pos="28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25, 2018, LSB completed the issuance and sale of $400 million aggregate principal amount of its 9.625% Senior Secured Notes due 2023 (the “Notes”), pursuant to an indenture (the “Indenture”), dated as of April 25, 2018. The Notes were issued at a price equal to 99.509% of their face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 (continued)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2019, LSB completed the issuance and sale of $35 million aggregate principal amount of its 9.625% Senior Secured Notes due 2023 (the “New Notes”). The New Notes were issued pursuant to the Indenture (the Notes together with the New Notes, the “Senior Secured Notes”). The New Notes were issued at a price equal to 102.125% of their face value, plus accrued interest from May 1, 2019 to June 21, 2019, in a transaction exempt from the registration requirements under the Securities Act of 1933 (the “Securities Act”) sold to eligible purchasers in reliance on Rule 144A under the Securities Act and to non-U.S. persons in accordance with Regulation S under the Securities Act. Interest on the New Notes accrues from May 1, 2019.</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Secured Notes mature on May 1, 2023</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Interest is to be paid semiannually in arrears on May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and November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it relates to the issuance of the Notes in April 2018, a portion of the net proceeds from the Notes were used to purchase/redeem the previously outstanding $375 million aggregate principal amount of senior secured notes scheduled to mature in 2019. The remaining net proceeds were primarily used to pay related transaction fees and expenses, redemption premiums, and accrued interest on the senior secured notes purchased/redeemed. A portion of this transaction was accounted for as an extinguishment of debt and a portion was accounted for as a non-substantial debt modification. As a result, approximately $15.2 million of the fees/redemption premiums/discount was deferred and included in discount and debt issuance costs and approximately $0.9 million of fees were expensed as incurred and were included in interest expense in 2018. In addition, we recognized a loss on extinguishment of debt of approximately $6.0 million in 2018, primarily consisting of a portion of the redemption premiums paid and the expensing of a portion of debt issuance costs associated with the senior secured notes purchased/redeemed.</w:t>
      </w:r>
    </w:p>
    <w:p>
      <w:pPr>
        <w:spacing w:after="0" w:line="77" w:lineRule="exact"/>
        <w:rPr>
          <w:sz w:val="20"/>
          <w:szCs w:val="20"/>
          <w:color w:val="auto"/>
        </w:rPr>
      </w:pPr>
    </w:p>
    <w:p>
      <w:pPr>
        <w:ind w:firstLine="8"/>
        <w:spacing w:after="0" w:line="282" w:lineRule="auto"/>
        <w:tabs>
          <w:tab w:leader="none" w:pos="2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Chemical Company (EDC), one of our subsidiaries, is party to a secured promissory note due in March 2021. Principal and interest are payable in monthly installments.</w:t>
      </w:r>
    </w:p>
    <w:p>
      <w:pPr>
        <w:spacing w:after="0" w:line="53"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30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Ammonia L.L.C. (“EDA”), one of our subsidiaries, is party to a secured promissory note due in May 2023. Principal and interest are payable in equal monthly installments with a final balloon payment of approximately $6.1 million.</w:t>
      </w:r>
    </w:p>
    <w:p>
      <w:pPr>
        <w:spacing w:after="0" w:line="53"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30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28, 2019, EDC entered into a $15 million secured financing arrangement with an affiliate of LSB Funding L.L.C. (“LSB Funding”) with an interest rate of 8.32%. Beginning in June 2019, principal and interest are payable in 48 equal monthly installments with a final balloon payment of approximately $3 million due on June 1, 2023. This financing arrangement is secured by the cogeneration facility equipment and is guaranteed by LSB. A portion of the proceeds from this secured financing arrangement was used to pay off the Secured Promissory Note that was scheduled to mature in June 2019.</w:t>
      </w:r>
    </w:p>
    <w:p>
      <w:pPr>
        <w:spacing w:after="0" w:line="71" w:lineRule="exact"/>
        <w:rPr>
          <w:rFonts w:ascii="Times New Roman" w:cs="Times New Roman" w:eastAsia="Times New Roman" w:hAnsi="Times New Roman"/>
          <w:sz w:val="18"/>
          <w:szCs w:val="18"/>
          <w:b w:val="1"/>
          <w:bCs w:val="1"/>
          <w:color w:val="auto"/>
        </w:rPr>
      </w:pPr>
    </w:p>
    <w:p>
      <w:pPr>
        <w:jc w:val="both"/>
        <w:ind w:firstLine="8"/>
        <w:spacing w:after="0" w:line="258" w:lineRule="auto"/>
        <w:tabs>
          <w:tab w:leader="none" w:pos="27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$1.8 million relating to a secured loan agreement EDC entered during the first quarter of 2019 with an affiliate of LSB Funding. Under the terms of the agreement, EDC has up to $7.5 million of available borrowings (the “Interim Loan”) during the construction of certain equipment (the “Interim Loan Period), subject to certain conditions. During the Interim Loan Period, interest only is payable in monthly installments. The Interim Loan will be replaced by a term loan upon completion of the construction, which is expected to be during the fourth quarter of 2019. Principal and interest will be payable in 60 equal monthly installments under the term loan.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Purchase Commitments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September 30, 2019, our natural gas contracts, which qualify as normal purchases under GAAP and thus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mark-to-market, included volume purchase commitments with fixed costs of approximately 4.6 million MMBtus of natural gas. These contracts extend through December 2019 at a weighted-average cost of $2.50 per MMBtu ($11.5 million) and a weighted-average market value of $2.12 per MMBtu ($9.7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Legal Matters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were responsible for our working interest proportionate share of the costs involved.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our accrued liabilities for environmental matters totaled $183,000 relating primarily to the matters discussed below.</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 Discharge Water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 In August 2017, ADEQ issued a final NPDES permit with new dissolved mineral limits. EDC filed an appeal in September 2017 and a Permit Appeal Resolution (“PAR”) was signed in July 2018. EDC is in compliance with the revised permit limits agreed upon in the PAR.</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2006, the El Dorado Facility entered into a Consent Administrative Order (“CAO”) that recognizes the presence of nitrate contamination in the shallow groundwater. The CAO requires EDC to perform semi-annual groundwater monitoring, continue operation of a groundwater recovery system, submit a human health and ecological risk assessment, and submit a remedial action plan. The risk assessment was submitted in August 2007. In February 2015, the ADEQ stated that El Dorado Chemical was meeting the requirements of the CAO and should continue semi-annual monitoring. Subsequent to the PAR mentioned previously, a new CAO was signed in October 2018, which required an Evaluation Report of the data and effectiveness of the groundwater remedy for nitrate contamination. In February 2019, the Evaluation Report was submitted to the ADEQ, which the ADEQ approved the report in August 2019.</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liability has been established at September 30, 2019, in connection with this ADEQ matter.</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 Other 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 (continued)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Pending, Threatened or Settled 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2014, EDC and LSB were named as defendants, together with other AN manufacturers and brokers that arranged the transport and delivery of AN to West Fertilizer, in the case styled </w:t>
      </w:r>
      <w:r>
        <w:rPr>
          <w:rFonts w:ascii="Times New Roman" w:cs="Times New Roman" w:eastAsia="Times New Roman" w:hAnsi="Times New Roman"/>
          <w:sz w:val="18"/>
          <w:szCs w:val="18"/>
          <w:i w:val="1"/>
          <w:iCs w:val="1"/>
          <w:color w:val="auto"/>
        </w:rPr>
        <w:t>City of West, Texas vs. CF Industries, Inc., et al.</w:t>
      </w:r>
      <w:r>
        <w:rPr>
          <w:rFonts w:ascii="Times New Roman" w:cs="Times New Roman" w:eastAsia="Times New Roman" w:hAnsi="Times New Roman"/>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liability insurance policies have aggregate limits of general liability totaling $100 million, with a self-insured retention of $250,000, which retention limit has been met relating to this matter. In August 2015, the trial court dismissed plaintiff’s negligence claims against us and EDC based on a duty to inspect but allowed the plaintiffs to proceed on claims for design defect and failure to warn.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These settlements have been paid by the insurer as of September 30, 2019. While these settlements resolve the claims of a number of the claimants in this matter for us, we continue to be party to litigation related to this explosion by other plaintiffs, in addition to indemnification or defense obligations we may have to other defendants. We continue to defend these lawsuits vigorously and we are unable to estimate a possible range of loss at this time if there is an adverse outcome in this matter as to EDC. As of September 30, 2019, no liability reserve has been established in connection with this matter.</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2015, a case styled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sought an unspecified amount of damages.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2018, LSB entered into a preliminary, binding term sheet to settle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 which was subject to approval by the court. On January 17, 2019, the parties entered into a Stipulation and Agreement of Settlement (the “Wilson Settlement Agreement”), pursuant to which the settlement amount of approximately $18.5 million was paid in March by our insurers on behalf of LSB and certain current and former officers in exchange for, among other things, a release of all claims. On May 23, 2019, one request for exclusion from the settlement class was made. On June 28, 2019, the court held a settlement hearing and entered a Judgement Approving Class Action Settlement, which includes a provision whereby the party requesting exclusion may withdraw its exclusion from the settlement and file by July 23, 2019 to rejoin the class. On July 23, 2019, LSB reached a preliminary settlement and the requesting party withdrew its request for exclusion from the class. Subsequently, during the third quarter of 2019, this additional settlement was executed, and the settlement amount was paid to the requesting party by our insurers on behalf of LSB and certain current and former officers in exchange for, among other things, an appropriate release of claims. As a result, no liability in relation to this matter remains outstanding as of September 30, 2019.</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 (continued)</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w:t>
      </w:r>
    </w:p>
    <w:p>
      <w:pPr>
        <w:spacing w:after="0" w:line="7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LSB and EDA intend to pursue recovery of any damage or loss caused by Global’s work performed at our El Dorado Facility. In March 2016, EDC and we were served a summons in a case styled </w:t>
      </w:r>
      <w:r>
        <w:rPr>
          <w:rFonts w:ascii="Times New Roman" w:cs="Times New Roman" w:eastAsia="Times New Roman" w:hAnsi="Times New Roman"/>
          <w:sz w:val="18"/>
          <w:szCs w:val="18"/>
          <w:i w:val="1"/>
          <w:iCs w:val="1"/>
          <w:color w:val="auto"/>
        </w:rPr>
        <w:t>Global Industrial, Inc. d/b/a Global Turnaround vs. Leidos Constructors, LLC et al.,</w:t>
      </w:r>
      <w:r>
        <w:rPr>
          <w:rFonts w:ascii="Times New Roman" w:cs="Times New Roman" w:eastAsia="Times New Roman" w:hAnsi="Times New Roman"/>
          <w:sz w:val="18"/>
          <w:szCs w:val="18"/>
          <w:color w:val="auto"/>
        </w:rPr>
        <w:t xml:space="preserve"> in the Circuit court of Union County, Arkansas, wherein Global seeks damages under breach of contract and other claims. We have requested indemnifications from Leidos under the terms of our contracts which they have denied, and we intend to vigorously defend against the allegation made by Global and seek reimbursement of legal expenses from Leidos under our contracts. We are also seeking damages from Leidos for their wrongdoing during the expansion, including breach of contract, fraud, gross negligence, professional negligence and gross negligence.</w:t>
      </w:r>
    </w:p>
    <w:p>
      <w:pPr>
        <w:spacing w:after="0" w:line="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Except for the invoices totaling approximately $3.5 million that were not approved by Leidos for payment that are included in our accounts payable, no liability has been established in connection with the claims asserted by Global. On September 25, 2018, the Court bifurcated the case into: (1) Global’s claims against Leidos and LSB, and (2) the cross-claims between Leidos and LSB. Part (1) of the case was tried to the Court during the fall of 2018. The Court took the matter under advisement, will consider the evidence and render judgment. LSB intends to vigorously prosecute its claims against Leidos in Part (2) of the matter. Trial is scheduled for Part (2) of the matter in February of 2020.</w:t>
      </w:r>
    </w:p>
    <w:p>
      <w:pPr>
        <w:spacing w:after="0" w:line="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December 2017, the President of the United States signed into law the Tax Cuts and Jobs Act of 2017 (the “Act”), making significant changes to the Internal Revenue Code. Changes include, but are not limited to, a federal corporate tax rate of 21%, additional limitations on executive compensation, and limitations on the deductibility of interest.</w:t>
      </w:r>
    </w:p>
    <w:p>
      <w:pPr>
        <w:spacing w:after="0" w:line="6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FASB issued ASU 2018-05, Income Taxes (Topic 740): </w:t>
      </w:r>
      <w:r>
        <w:rPr>
          <w:rFonts w:ascii="Times New Roman" w:cs="Times New Roman" w:eastAsia="Times New Roman" w:hAnsi="Times New Roman"/>
          <w:sz w:val="18"/>
          <w:szCs w:val="18"/>
          <w:i w:val="1"/>
          <w:iCs w:val="1"/>
          <w:color w:val="auto"/>
        </w:rPr>
        <w:t>Amendments to SEC Paragraphs Pursuant to SEC Staff Accounting Bulletin No. 118</w:t>
      </w:r>
      <w:r>
        <w:rPr>
          <w:rFonts w:ascii="Times New Roman" w:cs="Times New Roman" w:eastAsia="Times New Roman" w:hAnsi="Times New Roman"/>
          <w:sz w:val="18"/>
          <w:szCs w:val="18"/>
          <w:color w:val="auto"/>
        </w:rPr>
        <w:t xml:space="preserve"> to address the application of GAAP in situations when a registrant does not have the necessary information available, prepared, or analyzed (including computations) in reasonable detail to complete the accounting for certain income tax effects of the Act.</w:t>
      </w:r>
    </w:p>
    <w:p>
      <w:pPr>
        <w:spacing w:after="0" w:line="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first nine months of 2018, we recorded provisional amounts for certain enactment-date effects of the Act by applying the guidance in SAB 118 because we had not yet completed our enactment-date accounting for these effects. In 2018, we recorded tax expense related to these effects including the decrease in the federal corporate tax rate, additional limitations on executive compensation, and limitations on the deductibility of interest. During the fourth quarter of 2018, we completed the accounting for tax reform and there was no adjustment to provisional amounts recorded.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w w:val="98"/>
              </w:rPr>
              <w:t>September 30,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220" w:type="dxa"/>
            <w:vAlign w:val="bottom"/>
            <w:gridSpan w:val="2"/>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w:t>
            </w:r>
          </w:p>
        </w:tc>
        <w:tc>
          <w:tcPr>
            <w:tcW w:w="14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220" w:type="dxa"/>
            <w:vAlign w:val="bottom"/>
            <w:gridSpan w:val="2"/>
            <w:shd w:val="clear" w:color="auto" w:fill="CFF0FC"/>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(668)</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(2,004)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48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Deferred</w:t>
            </w:r>
          </w:p>
        </w:tc>
        <w:tc>
          <w:tcPr>
            <w:tcW w:w="14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(507)</w:t>
            </w:r>
          </w:p>
        </w:tc>
        <w:tc>
          <w:tcPr>
            <w:tcW w:w="2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(2,427)</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80" w:type="dxa"/>
            <w:vAlign w:val="bottom"/>
          </w:tcPr>
          <w:p>
            <w:pPr>
              <w:spacing w:after="0"/>
              <w:rPr>
                <w:sz w:val="19"/>
                <w:szCs w:val="19"/>
                <w:color w:val="auto"/>
              </w:rPr>
            </w:pPr>
          </w:p>
        </w:tc>
        <w:tc>
          <w:tcPr>
            <w:tcW w:w="7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(483)</w:t>
            </w: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(2,426)</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 (continued)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2019 and 2018, the current provision (benefit) for state income taxes shown above includes regular state income tax and provisions for uncertain state income tax positions, the impact of state tax law changes and other similar adjustments.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estimated annual effective rate for 2019 includes the impact of permanent tax differences, limits on deductible compensation, state tax law changes, valuation allowances and other permanent items.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In the second quarter of 2018, we established a valuation allowance on a portion of our federal deferred tax assets. Valuation allowances are reflective of our quarterly analysis of the four sources of taxable income, including the calculation of the reversal of existing tax assets and liabilities, the impact of the recent financing activities and our quarterly results. Based on our analysis, we currently believe that it is more-likely-than-not that a portion of our federal deferred tax assets will not be able to be utilized and we estimate the valuation allowance to be recorded during 2019 to be approximately $8.9 million. We have also determined it was more-likely-than-not that a portion of our state deferred tax assets would not be able to be utilized and we estimate the valuation allowance associated with these state deferred tax assets to be recorded during 2019 will be approximately $3.8 million.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and additional guidance for various provisions of the Act,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benefit for the nine months ended September 30, 2019 was $5.8 million (14% benefit on pre-tax loss) and the tax provision for the nine months ended September 30, 2018 was $1.0 million (2% provision on pre-tax loss). For the first nine months of 2019, the effective tax rate is less than the statutory tax rate primarily due to the impact of the valuation allowances and impact of state tax law changes. During the second quarter of 2019, changes in tax laws were enacted by certain states resulting in an income tax benefit. The increase in the benefit is primarily due to the adjustments on the deferred tax assets and liabilities from the newly enacted state tax law changes.</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LSB and certain of its subsidiaries file income tax returns in the U.S. federal jurisdiction and various state jurisdictions. With few exceptions, the 2015-2018 years remain open for all purposes of examination by the U.S. Internal Revenue Service and other major tax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Preferred Stocks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E and Series F Redeemable Preferred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2019, the Series E Redeemable Preferred has a 14% annual dividend rate and a participating right in dividends and liquidating distributions equal to 303,646 shares of common stock (participation rights value). Dividends accrue semi-annually in arrears and are compounded. Pursuant to the terms of the Series E Redeemable Preferred, the annual dividend rate will increase (a) by 0.50% in April 2021 (b) by an additional 0.50% in April 2022 and (c) by an additional 1.0% in April 2023. The Series E Redeemable Preferred contains redemption features and a participation rights value that are being accounted for as derivative instruments and have been bifurcated from the Series E Redeemable Preferred as discussed below under Embedded Derivative.</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2019,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Preferred Stocks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Series E and Series F Redeemable Preferred are as follows: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Series E Redeemable Preferred</w:t>
            </w:r>
          </w:p>
        </w:tc>
      </w:tr>
      <w:tr>
        <w:trPr>
          <w:trHeight w:val="223"/>
        </w:trPr>
        <w:tc>
          <w:tcPr>
            <w:tcW w:w="55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19"/>
                <w:szCs w:val="19"/>
                <w:color w:val="auto"/>
              </w:rPr>
            </w:pPr>
          </w:p>
        </w:tc>
      </w:tr>
      <w:tr>
        <w:trPr>
          <w:trHeight w:val="204"/>
        </w:trPr>
        <w:tc>
          <w:tcPr>
            <w:tcW w:w="5500" w:type="dxa"/>
            <w:vAlign w:val="bottom"/>
          </w:tcPr>
          <w:p>
            <w:pPr>
              <w:spacing w:after="0"/>
              <w:rPr>
                <w:sz w:val="17"/>
                <w:szCs w:val="17"/>
                <w:color w:val="auto"/>
              </w:rPr>
            </w:pPr>
          </w:p>
        </w:tc>
        <w:tc>
          <w:tcPr>
            <w:tcW w:w="2420" w:type="dxa"/>
            <w:vAlign w:val="bottom"/>
            <w:gridSpan w:val="4"/>
          </w:tcPr>
          <w:p>
            <w:pPr>
              <w:jc w:val="right"/>
              <w:ind w:right="370"/>
              <w:spacing w:after="0"/>
              <w:rPr>
                <w:sz w:val="20"/>
                <w:szCs w:val="20"/>
                <w:color w:val="auto"/>
              </w:rPr>
            </w:pPr>
            <w:r>
              <w:rPr>
                <w:rFonts w:ascii="Times New Roman" w:cs="Times New Roman" w:eastAsia="Times New Roman" w:hAnsi="Times New Roman"/>
                <w:sz w:val="16"/>
                <w:szCs w:val="16"/>
                <w:color w:val="auto"/>
              </w:rPr>
              <w:t>(Dollars In Thousands)</w:t>
            </w:r>
          </w:p>
        </w:tc>
        <w:tc>
          <w:tcPr>
            <w:tcW w:w="60" w:type="dxa"/>
            <w:vAlign w:val="bottom"/>
          </w:tcPr>
          <w:p>
            <w:pPr>
              <w:spacing w:after="0"/>
              <w:rPr>
                <w:sz w:val="17"/>
                <w:szCs w:val="17"/>
                <w:color w:val="auto"/>
              </w:rPr>
            </w:pPr>
          </w:p>
        </w:tc>
      </w:tr>
      <w:tr>
        <w:trPr>
          <w:trHeight w:val="235"/>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202,169</w:t>
            </w:r>
          </w:p>
        </w:tc>
        <w:tc>
          <w:tcPr>
            <w:tcW w:w="60" w:type="dxa"/>
            <w:vAlign w:val="bottom"/>
            <w:shd w:val="clear" w:color="auto" w:fill="CFF0FC"/>
          </w:tcPr>
          <w:p>
            <w:pPr>
              <w:spacing w:after="0"/>
              <w:rPr>
                <w:sz w:val="20"/>
                <w:szCs w:val="20"/>
                <w:color w:val="auto"/>
              </w:rPr>
            </w:pPr>
          </w:p>
        </w:tc>
      </w:tr>
      <w:tr>
        <w:trPr>
          <w:trHeight w:val="211"/>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relating to liquidation preference 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60" w:type="dxa"/>
            <w:vAlign w:val="bottom"/>
          </w:tcPr>
          <w:p>
            <w:pPr>
              <w:spacing w:after="0"/>
              <w:rPr>
                <w:sz w:val="20"/>
                <w:szCs w:val="20"/>
                <w:color w:val="auto"/>
              </w:rPr>
            </w:pPr>
          </w:p>
        </w:tc>
      </w:tr>
      <w:tr>
        <w:trPr>
          <w:trHeight w:val="211"/>
        </w:trPr>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for discount and issuance costs on</w:t>
            </w: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shd w:val="clear" w:color="auto" w:fill="CFF0FC"/>
          </w:tcPr>
          <w:p>
            <w:pPr>
              <w:spacing w:after="0"/>
              <w:rPr>
                <w:sz w:val="20"/>
                <w:szCs w:val="20"/>
                <w:color w:val="auto"/>
              </w:rPr>
            </w:pPr>
          </w:p>
        </w:tc>
      </w:tr>
      <w:tr>
        <w:trPr>
          <w:trHeight w:val="230"/>
        </w:trPr>
        <w:tc>
          <w:tcPr>
            <w:tcW w:w="5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Accumulated dividends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6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226,271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As September 30, 2019 and December 31, 2018, we estimate that the contingent redemption features have fair value since we estimate that it is probable that a portion of the shares of this preferred stock would be redeemed prior to October 25, 2023. For certain other embedded features, we estimated no fair value based on our assessment that there is a remote probability that these features will be exercised.</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In addition, at September 30, 2019 and December 31, 2018, the fair value of the embedded derivative included the valuation of the participation rights, which was based on the equivalent of 303,646 shares of our common stock at $5.18 and $5.52 per share, respectively.</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 A Level 3 valuation is based on prices or valuation techniques that require inputs that are both unobservable and significant to the overall fair value measurement.</w:t>
      </w:r>
    </w:p>
    <w:p>
      <w:pPr>
        <w:spacing w:after="0" w:line="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September 30, 2019 and December 31, 2018, the fair value of the embedded derivative was $1.5 million and $1.6 million, respectively, and are included in our noncurrent accrued and other liabilities. For the three months ended September 30, 2019 and 2018, we recognized an unrealized loss of approximately $0.4 million and approximately $1.1 million, respectively, due to the change in fair value of the embedded derivative. For the nine months ended September 30, 2019 and 2018, the unrealized gain and loss were minimal. These unrealized gains and losses are included in non-operating income and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jc w:val="right"/>
              <w:ind w:right="451"/>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0"/>
        </w:trPr>
        <w:tc>
          <w:tcPr>
            <w:tcW w:w="4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94"/>
              </w:rPr>
              <w:t>2018</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2018</w:t>
            </w:r>
          </w:p>
        </w:tc>
        <w:tc>
          <w:tcPr>
            <w:tcW w:w="120" w:type="dxa"/>
            <w:vAlign w:val="bottom"/>
          </w:tcPr>
          <w:p>
            <w:pPr>
              <w:spacing w:after="0"/>
              <w:rPr>
                <w:sz w:val="20"/>
                <w:szCs w:val="20"/>
                <w:color w:val="auto"/>
              </w:rPr>
            </w:pPr>
          </w:p>
        </w:tc>
      </w:tr>
      <w:tr>
        <w:trPr>
          <w:trHeight w:val="204"/>
        </w:trPr>
        <w:tc>
          <w:tcPr>
            <w:tcW w:w="4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products</w:t>
            </w: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154,790</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146,291</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105,700</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Mining products</w:t>
            </w:r>
          </w:p>
        </w:tc>
        <w:tc>
          <w:tcPr>
            <w:tcW w:w="1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tcBorders>
              <w:bottom w:val="single" w:sz="8" w:color="CFF0FC"/>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net sales</w:t>
            </w:r>
          </w:p>
        </w:tc>
        <w:tc>
          <w:tcPr>
            <w:tcW w:w="1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75,495</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291,174</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283,430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Constraints and Variable Consideration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For most of our contracts within the scope of Accounting Standards Codification,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(“ASC 606”),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revenues to be earned from the satisfaction of performance obligations will be recognized when control transfers as goods are loaded and weighed or services are performed over the remaining duration of our contracts. Although most of our contracts have an original expected duration of one year or less, for our contracts with a duration greater than one year, the average remaining expected duration was approximately 14 months at September 30,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Liabilities and Other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contract assets consist of receivables from contracts with customers. Our accounts receivable primarily relate to these contract assets and are presented in our consolidated balance sheets. Customer payments are generally due thirty to sixty days after the invoice date.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contract liabilities primarily relate to deferred revenue and customer deposits associated with cash payments received in advance from customers for volume shortfall charges and product shipments. We had approximately $3.8 million and $7.0 million of contract liabilities as of September 30, 2019 and December 31, 2018, respectively. For the three and nine months ended September 30, 2019, revenues of $1.2 million and $3.2 million, respectively, were recognized and included in the balance at the beginning of the respective period. For the three and nine months ended September 30, 2018, revenues of $0.8 million and $4.1 million were recognized and included in the balance at the beginning of each period.</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recognized in the current period from performance obligations related to prior periods (for example, due to changes in transaction price) was not material.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2019, we entered into two separate financing arrangements with an affiliate of LSB Funding as discussed in footnotes (E) and</w:t>
      </w:r>
    </w:p>
    <w:p>
      <w:pPr>
        <w:spacing w:after="0" w:line="27" w:lineRule="exact"/>
        <w:rPr>
          <w:sz w:val="20"/>
          <w:szCs w:val="20"/>
          <w:color w:val="auto"/>
        </w:rPr>
      </w:pPr>
    </w:p>
    <w:p>
      <w:pPr>
        <w:jc w:val="both"/>
        <w:ind w:firstLine="8"/>
        <w:spacing w:after="0" w:line="254" w:lineRule="auto"/>
        <w:tabs>
          <w:tab w:leader="none" w:pos="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Note 5, which transactions included debt issuance costs totaling approximately $0.1 million paid to this affiliate. In June 2019, we incurred a consent fee of approximately $0.3 million from LSB Funding associated with the issuance of the New Notes discussed in footnote (B) of Note 5. Also, an affiliate of LSB Funding holds $50 million of our Senior Secured Notes discussed in footnote (B) of Note 5. In addition, LSB Funding holds all outstanding shares of the Series E and Series F Redeemable Preferred discussed in Note 8.</w:t>
      </w:r>
    </w:p>
    <w:p>
      <w:pPr>
        <w:spacing w:after="0" w:line="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Golsen Holders hold all outstanding shares of the Series B Preferred and Series D Preferred, which accumulated dividends on such shares totaled approximately $1.2 million at September 30,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Supplemental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0"/>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r>
      <w:tr>
        <w:trPr>
          <w:trHeight w:val="204"/>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3"/>
          </w:tcPr>
          <w:p>
            <w:pPr>
              <w:jc w:val="center"/>
              <w:ind w:right="15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r>
      <w:tr>
        <w:trPr>
          <w:trHeight w:val="235"/>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refunds for:</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net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continuing investing and financing activities: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accrued on Series E Redeemable Preferred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22,609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80" w:type="dxa"/>
            <w:vAlign w:val="bottom"/>
          </w:tcPr>
          <w:p>
            <w:pPr>
              <w:spacing w:after="0"/>
              <w:rPr>
                <w:sz w:val="19"/>
                <w:szCs w:val="19"/>
                <w:color w:val="auto"/>
              </w:rPr>
            </w:pPr>
          </w:p>
        </w:tc>
      </w:tr>
      <w:tr>
        <w:trPr>
          <w:trHeight w:val="211"/>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Supplies, accounts payable and accrued liabilities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associated with additions of property, plant and</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21,251</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80" w:type="dxa"/>
            <w:vAlign w:val="bottom"/>
            <w:shd w:val="clear" w:color="auto" w:fill="CFF0FC"/>
          </w:tcPr>
          <w:p>
            <w:pPr>
              <w:spacing w:after="0"/>
              <w:rPr>
                <w:sz w:val="20"/>
                <w:szCs w:val="20"/>
                <w:color w:val="auto"/>
              </w:rPr>
            </w:pPr>
          </w:p>
        </w:tc>
      </w:tr>
      <w:tr>
        <w:trPr>
          <w:trHeight w:val="234"/>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Series E Redeemable Preferred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a review of the other Items included in this Form 10-Q and our September 30, 2019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future results of operations and financial condition will depend significantly on our ability to successfully implement the following key initiatives:</w:t>
      </w:r>
    </w:p>
    <w:p>
      <w:pPr>
        <w:spacing w:after="0" w:line="52" w:lineRule="exact"/>
        <w:rPr>
          <w:sz w:val="20"/>
          <w:szCs w:val="20"/>
          <w:color w:val="auto"/>
        </w:rPr>
      </w:pPr>
    </w:p>
    <w:p>
      <w:pPr>
        <w:jc w:val="both"/>
        <w:ind w:left="760" w:hanging="374"/>
        <w:spacing w:after="0" w:line="254"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On-Stream Rates of our Chemical Plants. </w:t>
      </w:r>
      <w:r>
        <w:rPr>
          <w:rFonts w:ascii="Times New Roman" w:cs="Times New Roman" w:eastAsia="Times New Roman" w:hAnsi="Times New Roman"/>
          <w:sz w:val="18"/>
          <w:szCs w:val="18"/>
          <w:color w:val="auto"/>
        </w:rPr>
        <w:t>Over the last several years, our focus has been on upgrading our existing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system through technology enhancements and work processes to improve our predictive and preventative maintenance programs at our facilities. We engaged outside maintenance experts to assist us in expediting implementation and overall use. We completed the initial implementation during 2018. Additionally, beginning in the third quarter of 2018, we engaged outside consultants to do a thorough review of our operating and maintenance procedures and our preventive maintenance programs at all of our facilities in an effort to determine where we may have gaps in procedures and programs and where we may need enhancements. Based on the “Gap Analysis” completed, we have several initiatives underway that we believe will improve the overall reliability of our plants and allow us to produce more products for sale while lowering our cost of production. Those initiatives are focused on operating behavior and procedure enhancements including operator training, leadership training, shift change enhancements and operating and maintenance procedures.</w:t>
      </w:r>
    </w:p>
    <w:p>
      <w:pPr>
        <w:spacing w:after="0" w:line="81" w:lineRule="exact"/>
        <w:rPr>
          <w:rFonts w:ascii="Times New Roman" w:cs="Times New Roman" w:eastAsia="Times New Roman" w:hAnsi="Times New Roman"/>
          <w:sz w:val="18"/>
          <w:szCs w:val="18"/>
          <w:color w:val="auto"/>
        </w:rPr>
      </w:pPr>
    </w:p>
    <w:p>
      <w:pPr>
        <w:jc w:val="both"/>
        <w:ind w:left="760" w:hanging="374"/>
        <w:spacing w:after="0" w:line="267"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the Continued Improvement of Our Safety Performance. </w:t>
      </w:r>
      <w:r>
        <w:rPr>
          <w:rFonts w:ascii="Times New Roman" w:cs="Times New Roman" w:eastAsia="Times New Roman" w:hAnsi="Times New Roman"/>
          <w:sz w:val="18"/>
          <w:szCs w:val="18"/>
          <w:color w:val="auto"/>
        </w:rPr>
        <w:t>We believe that high safety standards are critical and a precursor to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plant performance. With that in mind, we implemented and are currently managing enhanced safety programs at our facilities that focus on reducing risks and improving our safety culture.</w:t>
      </w:r>
    </w:p>
    <w:p>
      <w:pPr>
        <w:spacing w:after="0" w:line="65" w:lineRule="exact"/>
        <w:rPr>
          <w:rFonts w:ascii="Times New Roman" w:cs="Times New Roman" w:eastAsia="Times New Roman" w:hAnsi="Times New Roman"/>
          <w:sz w:val="18"/>
          <w:szCs w:val="18"/>
          <w:color w:val="auto"/>
        </w:rPr>
      </w:pPr>
    </w:p>
    <w:p>
      <w:pPr>
        <w:jc w:val="both"/>
        <w:ind w:left="760" w:hanging="374"/>
        <w:spacing w:after="0" w:line="25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Broadening of the Distribution of our Products. </w:t>
      </w:r>
      <w:r>
        <w:rPr>
          <w:rFonts w:ascii="Times New Roman" w:cs="Times New Roman" w:eastAsia="Times New Roman" w:hAnsi="Times New Roman"/>
          <w:sz w:val="18"/>
          <w:szCs w:val="18"/>
          <w:color w:val="auto"/>
        </w:rPr>
        <w:t>We have significantly increased our overall sales volume of HDAN over the past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through various marketing initiatives including: (1) storing and distributing HDAN at our Pryor Facility which allows us to sell to new markets and customers out of that facility and; (2) educating growers on the agronomic benefits and the additional applications for HDAN. To further leverage our plants current production capacity, we are continuing to expand the distribution of our mining products by partnering with customers to take product further into the Western U.S. as well as markets outside the U.S. We also partnered with a current customer to position an emulsion explosives plant at our El Dorado Facility. We have been selling product to that facility since the fourth quarter of 2018. We will continue to explore further guest plant opportunities for various products at our facilities in 2019.</w:t>
      </w:r>
    </w:p>
    <w:p>
      <w:pPr>
        <w:spacing w:after="0" w:line="77" w:lineRule="exact"/>
        <w:rPr>
          <w:rFonts w:ascii="Times New Roman" w:cs="Times New Roman" w:eastAsia="Times New Roman" w:hAnsi="Times New Roman"/>
          <w:sz w:val="18"/>
          <w:szCs w:val="18"/>
          <w:color w:val="auto"/>
        </w:rPr>
      </w:pPr>
    </w:p>
    <w:p>
      <w:pPr>
        <w:ind w:lef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continue to focus our efforts to expand our market for our nitric acid products in North America and to fully utilize available nitric acid production capacity of our facilities.</w:t>
      </w:r>
    </w:p>
    <w:p>
      <w:pPr>
        <w:spacing w:after="0" w:line="51" w:lineRule="exact"/>
        <w:rPr>
          <w:rFonts w:ascii="Times New Roman" w:cs="Times New Roman" w:eastAsia="Times New Roman" w:hAnsi="Times New Roman"/>
          <w:sz w:val="18"/>
          <w:szCs w:val="18"/>
          <w:color w:val="auto"/>
        </w:rPr>
      </w:pPr>
    </w:p>
    <w:p>
      <w:pPr>
        <w:jc w:val="both"/>
        <w:ind w:left="760" w:hanging="374"/>
        <w:spacing w:after="0" w:line="257"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Margins on Sales of Our Products. </w:t>
      </w:r>
      <w:r>
        <w:rPr>
          <w:rFonts w:ascii="Times New Roman" w:cs="Times New Roman" w:eastAsia="Times New Roman" w:hAnsi="Times New Roman"/>
          <w:sz w:val="18"/>
          <w:szCs w:val="18"/>
          <w:color w:val="auto"/>
        </w:rPr>
        <w:t>Over the last several years, we have focused on increasing our sales volumes to produce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on-stream rates and lower our manufacturing costs per ton of product. In 2019, we are in the process of reviewing all sales to customers to determine if there are opportunities to improve the margins on sales to those customers and to explore if there are further product upgrading opportunities. Additionally, during 2019, we developed a pipeline of margin enhancement projects including product loading and unloading improvements, tank storage and capital to facilitate guest plant opportunities which, we expect will result in improved margins on the sales of our products. We expect to complete these projects over the next 12-18 months.</w:t>
      </w:r>
    </w:p>
    <w:p>
      <w:pPr>
        <w:spacing w:after="0" w:line="74" w:lineRule="exact"/>
        <w:rPr>
          <w:rFonts w:ascii="Times New Roman" w:cs="Times New Roman" w:eastAsia="Times New Roman" w:hAnsi="Times New Roman"/>
          <w:sz w:val="18"/>
          <w:szCs w:val="18"/>
          <w:color w:val="auto"/>
        </w:rPr>
      </w:pPr>
    </w:p>
    <w:p>
      <w:pPr>
        <w:jc w:val="both"/>
        <w:ind w:left="760" w:hanging="374"/>
        <w:spacing w:after="0" w:line="257"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Focus on Procurement and Logistics. </w:t>
      </w:r>
      <w:r>
        <w:rPr>
          <w:rFonts w:ascii="Times New Roman" w:cs="Times New Roman" w:eastAsia="Times New Roman" w:hAnsi="Times New Roman"/>
          <w:sz w:val="18"/>
          <w:szCs w:val="18"/>
          <w:color w:val="auto"/>
        </w:rPr>
        <w:t>In 2018, we engaged outside experts to assist us in centralizing and expanding our company-wide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procurement efforts. We completed our initial areas of focus during the second quarter of 2018, completed the implementation of those changes, and continue to see benefits. We believe that these efforts, along with several additional identified areas of focus, will result in an overall reduction in expenses and capital spend in the aggregate of between $3 million to $5 million on an annualized basis, which we expect to realize over 2020 to 2021. Additionally, we will continue to focus on improving the effectiveness and overall cost of our logistics strategy through a centrally managed team focused on building logistics partners that will help us further drive efficiencies in 2019.</w:t>
      </w:r>
    </w:p>
    <w:p>
      <w:pPr>
        <w:spacing w:after="0" w:line="74" w:lineRule="exact"/>
        <w:rPr>
          <w:rFonts w:ascii="Times New Roman" w:cs="Times New Roman" w:eastAsia="Times New Roman" w:hAnsi="Times New Roman"/>
          <w:sz w:val="18"/>
          <w:szCs w:val="18"/>
          <w:color w:val="auto"/>
        </w:rPr>
      </w:pPr>
    </w:p>
    <w:p>
      <w:pPr>
        <w:jc w:val="both"/>
        <w:ind w:left="760" w:hanging="374"/>
        <w:spacing w:after="0" w:line="267"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Improving Our Capital Structure and Overall Cost of Capital. </w:t>
      </w:r>
      <w:r>
        <w:rPr>
          <w:rFonts w:ascii="Times New Roman" w:cs="Times New Roman" w:eastAsia="Times New Roman" w:hAnsi="Times New Roman"/>
          <w:sz w:val="18"/>
          <w:szCs w:val="18"/>
          <w:color w:val="auto"/>
        </w:rPr>
        <w:t>We are actively seeking ways to improve our capital structure and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cost of capital. We believe that the improving end markets for our products combined with our improved operating performance will be a benefit in achieving those efforts. We continue to actively seek ways to improve our capital structure going forward.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We may not successfully implement any or all of these initiatives. Even if we successfully implement the initiatives, they may not achieve the results that we expect or desire.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Successful Completion of the Turnaround at our El Dorado Facility and Start Up of our Pryor Facility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2019, we completed an 18-day Turnaround on our ammonia plant at our El Dorado Facility. During October 2019, we completed the repair and maintenance work phase of the Turnaround at our Pryor Facility (24 days occurred in September 2019) and are currently in the start-up process. The next Turnarounds for these facilities are scheduled in 2021 for the Pryor Facility and 2022 for the El Dorado Facility. See additional discussion below under “Items Affecting Comparability of Results of the Third 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Amended Ammonia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October 2019, the ammonia purchase and sale agreement between El Dorado Chemical Company (“EDC”) and Koch Fertilizer LLC (“Koch Fertilizer”) was amended, under which Koch Fertilizer agrees to purchase, with minimum purchase requirements, the ammonia that (a) will be produced at the El Dorado Facility and (b) that is in excess of EDC’s needs as defined. As amended, the term of the agreement expires in June 2022 but automatically continues for one or more additional one-year terms unless terminated by either party by delivering a notice of termination at least nine months prior to the end of term in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Industry Factors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Agricultural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Sales of our agricultural products were approximately 47% of our total net sales for the third quarter of 2019. The </w:t>
      </w:r>
      <w:r>
        <w:rPr>
          <w:rFonts w:ascii="Times New Roman" w:cs="Times New Roman" w:eastAsia="Times New Roman" w:hAnsi="Times New Roman"/>
          <w:sz w:val="18"/>
          <w:szCs w:val="18"/>
          <w:color w:val="2E2E2E"/>
        </w:rPr>
        <w:t>price at which our agricultural products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 The USDA estimates the 2020 corn crop to be approximately 89.9 million acres. As reported in the October USDA Crop Progress report, corn production is forecast at 13.8 billion bushels, down 4% from last year. Based on conditions as of October 1, yields are expected to average 168.4 bushels per harvested acre, down 5% from last year. Area harvested is forecast at 81.8 million acres, up slightly from last year. The following October estimates are associated with the corn market: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2019/2020 Crop</w:t>
            </w:r>
          </w:p>
        </w:tc>
        <w:tc>
          <w:tcPr>
            <w:tcW w:w="2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2018/2019 Crop</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Percentage</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2017/2018 Crop</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Percentage</w:t>
            </w: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October Report </w:t>
            </w:r>
            <w:r>
              <w:rPr>
                <w:rFonts w:ascii="Times New Roman" w:cs="Times New Roman" w:eastAsia="Times New Roman" w:hAnsi="Times New Roman"/>
                <w:sz w:val="14"/>
                <w:szCs w:val="14"/>
                <w:color w:val="auto"/>
              </w:rPr>
              <w:t>(1)</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 xml:space="preserve">October Report </w:t>
            </w:r>
            <w:r>
              <w:rPr>
                <w:rFonts w:ascii="Times New Roman" w:cs="Times New Roman" w:eastAsia="Times New Roman" w:hAnsi="Times New Roman"/>
                <w:sz w:val="14"/>
                <w:szCs w:val="14"/>
                <w:color w:val="auto"/>
              </w:rPr>
              <w:t>(1)</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 xml:space="preserve">Change </w:t>
            </w:r>
            <w:r>
              <w:rPr>
                <w:rFonts w:ascii="Times New Roman" w:cs="Times New Roman" w:eastAsia="Times New Roman" w:hAnsi="Times New Roman"/>
                <w:sz w:val="14"/>
                <w:szCs w:val="14"/>
                <w:color w:val="auto"/>
              </w:rPr>
              <w:t>(2)</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 xml:space="preserve">October Report </w:t>
            </w:r>
            <w:r>
              <w:rPr>
                <w:rFonts w:ascii="Times New Roman" w:cs="Times New Roman" w:eastAsia="Times New Roman" w:hAnsi="Times New Roman"/>
                <w:sz w:val="14"/>
                <w:szCs w:val="14"/>
                <w:color w:val="auto"/>
              </w:rPr>
              <w:t>(1)</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 xml:space="preserve">Change </w:t>
            </w: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Area Planted </w:t>
            </w:r>
            <w:r>
              <w:rPr>
                <w:rFonts w:ascii="Times New Roman" w:cs="Times New Roman" w:eastAsia="Times New Roman" w:hAnsi="Times New Roman"/>
                <w:sz w:val="14"/>
                <w:szCs w:val="14"/>
                <w:i w:val="1"/>
                <w:iCs w:val="1"/>
                <w:color w:val="auto"/>
              </w:rPr>
              <w:t>(Million acres)</w:t>
            </w:r>
          </w:p>
        </w:tc>
        <w:tc>
          <w:tcPr>
            <w:tcW w:w="92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70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vMerge w:val="continue"/>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Yield per Acre </w:t>
            </w:r>
            <w:r>
              <w:rPr>
                <w:rFonts w:ascii="Times New Roman" w:cs="Times New Roman" w:eastAsia="Times New Roman" w:hAnsi="Times New Roman"/>
                <w:sz w:val="14"/>
                <w:szCs w:val="14"/>
                <w:i w:val="1"/>
                <w:iCs w:val="1"/>
                <w:color w:val="auto"/>
              </w:rPr>
              <w:t>(Bushels)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Production </w:t>
            </w:r>
            <w:r>
              <w:rPr>
                <w:rFonts w:ascii="Times New Roman" w:cs="Times New Roman" w:eastAsia="Times New Roman" w:hAnsi="Times New Roman"/>
                <w:sz w:val="14"/>
                <w:szCs w:val="14"/>
                <w:i w:val="1"/>
                <w:iCs w:val="1"/>
                <w:color w:val="auto"/>
              </w:rPr>
              <w:t>(Million bushels)</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Ending Stocks </w:t>
            </w:r>
            <w:r>
              <w:rPr>
                <w:rFonts w:ascii="Times New Roman" w:cs="Times New Roman" w:eastAsia="Times New Roman" w:hAnsi="Times New Roman"/>
                <w:sz w:val="14"/>
                <w:szCs w:val="14"/>
                <w:i w:val="1"/>
                <w:iCs w:val="1"/>
                <w:color w:val="auto"/>
              </w:rPr>
              <w:t>(Million metric tons)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World Ending Stocks </w:t>
            </w:r>
            <w:r>
              <w:rPr>
                <w:rFonts w:ascii="Times New Roman" w:cs="Times New Roman" w:eastAsia="Times New Roman" w:hAnsi="Times New Roman"/>
                <w:sz w:val="14"/>
                <w:szCs w:val="14"/>
                <w:i w:val="1"/>
                <w:iCs w:val="1"/>
                <w:color w:val="auto"/>
              </w:rPr>
              <w:t>(Million metric tons)</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60" w:hanging="374"/>
        <w:spacing w:after="0" w:line="255"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obtained from WASDE reports dated October 10, 2019 (October Report) for the 2019/2020 (“2020 Crop”), 2018/2019 (“2019 Crop”) and 2017/2018 (“2018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2020 Crop amounts compared to the 2019 Crop amounts.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2020 Crop amounts compared to the 2018 Crop amounts.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Since those announcements, global nitrogen fertilizer supply has outpaced global nitrogen fertilizer demand causing oversupply in the global and North American markets. The increased fertilizer supply led to lower nitrogen fertilizer sale prices during most of 2017. Also, additional domestic supply of ammonia and other fertilizer products changed the physical flow of ammonia in North America placing pressure on ammonia and other fertilizer prices until the distribution system accepted the new supply. Beginning in the fourth quarter of 2017 and into the second quarter of 2019, we had seen increases in fertilizer prices. However, ammonia prices have experienced pricing pressure during the third quarter of 2019 resulting from elevated inventory levels in the domestic distribution channel caused by inordinately inclement weather throughout the Midwest over the past year, limiting fertilizer applications.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Looking ahead to the fourth quarter of 2019 and into 2020, we expect increased ammonia demand and rising prices. After a challenging 2019 for U.S. corn farmers, we believe that harvested acres and yields for the current harvest will be particularly weak. These factors have already impacted the price of corn, which has risen to its highest level since 2014. A likely decline in the stock-to-use ratio for corn should lead to an increase in planted acres in the spring 2020 planting season. This, coupled with the depletion of nutrients from the soil after months of heavy rains in the Midwest, suggests a heavy pre-planting ammonia application in the coming weeks. Increased demand for ammonia should decrease the current inventory buildup and allow the Tampa ammonia benchmark to rise, which we have begun to see in recent weeks, also benefitting our industrial business. We believe there will be a favorable fall ammonia application season despite a delayed harvest and continued wet weather conditions in parts of the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Industrial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industrial products were approximately 40% of our total net sales for the third quarter of 2019. Our industrial products sales volumes are dependent upon general economic conditions primarily in the housing, automotive, and paper industries. According to the American Chemistry Council, the U.S. economic indicators indicate some easing of growth with a decline in exports and rising trade tensions for these sectors. Our sales prices generally vary with the market price of ammonia or natural gas, as applicable, in our pricing arrangements with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E2E2E"/>
        </w:rPr>
        <w:t xml:space="preserve">Sales of our mining products were </w:t>
      </w:r>
      <w:r>
        <w:rPr>
          <w:rFonts w:ascii="Times New Roman" w:cs="Times New Roman" w:eastAsia="Times New Roman" w:hAnsi="Times New Roman"/>
          <w:sz w:val="18"/>
          <w:szCs w:val="18"/>
          <w:color w:val="000000"/>
        </w:rPr>
        <w:t>approximately 13% of our total net sales for the third quarter of 2019. Our mining products are LDAN and AN solution,</w:t>
      </w:r>
      <w:r>
        <w:rPr>
          <w:rFonts w:ascii="Times New Roman" w:cs="Times New Roman" w:eastAsia="Times New Roman" w:hAnsi="Times New Roman"/>
          <w:sz w:val="18"/>
          <w:szCs w:val="18"/>
          <w:color w:val="2E2E2E"/>
        </w:rPr>
        <w:t xml:space="preserve"> </w:t>
      </w:r>
      <w:r>
        <w:rPr>
          <w:rFonts w:ascii="Times New Roman" w:cs="Times New Roman" w:eastAsia="Times New Roman" w:hAnsi="Times New Roman"/>
          <w:sz w:val="18"/>
          <w:szCs w:val="18"/>
          <w:color w:val="000000"/>
        </w:rPr>
        <w:t>which are primary used as AN fuel oil and specialty emulsions for usage in the quarry and the construction industries, for metals mining, and to a lesser extent, for coal. While we believe our plants are well located to support the more stable quarry and construction industries and the metals mining, our current mining sales volumes are being affected by overall lower customer demand for LDAN.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1"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3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color w:val="auto"/>
        </w:rPr>
        <w:t>September 30,</w:t>
      </w:r>
    </w:p>
    <w:p>
      <w:pPr>
        <w:spacing w:after="0" w:line="27" w:lineRule="exact"/>
        <w:rPr>
          <w:sz w:val="20"/>
          <w:szCs w:val="20"/>
          <w:color w:val="auto"/>
        </w:rPr>
      </w:pPr>
    </w:p>
    <w:p>
      <w:pPr>
        <w:ind w:left="7560"/>
        <w:spacing w:after="0"/>
        <w:tabs>
          <w:tab w:leader="none" w:pos="8860" w:val="left"/>
        </w:tabs>
        <w:rPr>
          <w:sz w:val="20"/>
          <w:szCs w:val="20"/>
          <w:color w:val="auto"/>
        </w:rPr>
      </w:pPr>
      <w:r>
        <w:rPr>
          <w:rFonts w:ascii="Times New Roman" w:cs="Times New Roman" w:eastAsia="Times New Roman" w:hAnsi="Times New Roman"/>
          <w:sz w:val="18"/>
          <w:szCs w:val="18"/>
          <w:color w:val="auto"/>
        </w:rPr>
        <w:t>2019</w:t>
      </w:r>
      <w:r>
        <w:rPr>
          <w:sz w:val="20"/>
          <w:szCs w:val="20"/>
          <w:color w:val="auto"/>
        </w:rPr>
        <w:tab/>
      </w:r>
      <w:r>
        <w:rPr>
          <w:rFonts w:ascii="Times New Roman" w:cs="Times New Roman" w:eastAsia="Times New Roman" w:hAnsi="Times New Roman"/>
          <w:sz w:val="18"/>
          <w:szCs w:val="18"/>
          <w:color w:val="auto"/>
        </w:rPr>
        <w:t>2018</w:t>
      </w:r>
    </w:p>
    <w:p>
      <w:pPr>
        <w:spacing w:after="0" w:line="21" w:lineRule="exact"/>
        <w:rPr>
          <w:sz w:val="20"/>
          <w:szCs w:val="20"/>
          <w:color w:val="auto"/>
        </w:rPr>
      </w:pPr>
    </w:p>
    <w:tbl>
      <w:tblPr>
        <w:tblLayout w:type="fixed"/>
        <w:tblInd w:w="1720" w:type="dxa"/>
        <w:tblCellMar>
          <w:top w:w="0" w:type="dxa"/>
          <w:left w:w="0" w:type="dxa"/>
          <w:bottom w:w="0" w:type="dxa"/>
          <w:right w:w="0" w:type="dxa"/>
        </w:tblCellMar>
      </w:tblPr>
      <w:tr>
        <w:trPr>
          <w:trHeight w:val="225"/>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volumes (MMBtu in millions)</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Natural gas average cost per MMBtu</w:t>
            </w: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for transporting nitrogen-based products can be significant relative to their selling price. For example, ammonia is a hazardous gas at ambient temperatures and must be transported in specialized equipment, which is more expensive than transportation for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Higher transportation costs may impact our margins if we are not able to pass through these costs. As a result, we continue to evaluate supply chain efficiencies to reduce or counter the impact of higher logistics costs.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jc w:val="center"/>
        <w:ind w:right="9500"/>
        <w:spacing w:after="0"/>
        <w:rPr>
          <w:sz w:val="20"/>
          <w:szCs w:val="20"/>
          <w:color w:val="auto"/>
        </w:rPr>
      </w:pPr>
      <w:r>
        <w:rPr>
          <w:rFonts w:ascii="Times New Roman" w:cs="Times New Roman" w:eastAsia="Times New Roman" w:hAnsi="Times New Roman"/>
          <w:sz w:val="18"/>
          <w:szCs w:val="18"/>
          <w:b w:val="1"/>
          <w:bCs w:val="1"/>
          <w:color w:val="auto"/>
        </w:rPr>
        <w:t>Key Operational Factors</w:t>
      </w:r>
    </w:p>
    <w:p>
      <w:pPr>
        <w:spacing w:after="0" w:line="117" w:lineRule="exact"/>
        <w:rPr>
          <w:sz w:val="20"/>
          <w:szCs w:val="20"/>
          <w:color w:val="auto"/>
        </w:rPr>
      </w:pPr>
    </w:p>
    <w:p>
      <w:pPr>
        <w:jc w:val="center"/>
        <w:ind w:right="9520"/>
        <w:spacing w:after="0"/>
        <w:rPr>
          <w:sz w:val="20"/>
          <w:szCs w:val="20"/>
          <w:color w:val="auto"/>
        </w:rPr>
      </w:pPr>
      <w:r>
        <w:rPr>
          <w:rFonts w:ascii="Times New Roman" w:cs="Times New Roman" w:eastAsia="Times New Roman" w:hAnsi="Times New Roman"/>
          <w:sz w:val="18"/>
          <w:szCs w:val="18"/>
          <w:b w:val="1"/>
          <w:bCs w:val="1"/>
          <w:i w:val="1"/>
          <w:iCs w:val="1"/>
          <w:color w:val="auto"/>
        </w:rPr>
        <w:t>Facility Reliability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Pryor Facility has completed the repair and maintenance work phase of the Turnaround and is currently in the start-up process and as a result, we believe that we will see increased reliability in its operations and improved operating rates. The Pryor Facility will continue on a two-year Turnaround cycle with the next Turnaround planned for the third quarter of 2021. At that time, we will seek to move to a three-year Turnaround cycle.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El Dorado Facility completed a partial Turnaround during the second and third quarters of 2018. The remaining portion of the Turnaround was completed during the third quarter of 2019. The El Dorado Facility has moved to a three-year Turnaround cycle with the next Turnaround planned in the third quarter of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Cherokee Facility is currently on a three-year Turnaround cycle with the next Turnaround to be performed in the third quarter of 2021.</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Prepay Contracts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the Third Quarter of 2019</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net sales for the third quarter of 2019 were $75.5 million compared to $79.8 million for the same period in 2018. Our consolidated operating loss was $19.2 million compared to $16.6 million for the same period in 2018. The items impacting our operating results are discussed in more detail below and under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 of Results of the Third Quarter</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On-Stream Rates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ammonia is the basic product used to produce all upgraded products. The on-stream rates noted below exclude Turnaround days, when applicable.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our Cherokee Facility, the ammonia plant’s on-stream rate for third quarter of 2019 was 90% compared to 97% for the same period of 2018. During the third quarter of 2019, the Cherokee Facility’s on-stream rate was impacted by certain power outages experienced by our utility provider and a local flooding event requiring our ammonia plant to be temporarily shut down. Our target on-stream rate for this ammonia plant for 2019 is 95%.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our El Dorado Facility, the ammonia plant’s on-stream rate for third quarter of 2019 was 96% compared to 89% for the same period of 2018. We are targeting an ammonia plant on-stream rate for 2019 of 95%.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our Pryor Facility, the ammonia plant’s on-stream rate for third quarter of 2019 was 91% compared to 98% for the same period of 2018. Our target on-stream rate for this ammonia plant for 2019 is 90%.</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focus on improving on-stream rates as discussed in key operating initiatives will continue to improve our overall on-stream rate for the remainder of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Turnaround Expense</w:t>
      </w:r>
    </w:p>
    <w:p>
      <w:pPr>
        <w:spacing w:after="0" w:line="1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the third quarter of 2019, we incurred Turnaround costs totaling approximately $7.2 million relating to a Turnaround at our Pryor Facility of which 24 days occurred during the third quarter of 2019, and an 18-day Turnaround performed at our El Dorado Facility. Turnaround costs are included in cost of sales.</w:t>
      </w:r>
    </w:p>
    <w:p>
      <w:pPr>
        <w:spacing w:after="0" w:line="2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2018, we incurred Turnaround costs totaling approximately $7.9 million associated with a 35-day Turnaround performed on our plants at our Cherokee Facility and a 5-day Turnaround performed on our ammonia plant at our El Dorado Facility.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Turnaround costs discussed above do not include the impact on operating results relating to lost absorption of fixed costs or the reduced margins due to the lost production and subsequent sales of product from our plants being shut down during the Turnaround.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Prices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2019, average agricultural selling prices for our HDAN and UAN increased 9% and 4%, respectively. Our ammonia average selling prices decreased by 12% compared to 2018 average selling prices for the same period, which reflect decreases in the Southern Plains benchmark for this product resulting from elevated ammonia inventory levels from the inordinately inclement weather throughout the Midwest over the past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third quarter 2019 average industrial selling prices for our ammonia also decreased compared to the same period of 2018 as a result of the aforementioned elevated ammonia inventory levels. The third quarter 2019 Tampa Ammonia pricing declined approximately 29% as compared to the same period in 2018, which led to a decrease in industrial selling prices as many of our industrial contracts are indexed to the Tampa Ammonia benchmark price.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Fees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third quarters of 2019 and 2018, legal fees were approximately $3.6 million and $2.1 million, respectively. The change primarily relates to fees incurred as we pursue our claims against Leidos to recover damages and losses associated with the construction of the ammonia plant at the El Dorado Facility as discussed in footnote B of Note 6. We expect to continue to incur legal fees associated with this matter through February 2020, the scheduled date of the trial.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Results of Operations should be read in conjunction with our condensed consolidated financial statements for the three months ended September 30, 2019 and 2018 and accompanying notes and the discussions under “Overview” and “Liquidity and Capital Resources” included in this MD&amp;A.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the following information about our results of operations. Net sales to unaffiliated customers are reported in the condensed consolidated financial statements and gross profit (loss) represents net sales less cost of sales. Net sales are reported on a gross basis with the cost of freight being recorded in cost of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260" w:type="dxa"/>
            <w:vAlign w:val="bottom"/>
            <w:gridSpan w:val="1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2019 Compared to Three Months Ended September 30, 2018</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contains certain financial information:</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(Dollars In Thousands)</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Agricultural products</w:t>
            </w: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100" w:type="dxa"/>
            <w:vAlign w:val="bottom"/>
          </w:tcPr>
          <w:p>
            <w:pPr>
              <w:spacing w:after="0"/>
              <w:rPr>
                <w:sz w:val="19"/>
                <w:szCs w:val="19"/>
                <w:color w:val="auto"/>
              </w:rPr>
            </w:pP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2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(504)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Industrial and mining products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(3,782)</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7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75,495</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79,781</w:t>
            </w:r>
          </w:p>
        </w:tc>
        <w:tc>
          <w:tcPr>
            <w:tcW w:w="2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38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Agricultural products </w:t>
            </w:r>
            <w:r>
              <w:rPr>
                <w:rFonts w:ascii="Times New Roman" w:cs="Times New Roman" w:eastAsia="Times New Roman" w:hAnsi="Times New Roman"/>
                <w:sz w:val="14"/>
                <w:szCs w:val="14"/>
                <w:color w:val="auto"/>
              </w:rPr>
              <w:t>(1)</w:t>
            </w:r>
          </w:p>
        </w:tc>
        <w:tc>
          <w:tcPr>
            <w:tcW w:w="10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Industrial and mining products </w:t>
            </w:r>
            <w:r>
              <w:rPr>
                <w:rFonts w:ascii="Times New Roman" w:cs="Times New Roman" w:eastAsia="Times New Roman" w:hAnsi="Times New Roman"/>
                <w:sz w:val="14"/>
                <w:szCs w:val="14"/>
                <w:color w:val="auto"/>
              </w:rPr>
              <w:t>(1)</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(1,272)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Adjusted gross profit by market </w:t>
            </w:r>
            <w:r>
              <w:rPr>
                <w:rFonts w:ascii="Times New Roman" w:cs="Times New Roman" w:eastAsia="Times New Roman" w:hAnsi="Times New Roman"/>
                <w:sz w:val="14"/>
                <w:szCs w:val="14"/>
                <w:color w:val="auto"/>
              </w:rPr>
              <w:t>(1)</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4"/>
                <w:szCs w:val="14"/>
                <w:color w:val="auto"/>
              </w:rPr>
              <w:t>(2)</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(822)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Turnaround expense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(7,232)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gross loss</w:t>
            </w:r>
          </w:p>
        </w:tc>
        <w:tc>
          <w:tcPr>
            <w:tcW w:w="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loss</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3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other expense, net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(905)</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Gross loss percentage </w:t>
            </w:r>
            <w:r>
              <w:rPr>
                <w:rFonts w:ascii="Times New Roman" w:cs="Times New Roman" w:eastAsia="Times New Roman" w:hAnsi="Times New Roman"/>
                <w:sz w:val="14"/>
                <w:szCs w:val="14"/>
                <w:color w:val="auto"/>
              </w:rPr>
              <w:t>(3)</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hanging="374"/>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measure since the amount excludes unallocated depreciation, amortization and Turnaround expenses.</w:t>
      </w:r>
    </w:p>
    <w:p>
      <w:pPr>
        <w:spacing w:after="0" w:line="26" w:lineRule="exact"/>
        <w:rPr>
          <w:rFonts w:ascii="Times New Roman" w:cs="Times New Roman" w:eastAsia="Times New Roman" w:hAnsi="Times New Roman"/>
          <w:sz w:val="16"/>
          <w:szCs w:val="16"/>
          <w:color w:val="auto"/>
        </w:rPr>
      </w:pPr>
    </w:p>
    <w:p>
      <w:pPr>
        <w:ind w:left="760" w:hanging="374"/>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 classified as cost of sales.</w:t>
      </w:r>
    </w:p>
    <w:p>
      <w:pPr>
        <w:spacing w:after="0" w:line="18" w:lineRule="exact"/>
        <w:rPr>
          <w:rFonts w:ascii="Times New Roman" w:cs="Times New Roman" w:eastAsia="Times New Roman" w:hAnsi="Times New Roman"/>
          <w:sz w:val="16"/>
          <w:szCs w:val="16"/>
          <w:color w:val="auto"/>
        </w:rPr>
      </w:pPr>
    </w:p>
    <w:p>
      <w:pPr>
        <w:ind w:left="760" w:hanging="374"/>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the total net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financial information by market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70"/>
              <w:spacing w:after="0" w:line="205" w:lineRule="exact"/>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and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Agricultural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Mining</w:t>
            </w:r>
          </w:p>
        </w:tc>
        <w:tc>
          <w:tcPr>
            <w:tcW w:w="6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Mining</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Agricultural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Mining</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Products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Products</w:t>
            </w: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Products</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gross profit by market </w:t>
            </w:r>
            <w:r>
              <w:rPr>
                <w:rFonts w:ascii="Times New Roman" w:cs="Times New Roman" w:eastAsia="Times New Roman" w:hAnsi="Times New Roman"/>
                <w:sz w:val="14"/>
                <w:szCs w:val="14"/>
                <w:color w:val="auto"/>
              </w:rPr>
              <w:t>(1)</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FF0FC"/>
            </w:tcBorders>
            <w:vMerge w:val="continue"/>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2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Adjusted gross profit percentage</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by market </w:t>
            </w: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hanging="374"/>
        <w:spacing w:after="0" w:line="269"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measure since the amount excludes unallocated depreciation, amortization and Turnaround expenses. See reconciliation included in the financial information table above.</w:t>
      </w:r>
    </w:p>
    <w:p>
      <w:pPr>
        <w:ind w:left="760" w:hanging="374"/>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the respective net sales.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2800" w:type="dxa"/>
            <w:vAlign w:val="bottom"/>
            <w:gridSpan w:val="2"/>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3900" w:type="dxa"/>
            <w:vAlign w:val="bottom"/>
            <w:gridSpan w:val="3"/>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34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gridSpan w:val="3"/>
            <w:vMerge w:val="continue"/>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105,847</w:t>
            </w:r>
          </w:p>
        </w:tc>
        <w:tc>
          <w:tcPr>
            <w:tcW w:w="1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83,898</w:t>
            </w:r>
          </w:p>
        </w:tc>
        <w:tc>
          <w:tcPr>
            <w:tcW w:w="2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(19,696)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340" w:type="dxa"/>
            <w:vAlign w:val="bottom"/>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180" w:type="dxa"/>
            <w:vAlign w:val="bottom"/>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200" w:type="dxa"/>
            <w:vAlign w:val="bottom"/>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left w:val="single" w:sz="8" w:color="CFF0FC"/>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left w:val="single" w:sz="8" w:color="CFF0FC"/>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left w:val="single" w:sz="8" w:color="CFF0FC"/>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Gross Average Selling Prices (price per ton)</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360" w:type="dxa"/>
            <w:vAlign w:val="bottom"/>
            <w:vMerge w:val="restart"/>
            <w:shd w:val="clear" w:color="auto" w:fill="CFF0FC"/>
          </w:tcPr>
          <w:p>
            <w:pPr>
              <w:spacing w:after="0" w:line="20" w:lineRule="exact"/>
              <w:rPr>
                <w:sz w:val="1"/>
                <w:szCs w:val="1"/>
                <w:color w:val="auto"/>
              </w:rPr>
            </w:pPr>
          </w:p>
        </w:tc>
        <w:tc>
          <w:tcPr>
            <w:tcW w:w="1340" w:type="dxa"/>
            <w:vAlign w:val="bottom"/>
            <w:vMerge w:val="restart"/>
            <w:shd w:val="clear" w:color="auto" w:fill="CFF0FC"/>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40" w:type="dxa"/>
            <w:vAlign w:val="bottom"/>
            <w:gridSpan w:val="2"/>
            <w:vMerge w:val="continue"/>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vMerge w:val="continue"/>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vMerge w:val="continue"/>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Industrial Products, the following tables indicate key operating metrics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41"/>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Ammonia</w:t>
            </w:r>
          </w:p>
        </w:tc>
        <w:tc>
          <w:tcPr>
            <w:tcW w:w="15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Nitric Acid</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20" w:type="dxa"/>
            <w:vAlign w:val="bottom"/>
          </w:tcPr>
          <w:p>
            <w:pPr>
              <w:spacing w:after="0"/>
              <w:rPr>
                <w:sz w:val="19"/>
                <w:szCs w:val="19"/>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Industrial Products</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90,204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89,417</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w w:val="98"/>
              </w:rPr>
              <w:t>Tampa Ammonia Benchmark (price per metric ton)</w:t>
            </w:r>
          </w:p>
        </w:tc>
        <w:tc>
          <w:tcPr>
            <w:tcW w:w="176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42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313</w:t>
            </w:r>
          </w:p>
        </w:tc>
        <w:tc>
          <w:tcPr>
            <w:tcW w:w="3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(92)</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Mining Products, the following table indicates the volumes sold of our major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5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5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4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532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LDAN/HDAN/AN Solution</w:t>
            </w: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gridSpan w:val="2"/>
            <w:vMerge w:val="continue"/>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39,305</w:t>
            </w:r>
          </w:p>
        </w:tc>
        <w:tc>
          <w:tcPr>
            <w:tcW w:w="22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34,852</w:t>
            </w:r>
          </w:p>
        </w:tc>
        <w:tc>
          <w:tcPr>
            <w:tcW w:w="22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2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w:t>
      </w:r>
    </w:p>
    <w:p>
      <w:pPr>
        <w:spacing w:after="0" w:line="121" w:lineRule="exact"/>
        <w:rPr>
          <w:sz w:val="20"/>
          <w:szCs w:val="20"/>
          <w:color w:val="auto"/>
        </w:rPr>
      </w:pPr>
    </w:p>
    <w:p>
      <w:pPr>
        <w:jc w:val="both"/>
        <w:ind w:left="760" w:hanging="374"/>
        <w:spacing w:after="0" w:line="25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 sales slightly decreased in the third quarter of 2019 primarily from lower ammonia selling prices compared to the same period in 2018, which reflect decreases in the Southern Plains benchmark for this product, coupled with higher selling prices for UAN and HDAN due primarily to favorable market demand. In addition, sales volumes for UAN and ammonia increased while HDAN volumes decreased. UAN and ammonia sales volumes were higher primarily due to delayed sales carried over into the third quarter of 2019 caused by the impact from the inordinately wet weather during the first half of 2019 as well as timing of a delivered UAN barge during the third quarter of 2019. Prior year UAN sales were also impacted as a result of lost production during the Turnaround at our Cherokee facility in the third quarter of 2018. The decrease in HDAN sales volumes were primarily the result of unfavorable weather conditions in the markets we serve compared to the same period of 2018.</w:t>
      </w:r>
    </w:p>
    <w:p>
      <w:pPr>
        <w:spacing w:after="0" w:line="81" w:lineRule="exact"/>
        <w:rPr>
          <w:rFonts w:ascii="Times New Roman" w:cs="Times New Roman" w:eastAsia="Times New Roman" w:hAnsi="Times New Roman"/>
          <w:sz w:val="18"/>
          <w:szCs w:val="18"/>
          <w:color w:val="auto"/>
        </w:rPr>
      </w:pPr>
    </w:p>
    <w:p>
      <w:pPr>
        <w:jc w:val="both"/>
        <w:ind w:left="760" w:hanging="374"/>
        <w:spacing w:after="0" w:line="25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industrial chemical product sales decreased primarily from lower industrial ammonia sales prices partially offset by a slight increase in overall sales volumes. The lower selling prices were due to the lower Tampa ammonia benchmark price. The average Tampa ammonia pricing during the third quarter of 2019 was approximately $92 per ton lower compared to the same period of 2018 driven by a poor 2018 fall and 2019 spring application season in U.S. agricultural markets, combined with weather impacting the movement of ammonia from the Gulf region, which caused a build-up of ammonia inventory across the distribution channel, resulting in downward pressure on Tampa ammonia benchmark pricing and Gulf ammonia in general.</w:t>
      </w:r>
    </w:p>
    <w:p>
      <w:pPr>
        <w:spacing w:after="0" w:line="79"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mining products sales were higher as a result of delayed sales from the second quarter which we were able to make up during the third quarter of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 (Loss)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in the tables above, we recognized a gross loss of $9.7 million in both the third quarters of 2019 and 2018. Due to seasonality the third quarter is our weakest quarter and because it is our slowest period it is typically when our Turnaround work is scheduled. Planned Turnaround work will result in lost fixed cost absorption and increased repairs and maintenance cost which in turn lowers gross profit. Overall, our gross loss percentage declined slightly compared to the same period in 2018.</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agricultural products adjusted gross profit percentage increased to 9% for the third quarter of 2019 from 5% for the third quarter of 2018 due primarily to increased selling prices for UAN and HDAN along with improved sales volumes for UAN and ammonia, partially offset by lower HDAN sales volumes and ammonia selling prices as discussed above.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Industrial and mining products adjusted gross profit percentage was down slightly in the third quarter of 2019 as compared to the same period in 2018 driven primarily by lower Tampa ammonia benchmark pricing.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Offsetting the net effect on our overall gross loss from the sales activity discussed above was approximately $1.9 million from lower natural gas costs per MMBtu.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SG&amp;A expenses for the third quarters of 2019 and 2018 were $9.1 million but include increases in professional fees (including legal fees associated with the legal matter discussed above under “Items Affecting Comparability of Results of the Third Quarter”) offset by reductions in compensation-related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(Income),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third quarter of 2018 was $2.3 million (minimal for the same period of 2019) that includes a net gain from the sales of certain non-core assets (primarily consisting of real estate).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for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 for income taxes for the third quarter of 2019 was $0.5 million compared to $2.4 million for the same period in 2018. The resulting effective tax rate for the third quarters of 2019 and 2018 was 2% and 9% (benefit on pre-tax loss), respectively. For the third quarter of 2019 and 2018, the effective tax rate was impacted by adjustments made to our valuation allowances.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20" w:type="dxa"/>
            <w:vAlign w:val="bottom"/>
            <w:gridSpan w:val="14"/>
          </w:tcPr>
          <w:p>
            <w:pPr>
              <w:ind w:left="206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 Compared to Nine Months Ended September 30, 2018</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contains certain financial information:</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2018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Agricultural products</w:t>
            </w:r>
          </w:p>
        </w:tc>
        <w:tc>
          <w:tcPr>
            <w:tcW w:w="10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154,790</w:t>
            </w:r>
          </w:p>
        </w:tc>
        <w:tc>
          <w:tcPr>
            <w:tcW w:w="80" w:type="dxa"/>
            <w:vAlign w:val="bottom"/>
          </w:tcPr>
          <w:p>
            <w:pPr>
              <w:spacing w:after="0"/>
              <w:rPr>
                <w:sz w:val="19"/>
                <w:szCs w:val="19"/>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146,291</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8,499</w:t>
            </w: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Industrial and mining products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136,384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137,139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(755)</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8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291,174</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283,430</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7,744</w:t>
            </w:r>
          </w:p>
        </w:tc>
        <w:tc>
          <w:tcPr>
            <w:tcW w:w="32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Agricultural products </w:t>
            </w:r>
            <w:r>
              <w:rPr>
                <w:rFonts w:ascii="Times New Roman" w:cs="Times New Roman" w:eastAsia="Times New Roman" w:hAnsi="Times New Roman"/>
                <w:sz w:val="14"/>
                <w:szCs w:val="14"/>
                <w:color w:val="auto"/>
              </w:rPr>
              <w:t>(1)</w:t>
            </w:r>
          </w:p>
        </w:tc>
        <w:tc>
          <w:tcPr>
            <w:tcW w:w="10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28,934</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16,009</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Industrial and mining products </w:t>
            </w:r>
            <w:r>
              <w:rPr>
                <w:rFonts w:ascii="Times New Roman" w:cs="Times New Roman" w:eastAsia="Times New Roman" w:hAnsi="Times New Roman"/>
                <w:sz w:val="14"/>
                <w:szCs w:val="14"/>
                <w:color w:val="auto"/>
              </w:rPr>
              <w:t>(1)</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(5,893)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Adjusted gross profit by market </w:t>
            </w:r>
            <w:r>
              <w:rPr>
                <w:rFonts w:ascii="Times New Roman" w:cs="Times New Roman" w:eastAsia="Times New Roman" w:hAnsi="Times New Roman"/>
                <w:sz w:val="14"/>
                <w:szCs w:val="14"/>
                <w:color w:val="auto"/>
              </w:rPr>
              <w:t>(1)</w:t>
            </w: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76,627</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10,116</w:t>
            </w: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4"/>
                <w:szCs w:val="14"/>
                <w:color w:val="auto"/>
              </w:rPr>
              <w:t>(2)</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(51,529)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(53,434)</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1,905</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Turnaround expense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(7,836)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(9,653)</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1,817</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13,838</w:t>
            </w: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(1,814)</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2,186</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loss</w:t>
            </w: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12,727</w:t>
            </w: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2,301</w:t>
            </w: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(5,951)</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(309)</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(5,816)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(6,792)</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(35,703)</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(59,181)</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23,478</w:t>
            </w:r>
          </w:p>
        </w:tc>
        <w:tc>
          <w:tcPr>
            <w:tcW w:w="32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Gross profit percentage </w:t>
            </w:r>
            <w:r>
              <w:rPr>
                <w:rFonts w:ascii="Times New Roman" w:cs="Times New Roman" w:eastAsia="Times New Roman" w:hAnsi="Times New Roman"/>
                <w:sz w:val="14"/>
                <w:szCs w:val="14"/>
                <w:color w:val="auto"/>
              </w:rPr>
              <w:t>(3)</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FF0FC"/>
              <w:bottom w:val="single" w:sz="8" w:color="CFF0FC"/>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3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hanging="374"/>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measure since the amount excludes unallocated depreciation, amortization and Turnaround expenses.</w:t>
      </w:r>
    </w:p>
    <w:p>
      <w:pPr>
        <w:spacing w:after="0" w:line="26" w:lineRule="exact"/>
        <w:rPr>
          <w:rFonts w:ascii="Times New Roman" w:cs="Times New Roman" w:eastAsia="Times New Roman" w:hAnsi="Times New Roman"/>
          <w:sz w:val="16"/>
          <w:szCs w:val="16"/>
          <w:color w:val="auto"/>
        </w:rPr>
      </w:pPr>
    </w:p>
    <w:p>
      <w:pPr>
        <w:ind w:left="760" w:hanging="374"/>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 classified as cost of sales.</w:t>
      </w:r>
    </w:p>
    <w:p>
      <w:pPr>
        <w:spacing w:after="0" w:line="18" w:lineRule="exact"/>
        <w:rPr>
          <w:rFonts w:ascii="Times New Roman" w:cs="Times New Roman" w:eastAsia="Times New Roman" w:hAnsi="Times New Roman"/>
          <w:sz w:val="16"/>
          <w:szCs w:val="16"/>
          <w:color w:val="auto"/>
        </w:rPr>
      </w:pPr>
    </w:p>
    <w:p>
      <w:pPr>
        <w:ind w:left="760" w:hanging="374"/>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the total net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financial information by market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70"/>
              <w:spacing w:after="0" w:line="205" w:lineRule="exact"/>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and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Agricultural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Mining</w:t>
            </w:r>
          </w:p>
        </w:tc>
        <w:tc>
          <w:tcPr>
            <w:tcW w:w="6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Mining</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Agricultural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Mining</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Products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Products</w:t>
            </w: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Products</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146,291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gross profit by market </w:t>
            </w:r>
            <w:r>
              <w:rPr>
                <w:rFonts w:ascii="Times New Roman" w:cs="Times New Roman" w:eastAsia="Times New Roman" w:hAnsi="Times New Roman"/>
                <w:sz w:val="14"/>
                <w:szCs w:val="14"/>
                <w:color w:val="auto"/>
              </w:rPr>
              <w:t>(1)</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FF0FC"/>
            </w:tcBorders>
            <w:vMerge w:val="continue"/>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28,934</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47,693</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2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Adjusted gross profit percentage</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by market </w:t>
            </w: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hanging="374"/>
        <w:spacing w:after="0" w:line="269" w:lineRule="auto"/>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measure since the amount excludes unallocated depreciation, amortization and Turnaround expenses. See reconciliation included in the financial information table above.</w:t>
      </w:r>
    </w:p>
    <w:p>
      <w:pPr>
        <w:ind w:left="760" w:hanging="374"/>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the respective net sales.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tables provide key sales metrics for the agricultural products: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41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80" w:type="dxa"/>
            <w:vAlign w:val="bottom"/>
            <w:gridSpan w:val="3"/>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80" w:type="dxa"/>
            <w:vAlign w:val="bottom"/>
            <w:tcBorders>
              <w:left w:val="single" w:sz="8" w:color="auto"/>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5280" w:type="dxa"/>
            <w:vAlign w:val="bottom"/>
            <w:gridSpan w:val="3"/>
            <w:vMerge w:val="continue"/>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295,607</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296,436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vMerge w:val="continue"/>
            <w:shd w:val="clear" w:color="auto" w:fill="CFF0FC"/>
          </w:tcPr>
          <w:p>
            <w:pPr>
              <w:spacing w:after="0"/>
              <w:rPr>
                <w:sz w:val="18"/>
                <w:szCs w:val="18"/>
                <w:color w:val="auto"/>
              </w:rPr>
            </w:pPr>
          </w:p>
        </w:tc>
        <w:tc>
          <w:tcPr>
            <w:tcW w:w="126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220" w:type="dxa"/>
            <w:vAlign w:val="bottom"/>
            <w:tcBorders>
              <w:left w:val="single" w:sz="8" w:color="CFF0FC"/>
            </w:tcBorders>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66,853</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63,516</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8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left w:val="single" w:sz="8" w:color="CFF0FC"/>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598,816</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619,134</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left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Gross Average Selling Prices (price per ton)</w:t>
            </w: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40" w:type="dxa"/>
            <w:vAlign w:val="bottom"/>
            <w:tcBorders>
              <w:top w:val="single" w:sz="8" w:color="auto"/>
            </w:tcBorders>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2740" w:type="dxa"/>
            <w:vAlign w:val="bottom"/>
            <w:vMerge w:val="restart"/>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80" w:type="dxa"/>
            <w:vAlign w:val="bottom"/>
            <w:tcBorders>
              <w:left w:val="single" w:sz="8" w:color="CFF0FC"/>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2540" w:type="dxa"/>
            <w:vAlign w:val="bottom"/>
            <w:gridSpan w:val="2"/>
            <w:vMerge w:val="continue"/>
            <w:shd w:val="clear" w:color="auto" w:fill="CFF0FC"/>
          </w:tcPr>
          <w:p>
            <w:pPr>
              <w:spacing w:after="0"/>
              <w:rPr>
                <w:sz w:val="18"/>
                <w:szCs w:val="18"/>
                <w:color w:val="auto"/>
              </w:rPr>
            </w:pPr>
          </w:p>
        </w:tc>
        <w:tc>
          <w:tcPr>
            <w:tcW w:w="2740" w:type="dxa"/>
            <w:vAlign w:val="bottom"/>
            <w:vMerge w:val="continue"/>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vMerge w:val="continue"/>
            <w:shd w:val="clear" w:color="auto" w:fill="CFF0FC"/>
          </w:tcPr>
          <w:p>
            <w:pPr>
              <w:spacing w:after="0"/>
              <w:rPr>
                <w:sz w:val="18"/>
                <w:szCs w:val="18"/>
                <w:color w:val="auto"/>
              </w:rPr>
            </w:pPr>
          </w:p>
        </w:tc>
        <w:tc>
          <w:tcPr>
            <w:tcW w:w="126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220" w:type="dxa"/>
            <w:vAlign w:val="bottom"/>
            <w:tcBorders>
              <w:lef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Industrial Products, the following tables indicate key operating metrics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2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Ammonia</w:t>
            </w:r>
          </w:p>
        </w:tc>
        <w:tc>
          <w:tcPr>
            <w:tcW w:w="15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gridSpan w:val="2"/>
            <w:vMerge w:val="continue"/>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210,385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Nitric Acid</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Industrial Products</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305,603</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270,262</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2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w w:val="98"/>
              </w:rPr>
              <w:t>Tampa Ammonia Benchmark (price per metric ton)</w:t>
            </w:r>
          </w:p>
        </w:tc>
        <w:tc>
          <w:tcPr>
            <w:tcW w:w="176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245</w:t>
            </w:r>
          </w:p>
        </w:tc>
        <w:tc>
          <w:tcPr>
            <w:tcW w:w="42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302</w:t>
            </w:r>
          </w:p>
        </w:tc>
        <w:tc>
          <w:tcPr>
            <w:tcW w:w="3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1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Mining Products, the following table indicates the volumes sold of our major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50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Nine Months Ended</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50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4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532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LDAN/HDAN/AN Solution</w:t>
            </w: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gridSpan w:val="2"/>
            <w:vMerge w:val="continue"/>
            <w:shd w:val="clear" w:color="auto" w:fill="CFF0FC"/>
          </w:tcPr>
          <w:p>
            <w:pPr>
              <w:spacing w:after="0"/>
              <w:rPr>
                <w:sz w:val="18"/>
                <w:szCs w:val="18"/>
                <w:color w:val="auto"/>
              </w:rPr>
            </w:pPr>
          </w:p>
        </w:tc>
        <w:tc>
          <w:tcPr>
            <w:tcW w:w="10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122,920</w:t>
            </w:r>
          </w:p>
        </w:tc>
        <w:tc>
          <w:tcPr>
            <w:tcW w:w="22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121,032</w:t>
            </w:r>
          </w:p>
        </w:tc>
        <w:tc>
          <w:tcPr>
            <w:tcW w:w="22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2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w:t>
      </w:r>
    </w:p>
    <w:p>
      <w:pPr>
        <w:spacing w:after="0" w:line="121" w:lineRule="exact"/>
        <w:rPr>
          <w:sz w:val="20"/>
          <w:szCs w:val="20"/>
          <w:color w:val="auto"/>
        </w:rPr>
      </w:pPr>
    </w:p>
    <w:p>
      <w:pPr>
        <w:jc w:val="both"/>
        <w:ind w:left="760" w:hanging="374"/>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 increased primarily from increased selling prices for all of our agricultural products in conjunction with improved sales volumes for ammonia. This increase was partially offset by lower sales volumes of HDAN resulting from unfavorable weather conditions in the markets we serve during 2019 compared to the same period of 2018.</w:t>
      </w:r>
    </w:p>
    <w:p>
      <w:pPr>
        <w:spacing w:after="0" w:line="68"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industrial chemical products sales decreased slightly primarily from lower selling prices due to lower Tampa ammonia benchmark pricing partially offset by higher industrial ammonia sales volumes. The average Tampa ammonia pricing during the first nine months of 2019 was approximately $57 per ton lower compared to the same period of 2018.</w:t>
      </w:r>
    </w:p>
    <w:p>
      <w:pPr>
        <w:spacing w:after="0" w:line="68"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products sales volumes were in-line with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the tables above, we recognized a gross profit $17.3 million for the first nine months of 2019 compared to $3.4 million for the same period of 2018, or an increase of approximately $13.9 million. Overall, our gross profit percentage increased to 5.9% for the first nine months of 2019 compared to 1.2% for the same period in 2018.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Our agricultural products adjusted gross profit percentage increased to 19% during the first nine months of 2019 from 9% during the same period of 2018 due primarily to increased selling prices for all of our agricultural products along with improved production and sales volumes for ammonia, partially offset by lower HDAN and UAN sales volumes as discussed above.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Industrial and mining products adjusted gross profit percentage declined in the first nine months of 2019 to 35% from 39% in first nine months of 2018 primarily driven by lower overall Tampa ammonia pricing, which averaged approximately $245 per metric ton during 2019 compared to approximately $302 per metric ton for the same period in 2018 driven by a poor 2018 fall and 2019 spring application season in U.S. agricultural markets, combined with weather impacting the movement of ammonia from the Gulf region, which caused a build-up of ammonia inventory across the distribution channel, resulting in downward pressure on Tampa ammonia benchmark pricing and Gulf ammonia in general.</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net positive effect on gross profit from sales activity discussed above, the increase in gross profit includes approximately $2.3 million from lower natural gas costs per MMBtu, approximately $1.9 million decline in depreciation expense, $1.8 million reduction in turnaround costs, and improved cost absorption from higher overall plant on-stream rates compared to the same period of 2018 partially offset by approximately $1.0 million of higher freight costs incurred to move product for storage as a result of the delay in the spring application season.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SG&amp;A expenses were $24.7 million for the first nine months of 2019, a decrease of $1.1 million compared to the same period in 2018. The decrease was primarily driven by a $3.2 million reduction in compensation-related costs and $0.8 million reduction in insurance and other miscellaneous items partially offset by a $2.9 million increase in professional fees, including legal fees associated with the legal matter discussed above under “Items Affecting Comparability of Results of the Third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for the first nine months of 2018 was $1.8 million (minimal for the same period of 2019) primarily relating to the sales of certain non-core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first nine months of 2019 was $34.3 million compared to $32.0 million for the same period in 2018. The net increase relates primarily to interest expense associated with the Notes issued in April 2018 and the New Notes issued in June 2019 partially offset by $0.9 million of debt modification fees incurred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on Extinguishment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nine months of 2018, we incurred a loss on extinguishment of debt of approximately $6.0 million relating to the repurchase of the senior secured notes that were scheduled to mature in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benefit for income taxes for the first nine months of 2019 was $5.8 million compared to a provision of $1.0 million for the same period in 2018. The resulting effective tax rate for the first nine months of 2019 and 2018 was 14% (benefit on pre-tax loss) and 2% (provision on pre-tax loss), respectively. For the first nine months of 2019 and 2018, the effective tax rate was impacted by adjustments made to our valuation allowances and enacted state tax rate changes. Also see discussion in Note 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nine months ended September 30:</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38,780</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(20,358)</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(16,160)</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(13,493)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$41.0 million for the first nine months of 2019 compared to $38.8 million for the same period of 2018, a change of approximately $2.2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nine months of 2019, the net cash provided is the result of a net loss of $35.7 million plus adjustments of $51.6 million for depreciation and amortization of PP&amp;E and other adjustments of $5.7 million less an adjustment of $5.8 million for deferred taxes and net cash provided of approximately $25.2 million primarily from our working capital.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nine months of 2018, the net cash provided is the result of a net loss of $59.2 million plus adjustments of $53.5 million for depreciation and amortization of PP&amp;E, $6.0 million for a loss on extinguishment of debt, $1.0 million for deferred taxes and other adjustments of $6.9 million and net cash provided of approximately $30.6 million primarily from our working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was $20.4 million for the first nine months of 2019 compared to $16.2 million for the same period of 2018, a change of approximately $4.2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2019, the net cash used relates primarily to expenditures for PP&amp;E.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nine months of 2018, the net cash used is the result of $27.2 million for expenditures for PP&amp;E partially offset by $6.7 million from net proceeds from the sale of PP&amp;E, $2.7 million representing the remaining proceeds from an indemnity escrow account associated with the sale of the Climate Control business in 2016 and approximately $1.6 million relating to a recovery from a property insurance claim and other investing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$20.1 million for the first nine months of 2019 compared to $13.5 million for the same period of 2018, a change of $33.6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nine months of 2019, the net cash provided primarily consists of net proceeds of $35.1 million from the New Notes, proceeds of $16.8 million from other long-term debt partially offset by payments on other long-term debt and short-term financing of $20.0 million, net payments of $10 million on the Working Capital Revolver Loan, and payments of $1.8 million for other financing activities.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nine months of 2018, the net cash used consists of $375 million repayment of the senior secured notes due 2019, payments of $15.2 million on other long-term debt and short-term financing, payments of $10.8 million for debt related costs, payments of $2.7 million of fees associated with the modification of terms of our Series E Redeemable Preferred and approximately $0.3 million of other financing activities partially offset by net proceeds of $390.5 million from the Senior Secured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5"/>
          </w:tcPr>
          <w:p>
            <w:pPr>
              <w:jc w:val="right"/>
              <w:ind w:right="1050"/>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Working Capital Revolver Loan</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Secured Notes due 2023</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2021</w:t>
            </w: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2023</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Secured Financing due 2023</w:t>
            </w: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2019</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(1)</w:t>
            </w: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 net</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Series E and F redeemable preferred stock </w:t>
            </w:r>
            <w:r>
              <w:rPr>
                <w:rFonts w:ascii="Times New Roman" w:cs="Times New Roman" w:eastAsia="Times New Roman" w:hAnsi="Times New Roman"/>
                <w:sz w:val="14"/>
                <w:szCs w:val="14"/>
                <w:color w:val="auto"/>
              </w:rPr>
              <w:t>(2)</w:t>
            </w:r>
          </w:p>
        </w:tc>
        <w:tc>
          <w:tcPr>
            <w:tcW w:w="18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17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contained in Note 5.</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 of $235 million as of September 30, 2019.</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have a revolving credit facility, our Working Capital Revolver Loan, with a borrowing base of $75 million. As of September 30, 2019, our Working Capital Revolver Loan was undrawn and had approximately $33.8 million of availability.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reliability and maintenance capital projects, we have planned capital expenditures of approximately $17 million for the fourth quarter 2019 for a total in 2019 of approximately $37 million. Included in the full year amount, we plan to install a new sulfuric acid converter at our El Dorado Facility during the fourth quarter of 2019, which will cost approximately $7.5 million. We finalized the equipment financing for this capital project during the first quarter of 2019.</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margin enhancement capital projects, we have planned capital expenditures of approximately $20 million over the next 12 to 18 months as discussed above under “Overview-Key Operating Initiatives for 2019”.</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Long - Term 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in Notes 6, the Working Capital Revolver Loan requires, among other things, that we meet certain financial covenants. The Working Capital Revolver Loan does not include financial covenant requirements unless a defined covenant trigger event has occurred and is continuing. As of September 30, 2019, no trigger event had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Agreements and Redeemable Preferred Stock</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Senior Secured Notes due 2023 </w:t>
      </w:r>
      <w:r>
        <w:rPr>
          <w:rFonts w:ascii="Times New Roman" w:cs="Times New Roman" w:eastAsia="Times New Roman" w:hAnsi="Times New Roman"/>
          <w:sz w:val="18"/>
          <w:szCs w:val="18"/>
          <w:color w:val="auto"/>
        </w:rPr>
        <w:t>– LSB has $435 million aggregate principal amount of the 9.625% Senior Secured Notes currently outstanding,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$35 million associated with the New Notes as discussed in footnote (B) of Note 5. Interest is to be paid semiannually on May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and November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maturing May 1, 2023. As a result of the financing transactions, our interest expense has increased and is expected to increase compared to 2018.</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2021 – </w:t>
      </w:r>
      <w:r>
        <w:rPr>
          <w:rFonts w:ascii="Times New Roman" w:cs="Times New Roman" w:eastAsia="Times New Roman" w:hAnsi="Times New Roman"/>
          <w:sz w:val="18"/>
          <w:szCs w:val="18"/>
          <w:color w:val="auto"/>
        </w:rPr>
        <w:t>EDC is party to a secured promissory note due March 26, 2021. This promissory note bears interest at the annual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5.25%. Principal and interest are payable in monthly installments. This promissory note is secured by a natural gas pipeline at the El Dorado Facility and is guaranteed by LSB.</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2023 – </w:t>
      </w:r>
      <w:r>
        <w:rPr>
          <w:rFonts w:ascii="Times New Roman" w:cs="Times New Roman" w:eastAsia="Times New Roman" w:hAnsi="Times New Roman"/>
          <w:sz w:val="18"/>
          <w:szCs w:val="18"/>
          <w:color w:val="auto"/>
        </w:rPr>
        <w:t>EDA is party to a secured promissory note due May 10, 2023. Principal and interest are payable in equal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with a final balloon payment of approximately $6.1 million. This promissory note bears interest at a rate that is based on the monthly LIBOR rate plus a base rate for a total of 6.35%. This promissory note is secured by the ammonia storage tank and related systems and is guaranteed by LSB.</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3" w:name="page34"/>
    <w:bookmarkEnd w:id="3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Secured Financing due 2023 – </w:t>
      </w:r>
      <w:r>
        <w:rPr>
          <w:rFonts w:ascii="Times New Roman" w:cs="Times New Roman" w:eastAsia="Times New Roman" w:hAnsi="Times New Roman"/>
          <w:sz w:val="18"/>
          <w:szCs w:val="18"/>
          <w:color w:val="auto"/>
        </w:rPr>
        <w:t>On May 28, 2019, EDC entered into a $15 million secured financing arrangement with an affiliate of LSB Funding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rate of 8.32%. Beginning in June 2019, principal and interest are payable in 48 equal monthly installments with a final balloon payment of approximately $3 million due on June 1, 2023. This financing arrangement is secured by the cogeneration facility equipment and is guaranteed by LSB. A portion of the proceeds from this secured financing arrangement was used to pay off the Secured Promissory Note that was scheduled to mature in June 2019.</w:t>
      </w:r>
    </w:p>
    <w:p>
      <w:pPr>
        <w:spacing w:after="0" w:line="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Working Capital Revolver Loan – </w:t>
      </w:r>
      <w:r>
        <w:rPr>
          <w:rFonts w:ascii="Times New Roman" w:cs="Times New Roman" w:eastAsia="Times New Roman" w:hAnsi="Times New Roman"/>
          <w:sz w:val="18"/>
          <w:szCs w:val="18"/>
          <w:color w:val="auto"/>
        </w:rPr>
        <w:t>At September 30, 2019, the Working Capital Revolver Loan was undrawn and the net credit available for borrowings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Working Capital Revolver Loan was approximately $33.8 million, based on our eligible collateral, less outstanding letters of credit as of that date. Also see discussion above under “Compliance with Long-Term Debt Covenants.</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Redemption of Series E Redeemable Preferred – </w:t>
      </w:r>
      <w:r>
        <w:rPr>
          <w:rFonts w:ascii="Times New Roman" w:cs="Times New Roman" w:eastAsia="Times New Roman" w:hAnsi="Times New Roman"/>
          <w:sz w:val="18"/>
          <w:szCs w:val="18"/>
          <w:color w:val="auto"/>
        </w:rPr>
        <w:t>At September 30, 2019, there were 139,768 outstanding shares of Series E Redeemable Preferred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liquidation preference (par value plus accrued dividends) was $235 million.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However, this accretion will change if the expected redemption date changes.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 First Nine Months of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nine months of 2019, capital expenditures relating to PP&amp;E were $20.5 million. The capital expenditures were funded primarily from cash and working capital.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above under “Capitalization” for our expected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specific federal and state environmental compliance laws, regulations and guidelines. As a result, we incurred expenses of $3.5 million during the first nine months of 2019 in connection with environmental projects. For the fourth quarter of 2019, we expect to incur expenses ranging from $0.5 million to $0.8 million in connection with additional environmental projects. However, it is possible that the actual costs could be significantly different than our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8.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April 25, 2021. The current semi-annual compounded dividend is approximately $111.10 per share for the current aggregate semi-annual dividend of $15.5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September 30, 2019, the amount of accumulated dividends on the Series E Redeemable Preferred was approximately $94.9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54"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$0.06 per share on our outstanding non-redeemable Series D Preferred for an aggregate dividend of $60,000,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the amount of accumulated dividends on the Series D Preferred and Series B Preferred totaled approximately $1.2 million. All shares of the Series D Preferred and Series B Preferred are owned by the Golsen Holders. There are no optional or mandatory redemption rights with respect to the Series B Preferred or Series D Preferred.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2019, we have agreed to indemnify the sureties for payments, up to $9.7 million, made by them in respect of such bonds. These insurance bonds are expected to expire or be renewed in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1 and 2 for recently adopted accounting standards.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See “Critical Accounting Policies and Estimates,” Item 7 of our 2018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2 – Other Environmental Matters of Note 6 and the lawsuits styled </w:t>
      </w:r>
      <w:r>
        <w:rPr>
          <w:rFonts w:ascii="Times New Roman" w:cs="Times New Roman" w:eastAsia="Times New Roman" w:hAnsi="Times New Roman"/>
          <w:sz w:val="18"/>
          <w:szCs w:val="18"/>
          <w:i w:val="1"/>
          <w:iCs w:val="1"/>
          <w:color w:val="auto"/>
        </w:rPr>
        <w:t>City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West, Texas vs. CF Industries, Inc., et al., </w:t>
      </w:r>
      <w:r>
        <w:rPr>
          <w:rFonts w:ascii="Times New Roman" w:cs="Times New Roman" w:eastAsia="Times New Roman" w:hAnsi="Times New Roman"/>
          <w:sz w:val="18"/>
          <w:szCs w:val="18"/>
          <w:color w:val="auto"/>
        </w:rPr>
        <w:t>discussed under “Other Pending, Threatened or Settled Litigation” of Note 6.</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considering selling certain non-core assets. Due to the nature of some of these assets, there may be a limited market. As a result, and depending on appraisals obtained or offers received, if any, from potential buyers, it is reasonably possible we could incur impairment charges or losses on sales or disposals of assets in the near term.</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the redeemable preferred stocks discussed in Note 8 are being increased by periodic accretions (recorded to retained earnings and included in determining income or loss per share) using the interest method so that the carrying amount will equal the redemption value as of October 25, 2023, the earliest possible redemption date by the holder.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also reasonably possible that the estimates and assumptions utilized as of September 30, 2019 could change in the near term.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operation of our businesses, we enter into contracts, leases and borrowing arrangements. As discussed in our 2018 Form 10-K, we had certain contractual obligations as of December 31, 2018, with various maturity dates, showing payments due for the next five years and thereafter related to the following:</w:t>
      </w:r>
    </w:p>
    <w:p>
      <w:pPr>
        <w:spacing w:after="0" w:line="68"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and interest,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Redeemable Preferred and dividends,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capital expenditures,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pipeline commitment,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contractual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discussions associated with our operating leases in Note 2, our long-term debt in Note 5 and expected capital expenditures under “Capitalization”.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operating cash flows are impacted by changes in market prices of ammonia and natural gas and changes in market interest rates.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Periodically, we enter into forward firm sales commitments for products to be delivered in future periods. As a result, we could be September 30, 2019 exposed to embedded losses should our product costs exceed the firm sales prices. At September 30, 2019, we had no embedded losses associated with sales commitments with firm sales prices.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September 30, 2019, we did not have any natural gas derivatives not meeting the definition of a normal purchase and sale.</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we are exposed to variable interest rate risk with respect to our revolving credit facility. As of September 30, 2019, we had no outstanding borrowings on this credit facility. We are also exposed to interest rate risk on variable rate borrowings for certain commercial loans in the amount of approximately $15.0 million. We currently do not hedge our interest rate risk associated with these variable interest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2019. Based on this evaluation, the Company's Chief Executive Officer and Chief Financial Officer have concluded that the Company's disclosure controls and procedures were effective as of September 30, 2019, at the reasonable assurance level.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81" w:lineRule="exact"/>
        <w:rPr>
          <w:sz w:val="20"/>
          <w:szCs w:val="20"/>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liquidity outlook;</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our chemical products and related markets;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effect on the nitrogen market from the current nitrogen expansion projects;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the lack of non-seasonal volume;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competition is based upon service, price, location of production and distribution sites, and product quality and performance;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the industrial and mining industries;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our product and market diversification strategy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fertilizer production;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output and capacity of our existing production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on-stream rates at our production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moderate risk inherent in agricultural markets;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to fund our cash needs and how this cash will be used;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into the additional borrowings;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and timing of our capital projects;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covered under warranty provisions;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to our customers cost increases in the form of higher prices;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whether we have sufficient sources for materials and components;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natural gas requirements;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our Facilities with the terms of our permits;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environmental laws, health laws, security regulations and transportation regulations;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when Turnarounds will be performed and completed;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costs of Turnarounds during 2019;</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environmental projects;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and other contingencies;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depreciation, depletion and amortization;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from the El Dorado expansion project;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debt servicing and covenants;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maturities or redemption obligations when due; and</w:t>
      </w:r>
    </w:p>
    <w:p>
      <w:pPr>
        <w:spacing w:after="0" w:line="10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as to whether we can meet all required covenant tests for the next twelve months.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jc w:val="both"/>
        <w:spacing w:after="0" w:line="236"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8" w:lineRule="exact"/>
        <w:rPr>
          <w:sz w:val="20"/>
          <w:szCs w:val="20"/>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reductions in revenues;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in a timely manner a material amount of receivables;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increases in prices of raw materials;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especially environmental regulations or the American Reinvestment and Recovery Act, or in the interpretation of such;</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other issues related to climate change;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due in the near future;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existing indebtedness;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certain precious metals, natural gas, and ammonia;</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due to financial covenants;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to maintain internal controls over financial reporting;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fund the working capital and expansion of our businesses;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downtime at one or more of our chemical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any of our chemical plants;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raw materials and purchased components;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cost of raw materials;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retain our insurance coverage;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necessary permits;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third-party financing;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proxy contests initiated by dissident stockholders;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fertilizer production;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acres planted for crops requiring fertilizer;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38" w:name="page39"/>
    <w:bookmarkEnd w:id="38"/>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duties for products we sell resulting in an increase in imported products into the U.S.;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natural gas prices;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0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imported agricultural products; and</w:t>
      </w:r>
    </w:p>
    <w:p>
      <w:pPr>
        <w:spacing w:after="0" w:line="9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“Risk Factors” in our Form 10-K for the year ended December 31, 2018.</w:t>
      </w:r>
    </w:p>
    <w:p>
      <w:pPr>
        <w:spacing w:after="0" w:line="9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The Tax Cuts and Jobs Act of 2017.</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ADEQ</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The Arkansas Department of Environmental Quality.</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Ammonium nitrate.</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Accounting Standard Update.</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Baytown Facility</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The nitric acid production facility located in Baytown, Texas.</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CAO</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 consent administrative order.</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Cherokee Facility</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Our chemical production facility located in Cherokee, Alabama.</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Chevron</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Chevron Environmental Management Company.</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Climate Control Business</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Former business conducted through the Climate Control Group.</w:t>
            </w: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Covestro</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The party with whom our subsidiary in Baytown has entered into an agreement for supply of nitric acid through</w:t>
            </w:r>
          </w:p>
        </w:tc>
      </w:tr>
      <w:tr>
        <w:trPr>
          <w:trHeight w:val="234"/>
        </w:trPr>
        <w:tc>
          <w:tcPr>
            <w:tcW w:w="2880" w:type="dxa"/>
            <w:vAlign w:val="bottom"/>
          </w:tcPr>
          <w:p>
            <w:pPr>
              <w:spacing w:after="0"/>
              <w:rPr>
                <w:sz w:val="20"/>
                <w:szCs w:val="20"/>
                <w:color w:val="auto"/>
              </w:rPr>
            </w:pPr>
          </w:p>
        </w:tc>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at least June 2021, the Covestro Agreement.</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EDA</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El Dorado Ammonia L.L.C.</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EDC</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El Dorado Chemical Company.</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 Dorado Facility</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Our chemical production facility located in El Dorado, Arkansas.</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Environmental and Health Laws</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Numerous federal, state and local environmental, health and safety laws.</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Accounting Standards Board.</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Certain springing financial covenants associated with the working capital revolver loan.</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U. S. Generally Accepted Accounting Principles.</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Global</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Global Industrial, Inc., a subcontractor asserting mechanics liens for work rendered to LSB and EDC.</w:t>
            </w: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Golsen Holders</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Jack E. Golsen, our Executive Chairman of the Board, and Barry H. Golsen, a member of the Board, entities</w:t>
            </w:r>
          </w:p>
        </w:tc>
      </w:tr>
      <w:tr>
        <w:trPr>
          <w:trHeight w:val="234"/>
        </w:trPr>
        <w:tc>
          <w:tcPr>
            <w:tcW w:w="2880" w:type="dxa"/>
            <w:vAlign w:val="bottom"/>
          </w:tcPr>
          <w:p>
            <w:pPr>
              <w:spacing w:after="0"/>
              <w:rPr>
                <w:sz w:val="20"/>
                <w:szCs w:val="20"/>
                <w:color w:val="auto"/>
              </w:rPr>
            </w:pPr>
          </w:p>
        </w:tc>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 by them and trusts for which they possess voting or dispositive power as trustee.</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Hallowell Facility</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 chemical facility previously owned by two of our subsidiaries located in Kansas.</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HDAN</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High density ammonium nitrate prills used in the agricultural industry.</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KDHE</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The Kansas Department of Health and Environment.</w:t>
            </w: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Loan</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 loan agreement between EDC and a lender with up to $7.5 million of available borrowing for the</w:t>
            </w:r>
          </w:p>
        </w:tc>
      </w:tr>
      <w:tr>
        <w:trPr>
          <w:trHeight w:val="234"/>
        </w:trPr>
        <w:tc>
          <w:tcPr>
            <w:tcW w:w="2880" w:type="dxa"/>
            <w:vAlign w:val="bottom"/>
          </w:tcPr>
          <w:p>
            <w:pPr>
              <w:spacing w:after="0"/>
              <w:rPr>
                <w:sz w:val="20"/>
                <w:szCs w:val="20"/>
                <w:color w:val="auto"/>
              </w:rPr>
            </w:pPr>
          </w:p>
        </w:tc>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construction of certain equipment.</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Loan Period</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The time period covered by the Interim Loan for certain equipment construction between EDC and a lender.</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LDAN</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Low density ammonium nitrate prills used in the mining industry.</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Leidos</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Leidos Constructors L.L.C.</w:t>
            </w: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The Series E Redeemable Preferred liquidation preference of $1,000 per share plus accrued and unpaid</w:t>
            </w:r>
          </w:p>
        </w:tc>
      </w:tr>
      <w:tr>
        <w:trPr>
          <w:trHeight w:val="234"/>
        </w:trPr>
        <w:tc>
          <w:tcPr>
            <w:tcW w:w="2880" w:type="dxa"/>
            <w:vAlign w:val="bottom"/>
          </w:tcPr>
          <w:p>
            <w:pPr>
              <w:spacing w:after="0"/>
              <w:rPr>
                <w:sz w:val="20"/>
                <w:szCs w:val="20"/>
                <w:color w:val="auto"/>
              </w:rPr>
            </w:pPr>
          </w:p>
        </w:tc>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dividends plus the participation rights value.</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LSB</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LSB Industries, Inc.</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LSB Funding</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LSB Funding L.L.C.</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MD&amp;A</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New Notes</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The notes issued on June 21, 2019 with an interest rate of 9.625%, which mature in May 2023.</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w:t>
            </w: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 note in the accompanying notes to the condensed consolidated financial statements.</w:t>
            </w:r>
          </w:p>
        </w:tc>
      </w:tr>
      <w:tr>
        <w:trPr>
          <w:trHeight w:val="473"/>
        </w:trPr>
        <w:tc>
          <w:tcPr>
            <w:tcW w:w="2880" w:type="dxa"/>
            <w:vAlign w:val="bottom"/>
          </w:tcPr>
          <w:p>
            <w:pPr>
              <w:spacing w:after="0"/>
              <w:rPr>
                <w:sz w:val="24"/>
                <w:szCs w:val="24"/>
                <w:color w:val="auto"/>
              </w:rPr>
            </w:pPr>
          </w:p>
        </w:tc>
        <w:tc>
          <w:tcPr>
            <w:tcW w:w="85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39</w:t>
            </w:r>
          </w:p>
        </w:tc>
      </w:tr>
      <w:tr>
        <w:trPr>
          <w:trHeight w:val="115"/>
        </w:trPr>
        <w:tc>
          <w:tcPr>
            <w:tcW w:w="2880" w:type="dxa"/>
            <w:vAlign w:val="bottom"/>
            <w:tcBorders>
              <w:bottom w:val="single" w:sz="8" w:color="9A9A9A"/>
            </w:tcBorders>
          </w:tcPr>
          <w:p>
            <w:pPr>
              <w:spacing w:after="0"/>
              <w:rPr>
                <w:sz w:val="10"/>
                <w:szCs w:val="10"/>
                <w:color w:val="auto"/>
              </w:rPr>
            </w:pPr>
          </w:p>
        </w:tc>
        <w:tc>
          <w:tcPr>
            <w:tcW w:w="8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notes issued on April 28, 2018 with an interest rate of 9.625%, which mature in May 2023.</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NPDES</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National Pollutant Discharge Elimination System.</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ODEQ</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Oklahoma Department of Environmental Quality.</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Permit Appeal Resolution.</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PCC</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Pryor Chemical Company.</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PP&amp;E</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Plant, property and equipment.</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Pryor Facility</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Our chemical production facility located in Pryor, Oklahoma.</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LSB Funding L.L.C.</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U.S. Securities and Exchange Commission.</w:t>
            </w: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Financing due 2023</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 secured financing agreement between EDC and an affiliate of LSB Funding L.L.C. which matures in June</w:t>
            </w:r>
          </w:p>
        </w:tc>
      </w:tr>
      <w:tr>
        <w:trPr>
          <w:trHeight w:val="234"/>
        </w:trPr>
        <w:tc>
          <w:tcPr>
            <w:tcW w:w="2960" w:type="dxa"/>
            <w:vAlign w:val="bottom"/>
          </w:tcPr>
          <w:p>
            <w:pPr>
              <w:spacing w:after="0"/>
              <w:rPr>
                <w:sz w:val="20"/>
                <w:szCs w:val="20"/>
                <w:color w:val="auto"/>
              </w:rPr>
            </w:pPr>
          </w:p>
        </w:tc>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2019</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 secured promissory note between EDC and a lender which was scheduled to mature in June 2019.</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2021</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 secured promissory note between EDC and a lender which matures in March 2021.</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2023</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 secured promissory note between EDA and a lender which matures in May 2023.</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Notes and New Notes, taken together.</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Series B 12% cumulative convertible Class C Preferred stock.</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D Preferred</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Series D 6% cumulative convertible Class C preferred stock.</w:t>
            </w: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E Redeemable Preferred</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14% Series E Redeemable Preferred stock with participating rights and liquidating distributions based on a</w:t>
            </w:r>
          </w:p>
        </w:tc>
      </w:tr>
      <w:tr>
        <w:trPr>
          <w:trHeight w:val="234"/>
        </w:trPr>
        <w:tc>
          <w:tcPr>
            <w:tcW w:w="2960" w:type="dxa"/>
            <w:vAlign w:val="bottom"/>
          </w:tcPr>
          <w:p>
            <w:pPr>
              <w:spacing w:after="0"/>
              <w:rPr>
                <w:sz w:val="20"/>
                <w:szCs w:val="20"/>
                <w:color w:val="auto"/>
              </w:rPr>
            </w:pPr>
          </w:p>
        </w:tc>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certain number of shares of our common stock.</w:t>
            </w: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F Redeemable Preferred</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The Series F Redeemable Preferred stock with one share to vote as a single class on all matters with our</w:t>
            </w:r>
          </w:p>
        </w:tc>
      </w:tr>
      <w:tr>
        <w:trPr>
          <w:trHeight w:val="234"/>
        </w:trPr>
        <w:tc>
          <w:tcPr>
            <w:tcW w:w="2960" w:type="dxa"/>
            <w:vAlign w:val="bottom"/>
          </w:tcPr>
          <w:p>
            <w:pPr>
              <w:spacing w:after="0"/>
              <w:rPr>
                <w:sz w:val="20"/>
                <w:szCs w:val="20"/>
                <w:color w:val="auto"/>
              </w:rPr>
            </w:pPr>
          </w:p>
        </w:tc>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equal to 456,225 shares of our common stock.</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Selling, general and administrative expense.</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Turnaround</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 planned major maintenance activity.</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UAN</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Urea ammonium nitrate.</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United States.</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USDA</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United States Department of Agriculture.</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WASDE</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World Agricultural Supply and Demand Estimates Report.</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West Fertilizer</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West Fertilizer Company.</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Wilson Settlement Agreement</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 An agreement in the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Working Capital Revolver Loan</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Our secured revolving credit facility.</w:t>
            </w: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 Crop</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Corn crop marketing year (September 1 - August 31), which began in 2017 and ended in 2018 and primarily</w:t>
            </w:r>
          </w:p>
        </w:tc>
      </w:tr>
      <w:tr>
        <w:trPr>
          <w:trHeight w:val="234"/>
        </w:trPr>
        <w:tc>
          <w:tcPr>
            <w:tcW w:w="2960" w:type="dxa"/>
            <w:vAlign w:val="bottom"/>
          </w:tcPr>
          <w:p>
            <w:pPr>
              <w:spacing w:after="0"/>
              <w:rPr>
                <w:sz w:val="20"/>
                <w:szCs w:val="20"/>
                <w:color w:val="auto"/>
              </w:rPr>
            </w:pPr>
          </w:p>
        </w:tc>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relates to corn planted and harvested in 2017.</w:t>
            </w: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 Crop</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Corn crop marketing year (September 1 - August 31), which began in 2018 and ended in 2019 and primarily</w:t>
            </w:r>
          </w:p>
        </w:tc>
      </w:tr>
      <w:tr>
        <w:trPr>
          <w:trHeight w:val="234"/>
        </w:trPr>
        <w:tc>
          <w:tcPr>
            <w:tcW w:w="2960" w:type="dxa"/>
            <w:vAlign w:val="bottom"/>
          </w:tcPr>
          <w:p>
            <w:pPr>
              <w:spacing w:after="0"/>
              <w:rPr>
                <w:sz w:val="20"/>
                <w:szCs w:val="20"/>
                <w:color w:val="auto"/>
              </w:rPr>
            </w:pPr>
          </w:p>
        </w:tc>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relates to corn planted and harvested in 2018.</w:t>
            </w: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 Crop</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Corn crop marketing year (September 1 - August 31), which began in 2019 and will end in 2020 and primarily</w:t>
            </w:r>
          </w:p>
        </w:tc>
      </w:tr>
      <w:tr>
        <w:trPr>
          <w:trHeight w:val="234"/>
        </w:trPr>
        <w:tc>
          <w:tcPr>
            <w:tcW w:w="2960" w:type="dxa"/>
            <w:vAlign w:val="bottom"/>
          </w:tcPr>
          <w:p>
            <w:pPr>
              <w:spacing w:after="0"/>
              <w:rPr>
                <w:sz w:val="20"/>
                <w:szCs w:val="20"/>
                <w:color w:val="auto"/>
              </w:rPr>
            </w:pPr>
          </w:p>
        </w:tc>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relates to corn planted and harvested in 2019.</w:t>
            </w:r>
          </w:p>
        </w:tc>
      </w:tr>
      <w:tr>
        <w:trPr>
          <w:trHeight w:val="648"/>
        </w:trPr>
        <w:tc>
          <w:tcPr>
            <w:tcW w:w="2960" w:type="dxa"/>
            <w:vAlign w:val="bottom"/>
          </w:tcPr>
          <w:p>
            <w:pPr>
              <w:spacing w:after="0"/>
              <w:rPr>
                <w:sz w:val="24"/>
                <w:szCs w:val="24"/>
                <w:color w:val="auto"/>
              </w:rPr>
            </w:pPr>
          </w:p>
        </w:tc>
        <w:tc>
          <w:tcPr>
            <w:tcW w:w="84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40</w:t>
            </w:r>
          </w:p>
        </w:tc>
      </w:tr>
      <w:tr>
        <w:trPr>
          <w:trHeight w:val="115"/>
        </w:trPr>
        <w:tc>
          <w:tcPr>
            <w:tcW w:w="2960" w:type="dxa"/>
            <w:vAlign w:val="bottom"/>
            <w:tcBorders>
              <w:bottom w:val="single" w:sz="8" w:color="9A9A9A"/>
            </w:tcBorders>
          </w:tcPr>
          <w:p>
            <w:pPr>
              <w:spacing w:after="0"/>
              <w:rPr>
                <w:sz w:val="10"/>
                <w:szCs w:val="10"/>
                <w:color w:val="auto"/>
              </w:rPr>
            </w:pPr>
          </w:p>
        </w:tc>
        <w:tc>
          <w:tcPr>
            <w:tcW w:w="8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6—Commitments and Contingencies—Legal Matters” in the Notes to the Condensed Consolidated Financial Statements in this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Item 1A of our 2018 Form 10-K, filed with the SEC on February 26, 2019 for our discussion regarding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on page 42.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 Item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20" w:type="dxa"/>
            <w:vAlign w:val="bottom"/>
            <w:gridSpan w:val="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00" w:type="dxa"/>
            <w:vAlign w:val="bottom"/>
          </w:tcPr>
          <w:p>
            <w:pPr>
              <w:spacing w:after="0"/>
              <w:rPr>
                <w:sz w:val="13"/>
                <w:szCs w:val="13"/>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Following</w:t>
            </w:r>
          </w:p>
        </w:tc>
        <w:tc>
          <w:tcPr>
            <w:tcW w:w="0" w:type="dxa"/>
            <w:vAlign w:val="bottom"/>
          </w:tcPr>
          <w:p>
            <w:pPr>
              <w:spacing w:after="0"/>
              <w:rPr>
                <w:sz w:val="1"/>
                <w:szCs w:val="1"/>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Restated Certificate of Incorporation of LSB Industries, Inc., dated January</w:t>
              </w:r>
            </w:hyperlink>
          </w:p>
        </w:tc>
        <w:tc>
          <w:tcPr>
            <w:tcW w:w="4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21, 1977, as amended August 27, 1987</w:t>
              </w:r>
            </w:hyperlink>
          </w:p>
        </w:tc>
        <w:tc>
          <w:tcPr>
            <w:tcW w:w="2660" w:type="dxa"/>
            <w:vAlign w:val="bottom"/>
            <w:gridSpan w:val="6"/>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February 28, 2013</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Amended and Restated Bylaws of LSB Industries, Inc. dated August 20,</w:t>
              </w:r>
            </w:hyperlink>
          </w:p>
        </w:tc>
        <w:tc>
          <w:tcPr>
            <w:tcW w:w="4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Exhibit 3(ii).1 to the Company’s Form 8-K filed August 27,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2009, as amended February 18, 2010, January 17, 2014, February 4, 2014</w:t>
              </w:r>
            </w:hyperlink>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and August 21, 2014</w:t>
              </w:r>
            </w:hyperlink>
          </w:p>
        </w:tc>
        <w:tc>
          <w:tcPr>
            <w:tcW w:w="396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3(ii).2</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Fifth Amendment to the Amended and Restated Bylaws of LSB Industries,</w:t>
              </w:r>
            </w:hyperlink>
          </w:p>
        </w:tc>
        <w:tc>
          <w:tcPr>
            <w:tcW w:w="4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Inc., dated as of April 26, 2015</w:t>
              </w:r>
            </w:hyperlink>
          </w:p>
        </w:tc>
        <w:tc>
          <w:tcPr>
            <w:tcW w:w="3220" w:type="dxa"/>
            <w:vAlign w:val="bottom"/>
            <w:gridSpan w:val="8"/>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3(ii).3</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Sixth Amendment to the Amended and Restated Bylaws of LSB Industries,</w:t>
              </w:r>
            </w:hyperlink>
          </w:p>
        </w:tc>
        <w:tc>
          <w:tcPr>
            <w:tcW w:w="4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Exhibit 3(ii) to the Company’s Form 8-K filed December 8,</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1"/>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Inc., dated as of December 2, 2015</w:t>
              </w:r>
            </w:hyperlink>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3(ii).4</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Seventh Amendment to the Amended and Restated Bylaws of LSB</w:t>
              </w:r>
            </w:hyperlink>
          </w:p>
        </w:tc>
        <w:tc>
          <w:tcPr>
            <w:tcW w:w="4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Exhibit 3(ii) to the Company’s Form 8-K filed December 29,</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Industries, Inc., dated as of December 22, 2015</w:t>
              </w:r>
            </w:hyperlink>
          </w:p>
        </w:tc>
        <w:tc>
          <w:tcPr>
            <w:tcW w:w="2060" w:type="dxa"/>
            <w:vAlign w:val="bottom"/>
            <w:gridSpan w:val="3"/>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Second Amendment to Ammonia Purchase and Sale Agreement Between</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Koch Fertilizer, LLC  and El Dorado Chemical Company, dated as of</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September 30, 2019</w:t>
              </w:r>
            </w:hyperlink>
          </w:p>
        </w:tc>
        <w:tc>
          <w:tcPr>
            <w:tcW w:w="402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Certification of Mark T. Behrman, Chief Executive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Sarbanes-Oxley Act of 2002, Section 302</w:t>
              </w:r>
            </w:hyperlink>
          </w:p>
        </w:tc>
        <w:tc>
          <w:tcPr>
            <w:tcW w:w="24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Certification of Cheryl A. Maguire, Chief Financial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Sarbanes-Oxley Act of 2002, Section 302</w:t>
              </w:r>
            </w:hyperlink>
          </w:p>
        </w:tc>
        <w:tc>
          <w:tcPr>
            <w:tcW w:w="24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32.1(b)</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5"/>
              </w:rPr>
            </w:pPr>
            <w:hyperlink w:anchor="page49">
              <w:r>
                <w:rPr>
                  <w:rFonts w:ascii="Times New Roman" w:cs="Times New Roman" w:eastAsia="Times New Roman" w:hAnsi="Times New Roman"/>
                  <w:sz w:val="18"/>
                  <w:szCs w:val="18"/>
                  <w:color w:val="0000EE"/>
                  <w:w w:val="95"/>
                </w:rPr>
                <w:t>Certification of Mark T. Behrman, Chief Executive Officer, furnished pursuant</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1"/>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to Sarbanes-Oxley Act of 2002, Section 906</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32.2(b)</w:t>
            </w:r>
          </w:p>
        </w:tc>
        <w:tc>
          <w:tcPr>
            <w:tcW w:w="140" w:type="dxa"/>
            <w:vAlign w:val="bottom"/>
          </w:tcPr>
          <w:p>
            <w:pPr>
              <w:spacing w:after="0"/>
              <w:rPr>
                <w:sz w:val="24"/>
                <w:szCs w:val="24"/>
                <w:color w:val="auto"/>
              </w:rPr>
            </w:pPr>
          </w:p>
        </w:tc>
        <w:tc>
          <w:tcPr>
            <w:tcW w:w="5460" w:type="dxa"/>
            <w:vAlign w:val="bottom"/>
            <w:gridSpan w:val="11"/>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Certification of Cheryl A. Maguire, Chief Financial Officer, furnished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pursuant to Sarbanes-Oxley Act of 2002, Section 906</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101.INS(a)</w:t>
            </w:r>
          </w:p>
        </w:tc>
        <w:tc>
          <w:tcPr>
            <w:tcW w:w="140" w:type="dxa"/>
            <w:vAlign w:val="bottom"/>
          </w:tcPr>
          <w:p>
            <w:pPr>
              <w:spacing w:after="0"/>
              <w:rPr>
                <w:sz w:val="24"/>
                <w:szCs w:val="24"/>
                <w:color w:val="auto"/>
              </w:rPr>
            </w:pPr>
          </w:p>
        </w:tc>
        <w:tc>
          <w:tcPr>
            <w:tcW w:w="3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caused the undersigned, duly authorized, to sign this report on its behalf on this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October 2019.</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Harold L. Rieker,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 Financial Reporting</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3" w:right="239" w:bottom="1440" w:gutter="0" w:footer="0" w:header="0"/>
        </w:sectPr>
      </w:pPr>
    </w:p>
    <w:bookmarkStart w:id="43" w:name="page44"/>
    <w:bookmarkEnd w:id="43"/>
    <w:p>
      <w:pPr>
        <w:ind w:left="10220"/>
        <w:spacing w:after="0"/>
        <w:rPr>
          <w:sz w:val="20"/>
          <w:szCs w:val="20"/>
          <w:color w:val="auto"/>
        </w:rPr>
      </w:pPr>
      <w:r>
        <w:rPr>
          <w:rFonts w:ascii="Arial" w:cs="Arial" w:eastAsia="Arial" w:hAnsi="Arial"/>
          <w:sz w:val="21"/>
          <w:szCs w:val="21"/>
          <w:b w:val="1"/>
          <w:bCs w:val="1"/>
          <w:color w:val="auto"/>
        </w:rPr>
        <w:t>Exhibit 10.1</w:t>
      </w:r>
    </w:p>
    <w:p>
      <w:pPr>
        <w:spacing w:after="0" w:line="245" w:lineRule="exact"/>
        <w:rPr>
          <w:sz w:val="20"/>
          <w:szCs w:val="20"/>
          <w:color w:val="auto"/>
        </w:rPr>
      </w:pPr>
    </w:p>
    <w:p>
      <w:pPr>
        <w:jc w:val="both"/>
        <w:ind w:right="460"/>
        <w:spacing w:after="0" w:line="255" w:lineRule="auto"/>
        <w:rPr>
          <w:sz w:val="20"/>
          <w:szCs w:val="20"/>
          <w:color w:val="auto"/>
        </w:rPr>
      </w:pPr>
      <w:r>
        <w:rPr>
          <w:rFonts w:ascii="Arial" w:cs="Arial" w:eastAsia="Arial" w:hAnsi="Arial"/>
          <w:sz w:val="22"/>
          <w:szCs w:val="22"/>
          <w:b w:val="1"/>
          <w:bCs w:val="1"/>
          <w:color w:val="auto"/>
        </w:rPr>
        <w:t>Certain identified information has been excluded from the exhibit because it is both (i) not material and (ii) would likely cause competitive harm to the company, if publicly disclosed. [***] indicates material that was omitted.</w:t>
      </w:r>
    </w:p>
    <w:p>
      <w:pPr>
        <w:spacing w:after="0" w:line="166" w:lineRule="exact"/>
        <w:rPr>
          <w:sz w:val="20"/>
          <w:szCs w:val="20"/>
          <w:color w:val="auto"/>
        </w:rPr>
      </w:pPr>
    </w:p>
    <w:p>
      <w:pPr>
        <w:ind w:left="1840"/>
        <w:spacing w:after="0"/>
        <w:rPr>
          <w:sz w:val="20"/>
          <w:szCs w:val="20"/>
          <w:color w:val="auto"/>
        </w:rPr>
      </w:pPr>
      <w:r>
        <w:rPr>
          <w:rFonts w:ascii="Arial" w:cs="Arial" w:eastAsia="Arial" w:hAnsi="Arial"/>
          <w:sz w:val="22"/>
          <w:szCs w:val="22"/>
          <w:b w:val="1"/>
          <w:bCs w:val="1"/>
          <w:u w:val="single" w:color="auto"/>
          <w:color w:val="auto"/>
        </w:rPr>
        <w:t>SECOND AMENDMENT TO AMMONIA PURCHASE AND SALE AGREEMENT</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22"/>
          <w:szCs w:val="22"/>
          <w:b w:val="1"/>
          <w:bCs w:val="1"/>
          <w:u w:val="single" w:color="auto"/>
          <w:color w:val="auto"/>
        </w:rPr>
        <w:t>Between KOCH FERTILIZER, LLC and EL DORADO CHEMICAL COMPANY</w:t>
      </w:r>
    </w:p>
    <w:p>
      <w:pPr>
        <w:spacing w:after="0" w:line="200" w:lineRule="exact"/>
        <w:rPr>
          <w:sz w:val="20"/>
          <w:szCs w:val="20"/>
          <w:color w:val="auto"/>
        </w:rPr>
      </w:pPr>
    </w:p>
    <w:p>
      <w:pPr>
        <w:spacing w:after="0" w:line="248" w:lineRule="exact"/>
        <w:rPr>
          <w:sz w:val="20"/>
          <w:szCs w:val="20"/>
          <w:color w:val="auto"/>
        </w:rPr>
      </w:pPr>
    </w:p>
    <w:p>
      <w:pPr>
        <w:jc w:val="both"/>
        <w:ind w:right="40"/>
        <w:spacing w:after="0" w:line="254" w:lineRule="auto"/>
        <w:rPr>
          <w:sz w:val="20"/>
          <w:szCs w:val="20"/>
          <w:color w:val="auto"/>
        </w:rPr>
      </w:pPr>
      <w:r>
        <w:rPr>
          <w:rFonts w:ascii="Arial" w:cs="Arial" w:eastAsia="Arial" w:hAnsi="Arial"/>
          <w:sz w:val="22"/>
          <w:szCs w:val="22"/>
          <w:color w:val="auto"/>
        </w:rPr>
        <w:t xml:space="preserve">THIS SECOND AMENDMENT TO AMMONIA PURCHASE AND SALE AGREEMENT (“Second Amendment”) between </w:t>
      </w:r>
      <w:r>
        <w:rPr>
          <w:rFonts w:ascii="Arial" w:cs="Arial" w:eastAsia="Arial" w:hAnsi="Arial"/>
          <w:sz w:val="22"/>
          <w:szCs w:val="22"/>
          <w:b w:val="1"/>
          <w:bCs w:val="1"/>
          <w:color w:val="auto"/>
        </w:rPr>
        <w:t xml:space="preserve">KOCH FERTILIZER, LLC </w:t>
      </w: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 and</w:t>
      </w:r>
      <w:r>
        <w:rPr>
          <w:rFonts w:ascii="Arial" w:cs="Arial" w:eastAsia="Arial" w:hAnsi="Arial"/>
          <w:sz w:val="22"/>
          <w:szCs w:val="22"/>
          <w:b w:val="1"/>
          <w:bCs w:val="1"/>
          <w:color w:val="auto"/>
        </w:rPr>
        <w:t xml:space="preserve"> EL DORADO CHEMICAL COMPANY </w:t>
      </w: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 is entered into this 30th day</w:t>
      </w:r>
      <w:r>
        <w:rPr>
          <w:rFonts w:ascii="Arial" w:cs="Arial" w:eastAsia="Arial" w:hAnsi="Arial"/>
          <w:sz w:val="22"/>
          <w:szCs w:val="22"/>
          <w:b w:val="1"/>
          <w:bCs w:val="1"/>
          <w:color w:val="auto"/>
        </w:rPr>
        <w:t xml:space="preserve"> </w:t>
      </w:r>
      <w:r>
        <w:rPr>
          <w:rFonts w:ascii="Arial" w:cs="Arial" w:eastAsia="Arial" w:hAnsi="Arial"/>
          <w:sz w:val="22"/>
          <w:szCs w:val="22"/>
          <w:color w:val="auto"/>
        </w:rPr>
        <w:t>of September, 2019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67"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Buyer and Seller are parties to that certain Ammonia Purchase and Sale Agreement dated November 2,</w:t>
      </w:r>
      <w:r>
        <w:rPr>
          <w:rFonts w:ascii="Arial" w:cs="Arial" w:eastAsia="Arial" w:hAnsi="Arial"/>
          <w:sz w:val="22"/>
          <w:szCs w:val="22"/>
          <w:b w:val="1"/>
          <w:bCs w:val="1"/>
          <w:color w:val="auto"/>
        </w:rPr>
        <w:t xml:space="preserve"> </w:t>
      </w:r>
      <w:r>
        <w:rPr>
          <w:rFonts w:ascii="Arial" w:cs="Arial" w:eastAsia="Arial" w:hAnsi="Arial"/>
          <w:sz w:val="22"/>
          <w:szCs w:val="22"/>
          <w:color w:val="auto"/>
        </w:rPr>
        <w:t>2015 (as amended by that certain First Amendment to Ammonia Purchase and Sales Agreement with an effective date of September 30 ,2018, the “</w:t>
      </w:r>
      <w:r>
        <w:rPr>
          <w:rFonts w:ascii="Arial" w:cs="Arial" w:eastAsia="Arial" w:hAnsi="Arial"/>
          <w:sz w:val="22"/>
          <w:szCs w:val="22"/>
          <w:b w:val="1"/>
          <w:bCs w:val="1"/>
          <w:color w:val="auto"/>
        </w:rPr>
        <w:t>Agreement</w:t>
      </w:r>
      <w:r>
        <w:rPr>
          <w:rFonts w:ascii="Arial" w:cs="Arial" w:eastAsia="Arial" w:hAnsi="Arial"/>
          <w:sz w:val="22"/>
          <w:szCs w:val="22"/>
          <w:color w:val="auto"/>
        </w:rPr>
        <w:t>”) with the first Contract Year commencing on July 1, 2016, pursuant to which Seller supplies Ammonia to Buyer;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Buyer and Seller mutually desire to amend the Agreement as hereinafter provided.</w:t>
      </w:r>
    </w:p>
    <w:p>
      <w:pPr>
        <w:spacing w:after="0" w:line="235" w:lineRule="exact"/>
        <w:rPr>
          <w:sz w:val="20"/>
          <w:szCs w:val="20"/>
          <w:color w:val="auto"/>
        </w:rPr>
      </w:pPr>
    </w:p>
    <w:p>
      <w:pPr>
        <w:ind w:right="80"/>
        <w:spacing w:after="0" w:line="269" w:lineRule="auto"/>
        <w:rPr>
          <w:sz w:val="20"/>
          <w:szCs w:val="20"/>
          <w:color w:val="auto"/>
        </w:rPr>
      </w:pPr>
      <w:r>
        <w:rPr>
          <w:rFonts w:ascii="Arial" w:cs="Arial" w:eastAsia="Arial" w:hAnsi="Arial"/>
          <w:sz w:val="22"/>
          <w:szCs w:val="22"/>
          <w:color w:val="auto"/>
        </w:rPr>
        <w:t>NOW THEREFORE, in consideration of the premises and the mutual covenants herein contained, the Parties agree as follows:</w:t>
      </w:r>
    </w:p>
    <w:p>
      <w:pPr>
        <w:spacing w:after="0" w:line="160" w:lineRule="exact"/>
        <w:rPr>
          <w:sz w:val="20"/>
          <w:szCs w:val="20"/>
          <w:color w:val="auto"/>
        </w:rPr>
      </w:pPr>
    </w:p>
    <w:p>
      <w:pPr>
        <w:ind w:left="1260" w:right="80" w:hanging="415"/>
        <w:spacing w:after="0" w:line="271" w:lineRule="auto"/>
        <w:tabs>
          <w:tab w:leader="none" w:pos="12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Defined Terms</w:t>
      </w:r>
      <w:r>
        <w:rPr>
          <w:rFonts w:ascii="Arial" w:cs="Arial" w:eastAsia="Arial" w:hAnsi="Arial"/>
          <w:sz w:val="22"/>
          <w:szCs w:val="22"/>
          <w:color w:val="auto"/>
        </w:rPr>
        <w:t>: Any capitalized term not defined herein shall have the meaning given to such term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58" w:lineRule="exact"/>
        <w:rPr>
          <w:rFonts w:ascii="Arial" w:cs="Arial" w:eastAsia="Arial" w:hAnsi="Arial"/>
          <w:sz w:val="22"/>
          <w:szCs w:val="22"/>
          <w:color w:val="auto"/>
        </w:rPr>
      </w:pPr>
    </w:p>
    <w:p>
      <w:pPr>
        <w:ind w:left="1260" w:hanging="415"/>
        <w:spacing w:after="0"/>
        <w:tabs>
          <w:tab w:leader="none" w:pos="12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Section 7 entitled “</w:t>
      </w:r>
      <w:r>
        <w:rPr>
          <w:rFonts w:ascii="Arial" w:cs="Arial" w:eastAsia="Arial" w:hAnsi="Arial"/>
          <w:sz w:val="22"/>
          <w:szCs w:val="22"/>
          <w:b w:val="1"/>
          <w:bCs w:val="1"/>
          <w:color w:val="auto"/>
        </w:rPr>
        <w:t>Term</w:t>
      </w:r>
      <w:r>
        <w:rPr>
          <w:rFonts w:ascii="Arial" w:cs="Arial" w:eastAsia="Arial" w:hAnsi="Arial"/>
          <w:sz w:val="22"/>
          <w:szCs w:val="22"/>
          <w:color w:val="auto"/>
        </w:rPr>
        <w:t>” shall be deleted in its entirety and replaced with the following:</w:t>
      </w:r>
    </w:p>
    <w:p>
      <w:pPr>
        <w:spacing w:after="0" w:line="235" w:lineRule="exact"/>
        <w:rPr>
          <w:rFonts w:ascii="Arial" w:cs="Arial" w:eastAsia="Arial" w:hAnsi="Arial"/>
          <w:sz w:val="22"/>
          <w:szCs w:val="22"/>
          <w:color w:val="auto"/>
        </w:rPr>
      </w:pPr>
    </w:p>
    <w:p>
      <w:pPr>
        <w:ind w:left="1280" w:right="220"/>
        <w:spacing w:after="0" w:line="242" w:lineRule="auto"/>
        <w:rPr>
          <w:rFonts w:ascii="Arial" w:cs="Arial" w:eastAsia="Arial" w:hAnsi="Arial"/>
          <w:sz w:val="22"/>
          <w:szCs w:val="22"/>
          <w:color w:val="auto"/>
        </w:rPr>
      </w:pPr>
      <w:r>
        <w:rPr>
          <w:rFonts w:ascii="Arial" w:cs="Arial" w:eastAsia="Arial" w:hAnsi="Arial"/>
          <w:sz w:val="22"/>
          <w:szCs w:val="22"/>
          <w:color w:val="auto"/>
        </w:rPr>
        <w:t xml:space="preserve">“The initial term of the Agreement shall commence on the Effective Date and shall terminate after six (6) Contract Years on June 30, 2022; provided, this Agreement shall automatically continue for one or more additional terms of one (1) Contract year each unless terminated by either party by delivering written notice of termination at least nine (9) months prior to the end of the initial or any additional term, as applicable (collectively,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ind w:left="1260" w:right="80" w:hanging="415"/>
        <w:spacing w:after="0" w:line="271" w:lineRule="auto"/>
        <w:tabs>
          <w:tab w:leader="none" w:pos="12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Quantity</w:t>
      </w:r>
      <w:r>
        <w:rPr>
          <w:rFonts w:ascii="Arial" w:cs="Arial" w:eastAsia="Arial" w:hAnsi="Arial"/>
          <w:sz w:val="22"/>
          <w:szCs w:val="22"/>
          <w:color w:val="auto"/>
        </w:rPr>
        <w:t>. The first paragraph of Section 9 entitled “</w:t>
      </w:r>
      <w:r>
        <w:rPr>
          <w:rFonts w:ascii="Arial" w:cs="Arial" w:eastAsia="Arial" w:hAnsi="Arial"/>
          <w:sz w:val="22"/>
          <w:szCs w:val="22"/>
          <w:b w:val="1"/>
          <w:bCs w:val="1"/>
          <w:color w:val="auto"/>
        </w:rPr>
        <w:t>Quantity</w:t>
      </w:r>
      <w:r>
        <w:rPr>
          <w:rFonts w:ascii="Arial" w:cs="Arial" w:eastAsia="Arial" w:hAnsi="Arial"/>
          <w:sz w:val="22"/>
          <w:szCs w:val="22"/>
          <w:color w:val="auto"/>
        </w:rPr>
        <w:t>” shall be deleted in its entirety and replaced</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following:</w:t>
      </w:r>
    </w:p>
    <w:p>
      <w:pPr>
        <w:spacing w:after="0" w:line="160" w:lineRule="exact"/>
        <w:rPr>
          <w:sz w:val="20"/>
          <w:szCs w:val="20"/>
          <w:color w:val="auto"/>
        </w:rPr>
      </w:pPr>
    </w:p>
    <w:p>
      <w:pPr>
        <w:ind w:left="1280" w:right="80"/>
        <w:spacing w:after="0" w:line="243" w:lineRule="auto"/>
        <w:rPr>
          <w:sz w:val="20"/>
          <w:szCs w:val="20"/>
          <w:color w:val="auto"/>
        </w:rPr>
      </w:pPr>
      <w:r>
        <w:rPr>
          <w:rFonts w:ascii="Arial" w:cs="Arial" w:eastAsia="Arial" w:hAnsi="Arial"/>
          <w:sz w:val="22"/>
          <w:szCs w:val="22"/>
          <w:color w:val="auto"/>
        </w:rPr>
        <w:t>“Commencing on the Completion Date through June 30, 2019, Buyer agrees to purchase from Seller, and Seller agrees to sell to Buyer up to a maximum of [***] of Ammonia per month (through September 30, 2019, the “</w:t>
      </w:r>
      <w:r>
        <w:rPr>
          <w:rFonts w:ascii="Arial" w:cs="Arial" w:eastAsia="Arial" w:hAnsi="Arial"/>
          <w:sz w:val="22"/>
          <w:szCs w:val="22"/>
          <w:b w:val="1"/>
          <w:bCs w:val="1"/>
          <w:color w:val="auto"/>
        </w:rPr>
        <w:t>Expected Quantity</w:t>
      </w:r>
      <w:r>
        <w:rPr>
          <w:rFonts w:ascii="Arial" w:cs="Arial" w:eastAsia="Arial" w:hAnsi="Arial"/>
          <w:sz w:val="22"/>
          <w:szCs w:val="22"/>
          <w:color w:val="auto"/>
        </w:rPr>
        <w:t>”). Commencing on July 1, 2019 and through September 30, 2019, Buyer agrees to purchase from Seller and Seller agrees to sell to Buyer, no less than [***] and up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31412770.2</w:t>
      </w:r>
    </w:p>
    <w:p>
      <w:pPr>
        <w:spacing w:after="0" w:line="17" w:lineRule="exact"/>
        <w:rPr>
          <w:sz w:val="20"/>
          <w:szCs w:val="20"/>
          <w:color w:val="auto"/>
        </w:rPr>
      </w:pPr>
    </w:p>
    <w:p>
      <w:pPr>
        <w:ind w:left="1280"/>
        <w:spacing w:after="0" w:line="234" w:lineRule="auto"/>
        <w:rPr>
          <w:sz w:val="20"/>
          <w:szCs w:val="20"/>
          <w:color w:val="auto"/>
        </w:rPr>
      </w:pPr>
      <w:r>
        <w:rPr>
          <w:rFonts w:ascii="Arial" w:cs="Arial" w:eastAsia="Arial" w:hAnsi="Arial"/>
          <w:sz w:val="22"/>
          <w:szCs w:val="22"/>
          <w:color w:val="auto"/>
        </w:rPr>
        <w:t>to a maximum of [***] of Ammonia per month. Commencing on October 1, 2019 and through the remaining Term, Buyer agrees to purchase from Seller and Seller agrees to sell to Buyer, no less than [***] and up to a maximum of [***] of Ammonia per month (from and after October 1, 2019, the “</w:t>
      </w:r>
      <w:r>
        <w:rPr>
          <w:rFonts w:ascii="Arial" w:cs="Arial" w:eastAsia="Arial" w:hAnsi="Arial"/>
          <w:sz w:val="22"/>
          <w:szCs w:val="22"/>
          <w:b w:val="1"/>
          <w:bCs w:val="1"/>
          <w:color w:val="auto"/>
        </w:rPr>
        <w:t>Expected</w:t>
      </w:r>
      <w:r>
        <w:rPr>
          <w:rFonts w:ascii="Arial" w:cs="Arial" w:eastAsia="Arial" w:hAnsi="Arial"/>
          <w:sz w:val="22"/>
          <w:szCs w:val="22"/>
          <w:color w:val="auto"/>
        </w:rPr>
        <w:t xml:space="preserve"> </w:t>
      </w:r>
      <w:r>
        <w:rPr>
          <w:rFonts w:ascii="Arial" w:cs="Arial" w:eastAsia="Arial" w:hAnsi="Arial"/>
          <w:sz w:val="22"/>
          <w:szCs w:val="22"/>
          <w:b w:val="1"/>
          <w:bCs w:val="1"/>
          <w:color w:val="auto"/>
        </w:rPr>
        <w:t>Quantity</w:t>
      </w:r>
      <w:r>
        <w:rPr>
          <w:rFonts w:ascii="Arial" w:cs="Arial" w:eastAsia="Arial" w:hAnsi="Arial"/>
          <w:sz w:val="22"/>
          <w:szCs w:val="22"/>
          <w:color w:val="auto"/>
        </w:rPr>
        <w:t>”), except as may be otherwise agreed between the Parties. Buyer shall not be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more than [***] of Ammonia in any month, except as may be agreed under the following paragraph of this Section 9.”</w:t>
      </w:r>
    </w:p>
    <w:p>
      <w:pPr>
        <w:spacing w:after="0" w:line="192" w:lineRule="exact"/>
        <w:rPr>
          <w:sz w:val="20"/>
          <w:szCs w:val="20"/>
          <w:color w:val="auto"/>
        </w:rPr>
      </w:pPr>
    </w:p>
    <w:p>
      <w:pPr>
        <w:ind w:left="1260" w:right="220" w:hanging="415"/>
        <w:spacing w:after="0" w:line="271" w:lineRule="auto"/>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Section 19, Exclusivity and Other Rights</w:t>
      </w:r>
      <w:r>
        <w:rPr>
          <w:rFonts w:ascii="Arial" w:cs="Arial" w:eastAsia="Arial" w:hAnsi="Arial"/>
          <w:sz w:val="22"/>
          <w:szCs w:val="22"/>
          <w:color w:val="auto"/>
        </w:rPr>
        <w:t>. – Section 19 entitled “</w:t>
      </w:r>
      <w:r>
        <w:rPr>
          <w:rFonts w:ascii="Arial" w:cs="Arial" w:eastAsia="Arial" w:hAnsi="Arial"/>
          <w:sz w:val="22"/>
          <w:szCs w:val="22"/>
          <w:b w:val="1"/>
          <w:bCs w:val="1"/>
          <w:color w:val="auto"/>
        </w:rPr>
        <w:t>Exclusivity and Other Rights</w:t>
      </w:r>
      <w:r>
        <w:rPr>
          <w:rFonts w:ascii="Arial" w:cs="Arial" w:eastAsia="Arial" w:hAnsi="Arial"/>
          <w:sz w:val="22"/>
          <w:szCs w:val="22"/>
          <w:color w:val="auto"/>
        </w:rPr>
        <w:t>”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deleted in its entirety and replaced with the following:</w:t>
      </w:r>
    </w:p>
    <w:p>
      <w:pPr>
        <w:spacing w:after="0" w:line="160" w:lineRule="exact"/>
        <w:rPr>
          <w:rFonts w:ascii="Arial" w:cs="Arial" w:eastAsia="Arial" w:hAnsi="Arial"/>
          <w:sz w:val="22"/>
          <w:szCs w:val="22"/>
          <w:color w:val="auto"/>
        </w:rPr>
      </w:pPr>
    </w:p>
    <w:p>
      <w:pPr>
        <w:ind w:left="1280" w:right="40"/>
        <w:spacing w:after="0" w:line="247" w:lineRule="auto"/>
        <w:rPr>
          <w:rFonts w:ascii="Arial" w:cs="Arial" w:eastAsia="Arial" w:hAnsi="Arial"/>
          <w:sz w:val="22"/>
          <w:szCs w:val="22"/>
          <w:color w:val="auto"/>
        </w:rPr>
      </w:pPr>
      <w:r>
        <w:rPr>
          <w:rFonts w:ascii="Arial" w:cs="Arial" w:eastAsia="Arial" w:hAnsi="Arial"/>
          <w:sz w:val="21"/>
          <w:szCs w:val="21"/>
          <w:color w:val="auto"/>
        </w:rPr>
        <w:t>“Buyer shall have the exclusive right to purchase all Ammonia in excess of Seller’s or Seller’s Affiliate’s requirements for its Downstream Facilities; provided and except, that Seller may sell Ammonia (i) to the agricultural market, but only if delivered by truck; (ii) to Albemarle Corporation, (iii) to any other third parties up to a maximum of [***] per Contract Year in the aggregate for all such sales, and (iv) that constitutes the Unpurchased Quantity. Seller acknowledges and agrees that, in addition to all other remedies available (at law or otherwise) to Buyer, Buyer shall be entitled to equitable relief (including injunction and specific performance) as a remedy for any breach or threatened breach of any provision of this Section 19, and Buyer shall not be required to obtain, furnish or post any bond or similar instrument in connection with or as a condition to obtaining any remedy referred to in this Section 19, and Seller waives any right it may have to require that Buyer obtain, furnish or post any such bond or similar instrument.”</w:t>
      </w:r>
    </w:p>
    <w:p>
      <w:pPr>
        <w:spacing w:after="0" w:line="186" w:lineRule="exact"/>
        <w:rPr>
          <w:rFonts w:ascii="Arial" w:cs="Arial" w:eastAsia="Arial" w:hAnsi="Arial"/>
          <w:sz w:val="22"/>
          <w:szCs w:val="22"/>
          <w:color w:val="auto"/>
        </w:rPr>
      </w:pPr>
    </w:p>
    <w:p>
      <w:pPr>
        <w:ind w:left="1260" w:right="560" w:hanging="415"/>
        <w:spacing w:after="0" w:line="271" w:lineRule="auto"/>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Appendix III</w:t>
      </w:r>
      <w:r>
        <w:rPr>
          <w:rFonts w:ascii="Arial" w:cs="Arial" w:eastAsia="Arial" w:hAnsi="Arial"/>
          <w:sz w:val="22"/>
          <w:szCs w:val="22"/>
          <w:color w:val="auto"/>
        </w:rPr>
        <w:t>. The definition of “</w:t>
      </w:r>
      <w:r>
        <w:rPr>
          <w:rFonts w:ascii="Arial" w:cs="Arial" w:eastAsia="Arial" w:hAnsi="Arial"/>
          <w:sz w:val="22"/>
          <w:szCs w:val="22"/>
          <w:b w:val="1"/>
          <w:bCs w:val="1"/>
          <w:color w:val="auto"/>
        </w:rPr>
        <w:t>Discount</w:t>
      </w:r>
      <w:r>
        <w:rPr>
          <w:rFonts w:ascii="Arial" w:cs="Arial" w:eastAsia="Arial" w:hAnsi="Arial"/>
          <w:sz w:val="22"/>
          <w:szCs w:val="22"/>
          <w:color w:val="auto"/>
        </w:rPr>
        <w:t>” set forth in Appendix III shall be deleted in its entirety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w:t>
      </w:r>
    </w:p>
    <w:p>
      <w:pPr>
        <w:spacing w:after="0" w:line="158" w:lineRule="exact"/>
        <w:rPr>
          <w:rFonts w:ascii="Arial" w:cs="Arial" w:eastAsia="Arial" w:hAnsi="Arial"/>
          <w:sz w:val="22"/>
          <w:szCs w:val="22"/>
          <w:color w:val="auto"/>
        </w:rPr>
      </w:pPr>
    </w:p>
    <w:p>
      <w:pPr>
        <w:ind w:left="1280"/>
        <w:spacing w:after="0"/>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w:t>
      </w:r>
      <w:r>
        <w:rPr>
          <w:rFonts w:ascii="Arial" w:cs="Arial" w:eastAsia="Arial" w:hAnsi="Arial"/>
          <w:sz w:val="21"/>
          <w:szCs w:val="21"/>
          <w:color w:val="auto"/>
        </w:rPr>
        <w:t xml:space="preserve"> ” means (a) [***] through June 30, 2019, (b) [***] from July 1, 2019 through June 30, 2020, and</w:t>
      </w:r>
    </w:p>
    <w:p>
      <w:pPr>
        <w:spacing w:after="0" w:line="31" w:lineRule="exact"/>
        <w:rPr>
          <w:rFonts w:ascii="Arial" w:cs="Arial" w:eastAsia="Arial" w:hAnsi="Arial"/>
          <w:sz w:val="22"/>
          <w:szCs w:val="22"/>
          <w:color w:val="auto"/>
        </w:rPr>
      </w:pPr>
    </w:p>
    <w:p>
      <w:pPr>
        <w:ind w:left="1580" w:hanging="304"/>
        <w:spacing w:after="0"/>
        <w:tabs>
          <w:tab w:leader="none" w:pos="15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 from July 1, 2020 through the remaining Contract Years.</w:t>
      </w:r>
    </w:p>
    <w:p>
      <w:pPr>
        <w:spacing w:after="0" w:line="203" w:lineRule="exact"/>
        <w:rPr>
          <w:rFonts w:ascii="Arial" w:cs="Arial" w:eastAsia="Arial" w:hAnsi="Arial"/>
          <w:sz w:val="22"/>
          <w:szCs w:val="22"/>
          <w:color w:val="auto"/>
        </w:rPr>
      </w:pPr>
    </w:p>
    <w:p>
      <w:pPr>
        <w:jc w:val="both"/>
        <w:ind w:left="1260" w:right="200" w:hanging="415"/>
        <w:spacing w:after="0" w:line="250" w:lineRule="auto"/>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Ratification of Agreement</w:t>
      </w:r>
      <w:r>
        <w:rPr>
          <w:rFonts w:ascii="Arial" w:cs="Arial" w:eastAsia="Arial" w:hAnsi="Arial"/>
          <w:sz w:val="22"/>
          <w:szCs w:val="22"/>
          <w:color w:val="auto"/>
        </w:rPr>
        <w:t>. Except as expressly amended herein, the terms, covenants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Agreement shall remain in full force and effect without modification or amendment, and the parties hereto ratify and reaffirm the same in its entirety.</w:t>
      </w:r>
    </w:p>
    <w:p>
      <w:pPr>
        <w:spacing w:after="0" w:line="181" w:lineRule="exact"/>
        <w:rPr>
          <w:rFonts w:ascii="Arial" w:cs="Arial" w:eastAsia="Arial" w:hAnsi="Arial"/>
          <w:sz w:val="22"/>
          <w:szCs w:val="22"/>
          <w:color w:val="auto"/>
        </w:rPr>
      </w:pPr>
    </w:p>
    <w:p>
      <w:pPr>
        <w:ind w:left="1260" w:right="140" w:hanging="415"/>
        <w:spacing w:after="0" w:line="235" w:lineRule="auto"/>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 This Second Amendment shall be governed by and construed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governing law set forth in the Agreement, without regard to the conflict of laws or principles. In the event that the terms of the Agreement conflict or are inconsistent with those of this Second Amendment, the terms of the Second Amendment shall govern. The provisions of this Second Amendment shall be binding upon, and shall inure to the benefit of, the parties hereto and each of their respective representatives, successors, and assigns. This Second Amendment may be executed in counterparts, each of which shall be deemed an original and both of which together shall constitute one and the same agreement. This signed Second Amendment or counterparts may be transmitted electronically or stored electronically as a photocopy (such as in .pdf format). The parties agree that electronically transmitted or stored copies will be enforceable as original documents.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31412770.2</w:t>
      </w:r>
    </w:p>
    <w:p>
      <w:pPr>
        <w:spacing w:after="0" w:line="232" w:lineRule="exact"/>
        <w:rPr>
          <w:sz w:val="20"/>
          <w:szCs w:val="20"/>
          <w:color w:val="auto"/>
        </w:rPr>
      </w:pPr>
    </w:p>
    <w:p>
      <w:pPr>
        <w:ind w:right="620"/>
        <w:spacing w:after="0" w:line="269" w:lineRule="auto"/>
        <w:rPr>
          <w:sz w:val="20"/>
          <w:szCs w:val="20"/>
          <w:color w:val="auto"/>
        </w:rPr>
      </w:pPr>
      <w:r>
        <w:rPr>
          <w:rFonts w:ascii="Arial" w:cs="Arial" w:eastAsia="Arial" w:hAnsi="Arial"/>
          <w:sz w:val="22"/>
          <w:szCs w:val="22"/>
          <w:color w:val="auto"/>
        </w:rPr>
        <w:t>IN WITNESS HEREOF, the Parties have caused this Second amendment to be duly executed by their authorized representatives as of the Effective Date.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KOCH FERTILIZER, LLC</w:t>
            </w:r>
          </w:p>
        </w:tc>
        <w:tc>
          <w:tcPr>
            <w:tcW w:w="5800" w:type="dxa"/>
            <w:vAlign w:val="bottom"/>
            <w:gridSpan w:val="2"/>
          </w:tcPr>
          <w:p>
            <w:pPr>
              <w:ind w:left="220"/>
              <w:spacing w:after="0"/>
              <w:rPr>
                <w:sz w:val="20"/>
                <w:szCs w:val="20"/>
                <w:color w:val="auto"/>
              </w:rPr>
            </w:pPr>
            <w:r>
              <w:rPr>
                <w:rFonts w:ascii="Arial" w:cs="Arial" w:eastAsia="Arial" w:hAnsi="Arial"/>
                <w:sz w:val="22"/>
                <w:szCs w:val="22"/>
                <w:b w:val="1"/>
                <w:bCs w:val="1"/>
                <w:color w:val="auto"/>
              </w:rPr>
              <w:t>EL DORADO CHEMICAL COMPANY</w:t>
            </w:r>
          </w:p>
        </w:tc>
      </w:tr>
      <w:tr>
        <w:trPr>
          <w:trHeight w:val="339"/>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Dion Mick</w:t>
            </w:r>
          </w:p>
        </w:tc>
        <w:tc>
          <w:tcPr>
            <w:tcW w:w="1120" w:type="dxa"/>
            <w:vAlign w:val="bottom"/>
          </w:tcPr>
          <w:p>
            <w:pPr>
              <w:ind w:left="220"/>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Mark T Behrman</w:t>
            </w:r>
          </w:p>
        </w:tc>
      </w:tr>
      <w:tr>
        <w:trPr>
          <w:trHeight w:val="237"/>
        </w:trPr>
        <w:tc>
          <w:tcPr>
            <w:tcW w:w="92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47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Dion Mick</w:t>
            </w:r>
          </w:p>
        </w:tc>
        <w:tc>
          <w:tcPr>
            <w:tcW w:w="1120" w:type="dxa"/>
            <w:vAlign w:val="bottom"/>
          </w:tcPr>
          <w:p>
            <w:pPr>
              <w:ind w:left="220"/>
              <w:spacing w:after="0" w:line="237" w:lineRule="exact"/>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Mark T. Behrman</w:t>
            </w:r>
          </w:p>
        </w:tc>
      </w:tr>
      <w:tr>
        <w:trPr>
          <w:trHeight w:val="202"/>
        </w:trPr>
        <w:tc>
          <w:tcPr>
            <w:tcW w:w="9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22"/>
                <w:szCs w:val="22"/>
                <w:color w:val="auto"/>
              </w:rPr>
              <w:t>VP North American Ammonia &amp; Industrial</w:t>
            </w:r>
          </w:p>
        </w:tc>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78"/>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Products</w:t>
            </w:r>
          </w:p>
        </w:tc>
        <w:tc>
          <w:tcPr>
            <w:tcW w:w="1120" w:type="dxa"/>
            <w:vAlign w:val="bottom"/>
          </w:tcPr>
          <w:p>
            <w:pPr>
              <w:ind w:left="220"/>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Executive Officer</w:t>
            </w:r>
          </w:p>
        </w:tc>
      </w:tr>
      <w:tr>
        <w:trPr>
          <w:trHeight w:val="237"/>
        </w:trPr>
        <w:tc>
          <w:tcPr>
            <w:tcW w:w="920" w:type="dxa"/>
            <w:vAlign w:val="bottom"/>
          </w:tcPr>
          <w:p>
            <w:pPr>
              <w:spacing w:after="0" w:line="237" w:lineRule="exact"/>
              <w:rPr>
                <w:sz w:val="20"/>
                <w:szCs w:val="20"/>
                <w:color w:val="auto"/>
              </w:rPr>
            </w:pPr>
            <w:r>
              <w:rPr>
                <w:rFonts w:ascii="Arial" w:cs="Arial" w:eastAsia="Arial" w:hAnsi="Arial"/>
                <w:sz w:val="22"/>
                <w:szCs w:val="22"/>
                <w:color w:val="auto"/>
              </w:rPr>
              <w:t>Date:</w:t>
            </w:r>
          </w:p>
        </w:tc>
        <w:tc>
          <w:tcPr>
            <w:tcW w:w="47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October 7, 2019</w:t>
            </w:r>
          </w:p>
        </w:tc>
        <w:tc>
          <w:tcPr>
            <w:tcW w:w="1120" w:type="dxa"/>
            <w:vAlign w:val="bottom"/>
          </w:tcPr>
          <w:p>
            <w:pPr>
              <w:ind w:left="220"/>
              <w:spacing w:after="0" w:line="237" w:lineRule="exact"/>
              <w:rPr>
                <w:sz w:val="20"/>
                <w:szCs w:val="20"/>
                <w:color w:val="auto"/>
              </w:rPr>
            </w:pPr>
            <w:r>
              <w:rPr>
                <w:rFonts w:ascii="Arial" w:cs="Arial" w:eastAsia="Arial" w:hAnsi="Arial"/>
                <w:sz w:val="22"/>
                <w:szCs w:val="22"/>
                <w:color w:val="auto"/>
              </w:rPr>
              <w:t>Date:</w:t>
            </w:r>
          </w:p>
        </w:tc>
        <w:tc>
          <w:tcPr>
            <w:tcW w:w="46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September 30, 2019</w:t>
            </w:r>
          </w:p>
        </w:tc>
      </w:tr>
      <w:tr>
        <w:trPr>
          <w:trHeight w:val="673"/>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3</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Director</w:t>
      </w:r>
    </w:p>
    <w:p>
      <w:pPr>
        <w:sectPr>
          <w:pgSz w:w="11900" w:h="16838" w:orient="portrait"/>
          <w:cols w:equalWidth="0" w:num="1">
            <w:col w:w="11420"/>
          </w:cols>
          <w:pgMar w:left="240" w:top="333"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333"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September 30, 2019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2019</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3"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September 30, 2019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2019</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upperLetter"/>
      <w:start w:val="1"/>
    </w:lvl>
  </w:abstractNum>
  <w:abstractNum w:abstractNumId="7">
    <w:nsid w:val="257130A3"/>
    <w:multiLevelType w:val="hybridMultilevel"/>
    <w:lvl w:ilvl="0">
      <w:lvlJc w:val="left"/>
      <w:lvlText w:val="(%1)"/>
      <w:numFmt w:val="upperLetter"/>
      <w:start w:val="3"/>
    </w:lvl>
  </w:abstractNum>
  <w:abstractNum w:abstractNumId="8">
    <w:nsid w:val="62BBD95A"/>
    <w:multiLevelType w:val="hybridMultilevel"/>
    <w:lvl w:ilvl="0">
      <w:lvlJc w:val="left"/>
      <w:lvlText w:val="(%1)"/>
      <w:numFmt w:val="upperLetter"/>
      <w:start w:val="6"/>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4"/>
    </w:lvl>
    <w:lvl w:ilvl="1">
      <w:lvlJc w:val="left"/>
      <w:lvlText w:val="(%2)"/>
      <w:numFmt w:val="lowerLetter"/>
      <w:start w:val="3"/>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65" Type="http://schemas.openxmlformats.org/officeDocument/2006/relationships/hyperlink" Target="http://www.sec.gov/Archives/edgar/data/60714/000119312513084410/d447083dex3i1.htm" TargetMode="External"/><Relationship Id="rId66" Type="http://schemas.openxmlformats.org/officeDocument/2006/relationships/hyperlink" Target="http://www.sec.gov/Archives/edgar/data/60714/000119312514323405/d781455dex3ii.htm" TargetMode="External"/><Relationship Id="rId67" Type="http://schemas.openxmlformats.org/officeDocument/2006/relationships/hyperlink" Target="http://www.sec.gov/Archives/edgar/data/60714/000119312515161375/d918969dex3ii.htm" TargetMode="External"/><Relationship Id="rId68" Type="http://schemas.openxmlformats.org/officeDocument/2006/relationships/hyperlink" Target="http://www.sec.gov/Archives/edgar/data/60714/000119312515397856/d22963dex3ii.htm" TargetMode="External"/><Relationship Id="rId69" Type="http://schemas.openxmlformats.org/officeDocument/2006/relationships/hyperlink" Target="http://www.sec.gov/Archives/edgar/data/60714/000119312515415325/d102136dex3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2019-12-28T04:06:43Z</dcterms:created>
  <dcterms:modified xsi:type="dcterms:W3CDTF">2019-12-28T04:06:43Z</dcterms:modified>
</cp:coreProperties>
</file>