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9" w:lineRule="exact"/>
        <w:rPr>
          <w:sz w:val="24"/>
          <w:szCs w:val="24"/>
          <w:color w:val="auto"/>
        </w:rPr>
      </w:pPr>
    </w:p>
    <w:p>
      <w:pPr>
        <w:ind w:left="520" w:right="20" w:hanging="512"/>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2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36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72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304"/>
        </w:trPr>
        <w:tc>
          <w:tcPr>
            <w:tcW w:w="3300" w:type="dxa"/>
            <w:vAlign w:val="bottom"/>
            <w:gridSpan w:val="3"/>
          </w:tcPr>
          <w:p>
            <w:pPr>
              <w:ind w:left="820"/>
              <w:spacing w:after="0"/>
              <w:rPr>
                <w:sz w:val="20"/>
                <w:szCs w:val="20"/>
                <w:color w:val="auto"/>
              </w:rPr>
            </w:pPr>
            <w:r>
              <w:rPr>
                <w:rFonts w:ascii="Arial" w:cs="Arial" w:eastAsia="Arial" w:hAnsi="Arial"/>
                <w:sz w:val="18"/>
                <w:szCs w:val="18"/>
                <w:b w:val="1"/>
                <w:bCs w:val="1"/>
                <w:color w:val="auto"/>
                <w:w w:val="90"/>
              </w:rPr>
              <w:t>Commission file number 1-7677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60325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-205105</wp:posOffset>
            </wp:positionV>
            <wp:extent cx="457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LSB Industries,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540" w:type="dxa"/>
        <w:tblCellMar>
          <w:top w:w="0" w:type="dxa"/>
          <w:left w:w="0" w:type="dxa"/>
          <w:bottom w:w="0" w:type="dxa"/>
          <w:right w:w="0" w:type="dxa"/>
        </w:tblCellMar>
      </w:tblPr>
      <w:tr>
        <w:trPr>
          <w:trHeight w:val="212"/>
        </w:trPr>
        <w:tc>
          <w:tcPr>
            <w:tcW w:w="7160" w:type="dxa"/>
            <w:vAlign w:val="bottom"/>
          </w:tcPr>
          <w:p>
            <w:pPr>
              <w:jc w:val="center"/>
              <w:ind w:right="2540"/>
              <w:spacing w:after="0"/>
              <w:rPr>
                <w:sz w:val="20"/>
                <w:szCs w:val="20"/>
                <w:color w:val="auto"/>
              </w:rPr>
            </w:pPr>
            <w:r>
              <w:rPr>
                <w:rFonts w:ascii="Arial" w:cs="Arial" w:eastAsia="Arial" w:hAnsi="Arial"/>
                <w:sz w:val="18"/>
                <w:szCs w:val="18"/>
                <w:b w:val="1"/>
                <w:bCs w:val="1"/>
                <w:color w:val="auto"/>
                <w:w w:val="93"/>
              </w:rPr>
              <w:t>Delaware</w:t>
            </w:r>
          </w:p>
        </w:tc>
        <w:tc>
          <w:tcPr>
            <w:tcW w:w="1480" w:type="dxa"/>
            <w:vAlign w:val="bottom"/>
          </w:tcPr>
          <w:p>
            <w:pPr>
              <w:jc w:val="right"/>
              <w:ind w:right="41"/>
              <w:spacing w:after="0"/>
              <w:rPr>
                <w:sz w:val="20"/>
                <w:szCs w:val="20"/>
                <w:color w:val="auto"/>
              </w:rPr>
            </w:pPr>
            <w:r>
              <w:rPr>
                <w:rFonts w:ascii="Arial" w:cs="Arial" w:eastAsia="Arial" w:hAnsi="Arial"/>
                <w:sz w:val="18"/>
                <w:szCs w:val="18"/>
                <w:b w:val="1"/>
                <w:bCs w:val="1"/>
                <w:color w:val="auto"/>
              </w:rPr>
              <w:t>73-1015226</w:t>
            </w:r>
          </w:p>
        </w:tc>
      </w:tr>
      <w:tr>
        <w:trPr>
          <w:trHeight w:val="149"/>
        </w:trPr>
        <w:tc>
          <w:tcPr>
            <w:tcW w:w="7160" w:type="dxa"/>
            <w:vAlign w:val="bottom"/>
          </w:tcPr>
          <w:p>
            <w:pPr>
              <w:jc w:val="center"/>
              <w:ind w:right="2540"/>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148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160" w:type="dxa"/>
            <w:vAlign w:val="bottom"/>
          </w:tcPr>
          <w:p>
            <w:pPr>
              <w:jc w:val="center"/>
              <w:ind w:right="2540"/>
              <w:spacing w:after="0"/>
              <w:rPr>
                <w:sz w:val="20"/>
                <w:szCs w:val="20"/>
                <w:color w:val="auto"/>
              </w:rPr>
            </w:pPr>
            <w:r>
              <w:rPr>
                <w:rFonts w:ascii="Arial" w:cs="Arial" w:eastAsia="Arial" w:hAnsi="Arial"/>
                <w:sz w:val="14"/>
                <w:szCs w:val="14"/>
                <w:b w:val="1"/>
                <w:bCs w:val="1"/>
                <w:color w:val="auto"/>
                <w:w w:val="93"/>
              </w:rPr>
              <w:t>incorporation or organization)</w:t>
            </w:r>
          </w:p>
        </w:tc>
        <w:tc>
          <w:tcPr>
            <w:tcW w:w="1480" w:type="dxa"/>
            <w:vAlign w:val="bottom"/>
          </w:tcPr>
          <w:p>
            <w:pPr>
              <w:jc w:val="center"/>
              <w:ind w:left="281"/>
              <w:spacing w:after="0"/>
              <w:rPr>
                <w:sz w:val="20"/>
                <w:szCs w:val="20"/>
                <w:color w:val="auto"/>
              </w:rPr>
            </w:pPr>
            <w:r>
              <w:rPr>
                <w:rFonts w:ascii="Arial" w:cs="Arial" w:eastAsia="Arial" w:hAnsi="Arial"/>
                <w:sz w:val="14"/>
                <w:szCs w:val="14"/>
                <w:b w:val="1"/>
                <w:bCs w:val="1"/>
                <w:color w:val="auto"/>
                <w:w w:val="94"/>
              </w:rPr>
              <w:t>Identification No.)</w:t>
            </w:r>
          </w:p>
        </w:tc>
      </w:tr>
      <w:tr>
        <w:trPr>
          <w:trHeight w:val="259"/>
        </w:trPr>
        <w:tc>
          <w:tcPr>
            <w:tcW w:w="7160" w:type="dxa"/>
            <w:vAlign w:val="bottom"/>
          </w:tcPr>
          <w:p>
            <w:pPr>
              <w:jc w:val="center"/>
              <w:ind w:right="2540"/>
              <w:spacing w:after="0"/>
              <w:rPr>
                <w:sz w:val="20"/>
                <w:szCs w:val="20"/>
                <w:color w:val="auto"/>
              </w:rPr>
            </w:pPr>
            <w:r>
              <w:rPr>
                <w:rFonts w:ascii="Arial" w:cs="Arial" w:eastAsia="Arial" w:hAnsi="Arial"/>
                <w:sz w:val="18"/>
                <w:szCs w:val="18"/>
                <w:b w:val="1"/>
                <w:bCs w:val="1"/>
                <w:color w:val="auto"/>
                <w:w w:val="92"/>
              </w:rPr>
              <w:t>3503 NW 63</w:t>
            </w:r>
            <w:r>
              <w:rPr>
                <w:rFonts w:ascii="Arial" w:cs="Arial" w:eastAsia="Arial" w:hAnsi="Arial"/>
                <w:sz w:val="15"/>
                <w:szCs w:val="15"/>
                <w:b w:val="1"/>
                <w:bCs w:val="1"/>
                <w:color w:val="auto"/>
                <w:w w:val="92"/>
              </w:rPr>
              <w:t>rd</w:t>
            </w:r>
            <w:r>
              <w:rPr>
                <w:rFonts w:ascii="Arial" w:cs="Arial" w:eastAsia="Arial" w:hAnsi="Arial"/>
                <w:sz w:val="18"/>
                <w:szCs w:val="18"/>
                <w:b w:val="1"/>
                <w:bCs w:val="1"/>
                <w:color w:val="auto"/>
                <w:w w:val="92"/>
              </w:rPr>
              <w:t xml:space="preserve"> Street, Suite 500, Oklahoma City, Oklahoma</w:t>
            </w:r>
          </w:p>
        </w:tc>
        <w:tc>
          <w:tcPr>
            <w:tcW w:w="1480" w:type="dxa"/>
            <w:vAlign w:val="bottom"/>
          </w:tcPr>
          <w:p>
            <w:pPr>
              <w:jc w:val="right"/>
              <w:ind w:right="261"/>
              <w:spacing w:after="0"/>
              <w:rPr>
                <w:sz w:val="20"/>
                <w:szCs w:val="20"/>
                <w:color w:val="auto"/>
              </w:rPr>
            </w:pPr>
            <w:r>
              <w:rPr>
                <w:rFonts w:ascii="Arial" w:cs="Arial" w:eastAsia="Arial" w:hAnsi="Arial"/>
                <w:sz w:val="18"/>
                <w:szCs w:val="18"/>
                <w:b w:val="1"/>
                <w:bCs w:val="1"/>
                <w:color w:val="auto"/>
              </w:rPr>
              <w:t>73116</w:t>
            </w:r>
          </w:p>
        </w:tc>
      </w:tr>
      <w:tr>
        <w:trPr>
          <w:trHeight w:val="186"/>
        </w:trPr>
        <w:tc>
          <w:tcPr>
            <w:tcW w:w="7160" w:type="dxa"/>
            <w:vAlign w:val="bottom"/>
          </w:tcPr>
          <w:p>
            <w:pPr>
              <w:jc w:val="center"/>
              <w:ind w:right="25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80" w:type="dxa"/>
            <w:vAlign w:val="bottom"/>
          </w:tcPr>
          <w:p>
            <w:pPr>
              <w:jc w:val="center"/>
              <w:ind w:left="301"/>
              <w:spacing w:after="0"/>
              <w:rPr>
                <w:sz w:val="20"/>
                <w:szCs w:val="20"/>
                <w:color w:val="auto"/>
              </w:rPr>
            </w:pPr>
            <w:r>
              <w:rPr>
                <w:rFonts w:ascii="Arial" w:cs="Arial" w:eastAsia="Arial" w:hAnsi="Arial"/>
                <w:sz w:val="14"/>
                <w:szCs w:val="14"/>
                <w:b w:val="1"/>
                <w:bCs w:val="1"/>
                <w:color w:val="auto"/>
                <w:w w:val="95"/>
              </w:rPr>
              <w:t>(Zip Code)</w:t>
            </w:r>
          </w:p>
        </w:tc>
      </w:tr>
      <w:tr>
        <w:trPr>
          <w:trHeight w:val="259"/>
        </w:trPr>
        <w:tc>
          <w:tcPr>
            <w:tcW w:w="7160" w:type="dxa"/>
            <w:vAlign w:val="bottom"/>
          </w:tcPr>
          <w:p>
            <w:pPr>
              <w:jc w:val="right"/>
              <w:ind w:right="1320"/>
              <w:spacing w:after="0"/>
              <w:rPr>
                <w:sz w:val="20"/>
                <w:szCs w:val="20"/>
                <w:color w:val="auto"/>
              </w:rPr>
            </w:pPr>
            <w:r>
              <w:rPr>
                <w:rFonts w:ascii="Arial" w:cs="Arial" w:eastAsia="Arial" w:hAnsi="Arial"/>
                <w:sz w:val="18"/>
                <w:szCs w:val="18"/>
                <w:b w:val="1"/>
                <w:bCs w:val="1"/>
                <w:color w:val="auto"/>
              </w:rPr>
              <w:t>(405) 235-4546</w:t>
            </w:r>
          </w:p>
        </w:tc>
        <w:tc>
          <w:tcPr>
            <w:tcW w:w="1480" w:type="dxa"/>
            <w:vAlign w:val="bottom"/>
          </w:tcPr>
          <w:p>
            <w:pPr>
              <w:spacing w:after="0"/>
              <w:rPr>
                <w:sz w:val="22"/>
                <w:szCs w:val="22"/>
                <w:color w:val="auto"/>
              </w:rPr>
            </w:pPr>
          </w:p>
        </w:tc>
      </w:tr>
      <w:tr>
        <w:trPr>
          <w:trHeight w:val="186"/>
        </w:trPr>
        <w:tc>
          <w:tcPr>
            <w:tcW w:w="7160" w:type="dxa"/>
            <w:vAlign w:val="bottom"/>
          </w:tcPr>
          <w:p>
            <w:pPr>
              <w:jc w:val="center"/>
              <w:ind w:left="31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80" w:type="dxa"/>
            <w:vAlign w:val="bottom"/>
          </w:tcPr>
          <w:p>
            <w:pPr>
              <w:spacing w:after="0"/>
              <w:rPr>
                <w:sz w:val="16"/>
                <w:szCs w:val="16"/>
                <w:color w:val="auto"/>
              </w:rPr>
            </w:pP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56515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9"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67"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260" w:hanging="252"/>
        <w:spacing w:after="0" w:line="207" w:lineRule="exact"/>
        <w:tabs>
          <w:tab w:leader="none" w:pos="2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6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 (Check one):</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88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08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88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0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180" w:type="dxa"/>
            <w:vAlign w:val="bottom"/>
          </w:tcPr>
          <w:p>
            <w:pPr>
              <w:ind w:left="288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260" w:hanging="252"/>
        <w:spacing w:after="0" w:line="207" w:lineRule="exact"/>
        <w:tabs>
          <w:tab w:leader="none" w:pos="2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8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was 28,618,441 shares as of October 19,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902335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color w:val="auto"/>
        </w:rPr>
        <w:t>FORM 10-Q OF LSB INDUSTRIES,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80" w:type="dxa"/>
            <w:vAlign w:val="bottom"/>
            <w:gridSpan w:val="4"/>
          </w:tcPr>
          <w:p>
            <w:pPr>
              <w:jc w:val="center"/>
              <w:ind w:right="2420"/>
              <w:spacing w:after="0"/>
              <w:rPr>
                <w:sz w:val="20"/>
                <w:szCs w:val="20"/>
                <w:color w:val="auto"/>
              </w:rPr>
            </w:pPr>
            <w:r>
              <w:rPr>
                <w:rFonts w:ascii="Arial" w:cs="Arial" w:eastAsia="Arial" w:hAnsi="Arial"/>
                <w:sz w:val="18"/>
                <w:szCs w:val="18"/>
                <w:color w:val="auto"/>
                <w:w w:val="93"/>
              </w:rPr>
              <w:t>PART I – Financial Information</w:t>
            </w: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Page</w:t>
            </w:r>
          </w:p>
        </w:tc>
        <w:tc>
          <w:tcPr>
            <w:tcW w:w="20" w:type="dxa"/>
            <w:vAlign w:val="bottom"/>
          </w:tcPr>
          <w:p>
            <w:pPr>
              <w:spacing w:after="0"/>
              <w:rPr>
                <w:sz w:val="20"/>
                <w:szCs w:val="20"/>
                <w:color w:val="auto"/>
              </w:rPr>
            </w:pPr>
          </w:p>
        </w:tc>
      </w:tr>
      <w:tr>
        <w:trPr>
          <w:trHeight w:val="385"/>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980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9800" w:type="dxa"/>
            <w:vAlign w:val="bottom"/>
            <w:gridSpan w:val="1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36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9800" w:type="dxa"/>
            <w:vAlign w:val="bottom"/>
            <w:gridSpan w:val="1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453"/>
        </w:trPr>
        <w:tc>
          <w:tcPr>
            <w:tcW w:w="9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80" w:type="dxa"/>
            <w:vAlign w:val="bottom"/>
            <w:gridSpan w:val="4"/>
          </w:tcPr>
          <w:p>
            <w:pPr>
              <w:jc w:val="center"/>
              <w:ind w:right="2420"/>
              <w:spacing w:after="0"/>
              <w:rPr>
                <w:sz w:val="20"/>
                <w:szCs w:val="20"/>
                <w:color w:val="auto"/>
              </w:rPr>
            </w:pPr>
            <w:r>
              <w:rPr>
                <w:rFonts w:ascii="Arial" w:cs="Arial" w:eastAsia="Arial" w:hAnsi="Arial"/>
                <w:sz w:val="18"/>
                <w:szCs w:val="18"/>
                <w:color w:val="auto"/>
                <w:w w:val="94"/>
              </w:rPr>
              <w:t>PART II – Other Information</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Legal Proceedings</w:t>
              </w:r>
            </w:hyperlink>
          </w:p>
        </w:tc>
        <w:tc>
          <w:tcPr>
            <w:tcW w:w="8460" w:type="dxa"/>
            <w:vAlign w:val="bottom"/>
            <w:gridSpan w:val="8"/>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1A.</w:t>
            </w:r>
          </w:p>
        </w:tc>
        <w:tc>
          <w:tcPr>
            <w:tcW w:w="9800" w:type="dxa"/>
            <w:vAlign w:val="bottom"/>
            <w:gridSpan w:val="1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9800" w:type="dxa"/>
            <w:vAlign w:val="bottom"/>
            <w:gridSpan w:val="1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Defaults Upon Senior Securities</w:t>
              </w:r>
            </w:hyperlink>
          </w:p>
        </w:tc>
        <w:tc>
          <w:tcPr>
            <w:tcW w:w="5460" w:type="dxa"/>
            <w:vAlign w:val="bottom"/>
            <w:gridSpan w:val="3"/>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19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Mining Safety Disclosures</w:t>
              </w:r>
            </w:hyperlink>
          </w:p>
        </w:tc>
        <w:tc>
          <w:tcPr>
            <w:tcW w:w="400" w:type="dxa"/>
            <w:vAlign w:val="bottom"/>
            <w:tcBorders>
              <w:top w:val="single" w:sz="8" w:color="0000EE"/>
            </w:tcBorders>
          </w:tcPr>
          <w:p>
            <w:pPr>
              <w:spacing w:after="0"/>
              <w:rPr>
                <w:sz w:val="24"/>
                <w:szCs w:val="24"/>
                <w:color w:val="auto"/>
              </w:rPr>
            </w:pPr>
          </w:p>
        </w:tc>
        <w:tc>
          <w:tcPr>
            <w:tcW w:w="7480" w:type="dxa"/>
            <w:vAlign w:val="bottom"/>
            <w:gridSpan w:val="4"/>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Other Information</w:t>
              </w:r>
            </w:hyperlink>
          </w:p>
        </w:tc>
        <w:tc>
          <w:tcPr>
            <w:tcW w:w="8480" w:type="dxa"/>
            <w:vAlign w:val="bottom"/>
            <w:gridSpan w:val="9"/>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Exhibits</w:t>
              </w:r>
            </w:hyperlink>
          </w:p>
        </w:tc>
        <w:tc>
          <w:tcPr>
            <w:tcW w:w="9200" w:type="dxa"/>
            <w:vAlign w:val="bottom"/>
            <w:gridSpan w:val="11"/>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885"/>
        </w:trPr>
        <w:tc>
          <w:tcPr>
            <w:tcW w:w="940" w:type="dxa"/>
            <w:vAlign w:val="bottom"/>
          </w:tcPr>
          <w:p>
            <w:pPr>
              <w:spacing w:after="0"/>
              <w:rPr>
                <w:sz w:val="24"/>
                <w:szCs w:val="24"/>
                <w:color w:val="auto"/>
              </w:rPr>
            </w:pPr>
          </w:p>
        </w:tc>
        <w:tc>
          <w:tcPr>
            <w:tcW w:w="6440" w:type="dxa"/>
            <w:vAlign w:val="bottom"/>
            <w:gridSpan w:val="11"/>
          </w:tcPr>
          <w:p>
            <w:pPr>
              <w:ind w:left="4720"/>
              <w:spacing w:after="0"/>
              <w:rPr>
                <w:sz w:val="20"/>
                <w:szCs w:val="20"/>
                <w:color w:val="auto"/>
              </w:rPr>
            </w:pPr>
            <w:r>
              <w:rPr>
                <w:rFonts w:ascii="Arial" w:cs="Arial" w:eastAsia="Arial" w:hAnsi="Arial"/>
                <w:sz w:val="18"/>
                <w:szCs w:val="18"/>
                <w:color w:val="auto"/>
              </w:rPr>
              <w:t>2</w:t>
            </w:r>
          </w:p>
        </w:tc>
        <w:tc>
          <w:tcPr>
            <w:tcW w:w="3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(Information at September 30, 2018 is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211"/>
              <w:spacing w:after="0"/>
              <w:rPr>
                <w:sz w:val="20"/>
                <w:szCs w:val="20"/>
                <w:color w:val="auto"/>
              </w:rPr>
            </w:pPr>
            <w:r>
              <w:rPr>
                <w:rFonts w:ascii="Arial" w:cs="Arial" w:eastAsia="Arial" w:hAnsi="Arial"/>
                <w:sz w:val="18"/>
                <w:szCs w:val="18"/>
                <w:color w:val="auto"/>
                <w:w w:val="96"/>
              </w:rPr>
              <w:t>September 30,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color w:val="auto"/>
              </w:rPr>
              <w:t>December 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40" w:type="dxa"/>
            <w:vAlign w:val="bottom"/>
            <w:gridSpan w:val="5"/>
          </w:tcPr>
          <w:p>
            <w:pPr>
              <w:ind w:left="1060"/>
              <w:spacing w:after="0"/>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Current assets:</w:t>
            </w:r>
          </w:p>
        </w:tc>
        <w:tc>
          <w:tcPr>
            <w:tcW w:w="3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39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42,746</w:t>
            </w:r>
          </w:p>
        </w:tc>
        <w:tc>
          <w:tcPr>
            <w:tcW w:w="4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33,619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3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58,298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59,570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3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480"/>
              <w:spacing w:after="0"/>
              <w:rPr>
                <w:sz w:val="20"/>
                <w:szCs w:val="20"/>
                <w:color w:val="auto"/>
              </w:rPr>
            </w:pPr>
            <w:r>
              <w:rPr>
                <w:rFonts w:ascii="Arial" w:cs="Arial" w:eastAsia="Arial" w:hAnsi="Arial"/>
                <w:sz w:val="18"/>
                <w:szCs w:val="18"/>
                <w:color w:val="auto"/>
              </w:rPr>
              <w:t>Finished goods</w:t>
            </w:r>
          </w:p>
        </w:tc>
        <w:tc>
          <w:tcPr>
            <w:tcW w:w="3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16,447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20,415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Raw materials</w:t>
            </w:r>
          </w:p>
        </w:tc>
        <w:tc>
          <w:tcPr>
            <w:tcW w:w="37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1,488</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720"/>
              <w:spacing w:after="0"/>
              <w:rPr>
                <w:sz w:val="20"/>
                <w:szCs w:val="20"/>
                <w:color w:val="auto"/>
              </w:rPr>
            </w:pPr>
            <w:r>
              <w:rPr>
                <w:rFonts w:ascii="Arial" w:cs="Arial" w:eastAsia="Arial" w:hAnsi="Arial"/>
                <w:sz w:val="18"/>
                <w:szCs w:val="18"/>
                <w:color w:val="auto"/>
              </w:rPr>
              <w:t>Total inventories</w:t>
            </w:r>
          </w:p>
        </w:tc>
        <w:tc>
          <w:tcPr>
            <w:tcW w:w="3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17,935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21,856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Supplies, prepaid items and other:</w:t>
            </w:r>
          </w:p>
        </w:tc>
        <w:tc>
          <w:tcPr>
            <w:tcW w:w="3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480"/>
              <w:spacing w:after="0"/>
              <w:rPr>
                <w:sz w:val="20"/>
                <w:szCs w:val="20"/>
                <w:color w:val="auto"/>
              </w:rPr>
            </w:pPr>
            <w:r>
              <w:rPr>
                <w:rFonts w:ascii="Arial" w:cs="Arial" w:eastAsia="Arial" w:hAnsi="Arial"/>
                <w:sz w:val="18"/>
                <w:szCs w:val="18"/>
                <w:color w:val="auto"/>
              </w:rPr>
              <w:t>Prepaid insurance</w:t>
            </w:r>
          </w:p>
        </w:tc>
        <w:tc>
          <w:tcPr>
            <w:tcW w:w="3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1,657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10,535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Supplies</w:t>
            </w:r>
          </w:p>
        </w:tc>
        <w:tc>
          <w:tcPr>
            <w:tcW w:w="3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27,738</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27,729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Other</w:t>
            </w:r>
          </w:p>
        </w:tc>
        <w:tc>
          <w:tcPr>
            <w:tcW w:w="37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9,643</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10,431</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supplies, prepaid items and other</w:t>
            </w:r>
          </w:p>
        </w:tc>
        <w:tc>
          <w:tcPr>
            <w:tcW w:w="37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39,038</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48,695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3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158,017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163,740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40" w:type="dxa"/>
            <w:vAlign w:val="bottom"/>
            <w:shd w:val="clear" w:color="auto" w:fill="CFF0FC"/>
          </w:tcPr>
          <w:p>
            <w:pPr>
              <w:spacing w:after="0"/>
              <w:rPr>
                <w:sz w:val="19"/>
                <w:szCs w:val="19"/>
                <w:color w:val="auto"/>
              </w:rPr>
            </w:pPr>
          </w:p>
        </w:tc>
        <w:tc>
          <w:tcPr>
            <w:tcW w:w="3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980,625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1,014,038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40" w:type="dxa"/>
            <w:vAlign w:val="bottom"/>
            <w:shd w:val="clear" w:color="auto" w:fill="CFF0FC"/>
          </w:tcPr>
          <w:p>
            <w:pPr>
              <w:spacing w:after="0"/>
              <w:rPr>
                <w:sz w:val="19"/>
                <w:szCs w:val="19"/>
                <w:color w:val="auto"/>
              </w:rPr>
            </w:pPr>
          </w:p>
        </w:tc>
        <w:tc>
          <w:tcPr>
            <w:tcW w:w="3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Intangible and other assets, net</w:t>
            </w:r>
          </w:p>
        </w:tc>
        <w:tc>
          <w:tcPr>
            <w:tcW w:w="3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8,952</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11,404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spacing w:after="0"/>
              <w:rPr>
                <w:sz w:val="19"/>
                <w:szCs w:val="19"/>
                <w:color w:val="auto"/>
              </w:rPr>
            </w:pPr>
          </w:p>
        </w:tc>
        <w:tc>
          <w:tcPr>
            <w:tcW w:w="37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1,147,594</w:t>
            </w:r>
          </w:p>
        </w:tc>
        <w:tc>
          <w:tcPr>
            <w:tcW w:w="3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1,189,182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920" w:type="dxa"/>
            <w:vAlign w:val="bottom"/>
            <w:gridSpan w:val="2"/>
          </w:tcPr>
          <w:p>
            <w:pPr>
              <w:jc w:val="center"/>
              <w:ind w:right="530"/>
              <w:spacing w:after="0"/>
              <w:rPr>
                <w:sz w:val="20"/>
                <w:szCs w:val="20"/>
                <w:color w:val="auto"/>
              </w:rPr>
            </w:pPr>
            <w:r>
              <w:rPr>
                <w:rFonts w:ascii="Arial" w:cs="Arial" w:eastAsia="Arial" w:hAnsi="Arial"/>
                <w:sz w:val="18"/>
                <w:szCs w:val="18"/>
                <w:color w:val="auto"/>
                <w:w w:val="92"/>
              </w:rPr>
              <w:t>(Continued on following page)</w:t>
            </w: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720" w:type="dxa"/>
            <w:vAlign w:val="bottom"/>
          </w:tcPr>
          <w:p>
            <w:pPr>
              <w:jc w:val="right"/>
              <w:ind w:right="193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September 30, 2018 is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w w:val="94"/>
              </w:rPr>
              <w:t>September 30,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80" w:type="dxa"/>
            <w:vAlign w:val="bottom"/>
            <w:gridSpan w:val="5"/>
          </w:tcPr>
          <w:p>
            <w:pPr>
              <w:ind w:left="1060"/>
              <w:spacing w:after="0"/>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Current liabilities:</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55,647</w:t>
            </w:r>
          </w:p>
        </w:tc>
        <w:tc>
          <w:tcPr>
            <w:tcW w:w="4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Short-term financing</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and other liabilities</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53,796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Current portion of long-term debt</w:t>
            </w:r>
          </w:p>
        </w:tc>
        <w:tc>
          <w:tcPr>
            <w:tcW w:w="9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12,698</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122,465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402,975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400,253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Noncurrent accrued and other liabilities</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55,802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7)</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Redeemable preferred stocks:</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Series E 14% cumulative, redeemable Class C preferred stock, no par value,</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60"/>
              <w:spacing w:after="0"/>
              <w:rPr>
                <w:sz w:val="20"/>
                <w:szCs w:val="20"/>
                <w:color w:val="auto"/>
              </w:rPr>
            </w:pPr>
            <w:r>
              <w:rPr>
                <w:rFonts w:ascii="Arial" w:cs="Arial" w:eastAsia="Arial" w:hAnsi="Arial"/>
                <w:sz w:val="18"/>
                <w:szCs w:val="18"/>
                <w:color w:val="auto"/>
              </w:rPr>
              <w:t>210,000 shares issued; 139,768 outstanding; aggregate liquidation preference</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360"/>
              <w:spacing w:after="0"/>
              <w:rPr>
                <w:sz w:val="20"/>
                <w:szCs w:val="20"/>
                <w:color w:val="auto"/>
              </w:rPr>
            </w:pPr>
            <w:r>
              <w:rPr>
                <w:rFonts w:ascii="Arial" w:cs="Arial" w:eastAsia="Arial" w:hAnsi="Arial"/>
                <w:sz w:val="18"/>
                <w:szCs w:val="18"/>
                <w:color w:val="auto"/>
              </w:rPr>
              <w:t>of $204,979,000 ($185,231,000 at December 31, 2017)</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194,584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174,959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Series F redeemable Class C preferred stock, no par value, 1 share issued and</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outstanding; aggregate liquidation preference of $100</w:t>
            </w:r>
          </w:p>
        </w:tc>
        <w:tc>
          <w:tcPr>
            <w:tcW w:w="9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Series B 12% cumulative, convertible preferred stock, $100 par value;</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360"/>
              <w:spacing w:after="0"/>
              <w:rPr>
                <w:sz w:val="20"/>
                <w:szCs w:val="20"/>
                <w:color w:val="auto"/>
              </w:rPr>
            </w:pPr>
            <w:r>
              <w:rPr>
                <w:rFonts w:ascii="Arial" w:cs="Arial" w:eastAsia="Arial" w:hAnsi="Arial"/>
                <w:sz w:val="18"/>
                <w:szCs w:val="18"/>
                <w:color w:val="auto"/>
              </w:rPr>
              <w:t>20,000 shares issued and outstanding</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Series D 6% cumulative, convertible Class C preferred stock, no par value;</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1,000,000 shares issued and outstanding</w:t>
            </w:r>
          </w:p>
        </w:tc>
        <w:tc>
          <w:tcPr>
            <w:tcW w:w="9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Common stock, $.10 par value; 75,000,000 shares authorized,</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360"/>
              <w:spacing w:after="0"/>
              <w:rPr>
                <w:sz w:val="20"/>
                <w:szCs w:val="20"/>
                <w:color w:val="auto"/>
              </w:rPr>
            </w:pPr>
            <w:r>
              <w:rPr>
                <w:rFonts w:ascii="Arial" w:cs="Arial" w:eastAsia="Arial" w:hAnsi="Arial"/>
                <w:sz w:val="18"/>
                <w:szCs w:val="18"/>
                <w:color w:val="auto"/>
              </w:rPr>
              <w:t>31,280,685 shares issued</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3,128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in excess of par value</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198,103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Retained earnings</w:t>
            </w:r>
          </w:p>
        </w:tc>
        <w:tc>
          <w:tcPr>
            <w:tcW w:w="9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174,403</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378,634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456,298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Less treasury stock, at cost:</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Common stock, 2,662,244 shares (2,662,027 shares at December 31, 2017)</w:t>
            </w:r>
          </w:p>
        </w:tc>
        <w:tc>
          <w:tcPr>
            <w:tcW w:w="9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18,113</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stockholders' equity</w:t>
            </w:r>
          </w:p>
        </w:tc>
        <w:tc>
          <w:tcPr>
            <w:tcW w:w="9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360,521</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438,196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1,147,594</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1,189,182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6"/>
          </w:tcPr>
          <w:p>
            <w:pPr>
              <w:jc w:val="right"/>
              <w:ind w:right="1000"/>
              <w:spacing w:after="0"/>
              <w:rPr>
                <w:sz w:val="20"/>
                <w:szCs w:val="20"/>
                <w:color w:val="auto"/>
              </w:rPr>
            </w:pPr>
            <w:r>
              <w:rPr>
                <w:rFonts w:ascii="Arial" w:cs="Arial" w:eastAsia="Arial" w:hAnsi="Arial"/>
                <w:sz w:val="18"/>
                <w:szCs w:val="18"/>
                <w:color w:val="auto"/>
              </w:rPr>
              <w:t>September 30,</w:t>
            </w:r>
          </w:p>
        </w:tc>
        <w:tc>
          <w:tcPr>
            <w:tcW w:w="240" w:type="dxa"/>
            <w:vAlign w:val="bottom"/>
          </w:tcPr>
          <w:p>
            <w:pPr>
              <w:spacing w:after="0"/>
              <w:rPr>
                <w:sz w:val="19"/>
                <w:szCs w:val="19"/>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6"/>
          </w:tcPr>
          <w:p>
            <w:pPr>
              <w:jc w:val="right"/>
              <w:ind w:right="76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9"/>
                <w:szCs w:val="19"/>
                <w:color w:val="auto"/>
              </w:rPr>
            </w:pPr>
          </w:p>
        </w:tc>
        <w:tc>
          <w:tcPr>
            <w:tcW w:w="2440" w:type="dxa"/>
            <w:vAlign w:val="bottom"/>
            <w:gridSpan w:val="6"/>
          </w:tcPr>
          <w:p>
            <w:pPr>
              <w:jc w:val="right"/>
              <w:ind w:right="680"/>
              <w:spacing w:after="0"/>
              <w:rPr>
                <w:sz w:val="20"/>
                <w:szCs w:val="20"/>
                <w:color w:val="auto"/>
              </w:rPr>
            </w:pPr>
            <w:r>
              <w:rPr>
                <w:rFonts w:ascii="Arial" w:cs="Arial" w:eastAsia="Arial" w:hAnsi="Arial"/>
                <w:sz w:val="18"/>
                <w:szCs w:val="18"/>
                <w:color w:val="auto"/>
              </w:rPr>
              <w:t>Nine Months Ended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4"/>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gridSpan w:val="7"/>
          </w:tcPr>
          <w:p>
            <w:pPr>
              <w:jc w:val="right"/>
              <w:ind w:right="60"/>
              <w:spacing w:after="0"/>
              <w:rPr>
                <w:sz w:val="20"/>
                <w:szCs w:val="20"/>
                <w:color w:val="auto"/>
              </w:rPr>
            </w:pPr>
            <w:r>
              <w:rPr>
                <w:rFonts w:ascii="Arial" w:cs="Arial" w:eastAsia="Arial" w:hAnsi="Arial"/>
                <w:sz w:val="16"/>
                <w:szCs w:val="16"/>
                <w:color w:val="auto"/>
                <w:w w:val="91"/>
              </w:rPr>
              <w:t>(In Thousands, Except Per Share Amounts)</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9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79,781</w:t>
            </w:r>
          </w:p>
        </w:tc>
        <w:tc>
          <w:tcPr>
            <w:tcW w:w="8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92,390</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283,430</w:t>
            </w:r>
          </w:p>
        </w:tc>
        <w:tc>
          <w:tcPr>
            <w:tcW w:w="20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338,587</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7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89,523</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99,675</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280,006</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322,917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Gross profit (loss)</w:t>
            </w: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25,780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26,752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(2,265)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(1,814)</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7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(16,557)</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(15,363)</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(20,542)</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(13,340)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5,951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Non-operating other expense (income), net</w:t>
            </w: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(844)</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(296)</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Loss before provision (benefit) for income taxes</w:t>
            </w:r>
          </w:p>
        </w:tc>
        <w:tc>
          <w:tcPr>
            <w:tcW w:w="17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(23,810)</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(58,205)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(2,426)</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(6,698)</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7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(26,084)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(17,112)</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(59,181)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Dividends on convertible preferred stocks</w:t>
            </w: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Dividends on Series E redeemable preferred stock</w:t>
            </w: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Accretion of Series E redeemable preferred stock</w:t>
            </w:r>
          </w:p>
        </w:tc>
        <w:tc>
          <w:tcPr>
            <w:tcW w:w="17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17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(33,422)</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(24,745)</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(82,036)</w:t>
            </w:r>
          </w:p>
        </w:tc>
        <w:tc>
          <w:tcPr>
            <w:tcW w:w="2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(52,456)</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dilutive net loss per common share:</w:t>
            </w:r>
          </w:p>
        </w:tc>
        <w:tc>
          <w:tcPr>
            <w:tcW w:w="19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(1.22)</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(0.91)</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(2.98)</w:t>
            </w:r>
          </w:p>
        </w:tc>
        <w:tc>
          <w:tcPr>
            <w:tcW w:w="44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980" w:type="dxa"/>
            <w:vAlign w:val="bottom"/>
            <w:gridSpan w:val="4"/>
          </w:tcPr>
          <w:p>
            <w:pPr>
              <w:jc w:val="center"/>
              <w:spacing w:after="0"/>
              <w:rPr>
                <w:sz w:val="20"/>
                <w:szCs w:val="20"/>
                <w:color w:val="auto"/>
              </w:rPr>
            </w:pPr>
            <w:r>
              <w:rPr>
                <w:rFonts w:ascii="Arial" w:cs="Arial" w:eastAsia="Arial" w:hAnsi="Arial"/>
                <w:sz w:val="18"/>
                <w:szCs w:val="18"/>
                <w:color w:val="auto"/>
                <w:w w:val="87"/>
              </w:rPr>
              <w:t>See accompanying notes.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6"/>
                <w:szCs w:val="16"/>
                <w:color w:val="auto"/>
                <w:w w:val="91"/>
              </w:rPr>
              <w:t>Treasury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ind w:right="15"/>
              <w:spacing w:after="0"/>
              <w:rPr>
                <w:sz w:val="20"/>
                <w:szCs w:val="20"/>
                <w:color w:val="auto"/>
              </w:rPr>
            </w:pPr>
            <w:r>
              <w:rPr>
                <w:rFonts w:ascii="Arial" w:cs="Arial" w:eastAsia="Arial" w:hAnsi="Arial"/>
                <w:sz w:val="16"/>
                <w:szCs w:val="16"/>
                <w:color w:val="auto"/>
                <w:w w:val="97"/>
              </w:rPr>
              <w:t>Non-</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8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Common</w:t>
            </w:r>
          </w:p>
        </w:tc>
        <w:tc>
          <w:tcPr>
            <w:tcW w:w="840" w:type="dxa"/>
            <w:vAlign w:val="bottom"/>
            <w:gridSpan w:val="2"/>
          </w:tcPr>
          <w:p>
            <w:pPr>
              <w:jc w:val="center"/>
              <w:ind w:right="60"/>
              <w:spacing w:after="0"/>
              <w:rPr>
                <w:sz w:val="20"/>
                <w:szCs w:val="20"/>
                <w:color w:val="auto"/>
              </w:rPr>
            </w:pPr>
            <w:r>
              <w:rPr>
                <w:rFonts w:ascii="Arial" w:cs="Arial" w:eastAsia="Arial" w:hAnsi="Arial"/>
                <w:sz w:val="16"/>
                <w:szCs w:val="16"/>
                <w:color w:val="auto"/>
                <w:w w:val="92"/>
              </w:rPr>
              <w:t>Stock-</w:t>
            </w:r>
          </w:p>
        </w:tc>
        <w:tc>
          <w:tcPr>
            <w:tcW w:w="880" w:type="dxa"/>
            <w:vAlign w:val="bottom"/>
            <w:gridSpan w:val="3"/>
          </w:tcPr>
          <w:p>
            <w:pPr>
              <w:jc w:val="center"/>
              <w:spacing w:after="0"/>
              <w:rPr>
                <w:sz w:val="20"/>
                <w:szCs w:val="20"/>
                <w:color w:val="auto"/>
              </w:rPr>
            </w:pPr>
            <w:r>
              <w:rPr>
                <w:rFonts w:ascii="Arial" w:cs="Arial" w:eastAsia="Arial" w:hAnsi="Arial"/>
                <w:sz w:val="16"/>
                <w:szCs w:val="16"/>
                <w:color w:val="auto"/>
                <w:w w:val="90"/>
              </w:rPr>
              <w:t>Redeemable</w:t>
            </w:r>
          </w:p>
        </w:tc>
        <w:tc>
          <w:tcPr>
            <w:tcW w:w="180" w:type="dxa"/>
            <w:vAlign w:val="bottom"/>
          </w:tcPr>
          <w:p>
            <w:pPr>
              <w:spacing w:after="0"/>
              <w:rPr>
                <w:sz w:val="17"/>
                <w:szCs w:val="17"/>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6"/>
                <w:szCs w:val="16"/>
                <w:color w:val="auto"/>
                <w:w w:val="92"/>
              </w:rPr>
              <w:t>Common</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w w:val="98"/>
              </w:rPr>
              <w:t>Capital in</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Treasury</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8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Stock</w:t>
            </w:r>
          </w:p>
        </w:tc>
        <w:tc>
          <w:tcPr>
            <w:tcW w:w="840" w:type="dxa"/>
            <w:vAlign w:val="bottom"/>
            <w:gridSpan w:val="2"/>
          </w:tcPr>
          <w:p>
            <w:pPr>
              <w:jc w:val="center"/>
              <w:ind w:right="60"/>
              <w:spacing w:after="0"/>
              <w:rPr>
                <w:sz w:val="20"/>
                <w:szCs w:val="20"/>
                <w:color w:val="auto"/>
              </w:rPr>
            </w:pPr>
            <w:r>
              <w:rPr>
                <w:rFonts w:ascii="Arial" w:cs="Arial" w:eastAsia="Arial" w:hAnsi="Arial"/>
                <w:sz w:val="16"/>
                <w:szCs w:val="16"/>
                <w:color w:val="auto"/>
                <w:w w:val="95"/>
              </w:rPr>
              <w:t>Common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ind w:right="35"/>
              <w:spacing w:after="0"/>
              <w:rPr>
                <w:sz w:val="20"/>
                <w:szCs w:val="20"/>
                <w:color w:val="auto"/>
              </w:rPr>
            </w:pPr>
            <w:r>
              <w:rPr>
                <w:rFonts w:ascii="Arial" w:cs="Arial" w:eastAsia="Arial" w:hAnsi="Arial"/>
                <w:sz w:val="16"/>
                <w:szCs w:val="16"/>
                <w:color w:val="auto"/>
                <w:w w:val="89"/>
              </w:rPr>
              <w:t>Preferred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6"/>
                <w:szCs w:val="16"/>
                <w:color w:val="auto"/>
                <w:w w:val="94"/>
              </w:rPr>
              <w:t>Stock</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w w:val="95"/>
              </w:rPr>
              <w:t>Excess of</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Retained</w:t>
            </w:r>
          </w:p>
        </w:tc>
        <w:tc>
          <w:tcPr>
            <w:tcW w:w="60" w:type="dxa"/>
            <w:vAlign w:val="bottom"/>
          </w:tcPr>
          <w:p>
            <w:pPr>
              <w:spacing w:after="0"/>
              <w:rPr>
                <w:sz w:val="17"/>
                <w:szCs w:val="17"/>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Stock-</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08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w w:val="82"/>
              </w:rPr>
              <w:t>Shares</w:t>
            </w:r>
          </w:p>
        </w:tc>
        <w:tc>
          <w:tcPr>
            <w:tcW w:w="840" w:type="dxa"/>
            <w:vAlign w:val="bottom"/>
            <w:gridSpan w:val="2"/>
          </w:tcPr>
          <w:p>
            <w:pPr>
              <w:jc w:val="center"/>
              <w:ind w:right="60"/>
              <w:spacing w:after="0"/>
              <w:rPr>
                <w:sz w:val="20"/>
                <w:szCs w:val="20"/>
                <w:color w:val="auto"/>
              </w:rPr>
            </w:pPr>
            <w:r>
              <w:rPr>
                <w:rFonts w:ascii="Arial" w:cs="Arial" w:eastAsia="Arial" w:hAnsi="Arial"/>
                <w:sz w:val="16"/>
                <w:szCs w:val="16"/>
                <w:color w:val="auto"/>
                <w:w w:val="82"/>
              </w:rPr>
              <w:t>Shares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15"/>
              <w:spacing w:after="0"/>
              <w:rPr>
                <w:sz w:val="20"/>
                <w:szCs w:val="20"/>
                <w:color w:val="auto"/>
              </w:rPr>
            </w:pPr>
            <w:r>
              <w:rPr>
                <w:rFonts w:ascii="Arial" w:cs="Arial" w:eastAsia="Arial" w:hAnsi="Arial"/>
                <w:sz w:val="16"/>
                <w:szCs w:val="16"/>
                <w:color w:val="auto"/>
                <w:w w:val="94"/>
              </w:rPr>
              <w:t>Stock</w:t>
            </w:r>
          </w:p>
        </w:tc>
        <w:tc>
          <w:tcPr>
            <w:tcW w:w="180" w:type="dxa"/>
            <w:vAlign w:val="bottom"/>
          </w:tcPr>
          <w:p>
            <w:pPr>
              <w:spacing w:after="0"/>
              <w:rPr>
                <w:sz w:val="18"/>
                <w:szCs w:val="18"/>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6"/>
                <w:szCs w:val="16"/>
                <w:color w:val="auto"/>
                <w:w w:val="88"/>
              </w:rPr>
              <w:t>Par Value</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w w:val="93"/>
              </w:rPr>
              <w:t>Par Value</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Earnings</w:t>
            </w:r>
          </w:p>
        </w:tc>
        <w:tc>
          <w:tcPr>
            <w:tcW w:w="60" w:type="dxa"/>
            <w:vAlign w:val="bottom"/>
          </w:tcPr>
          <w:p>
            <w:pPr>
              <w:spacing w:after="0"/>
              <w:rPr>
                <w:sz w:val="18"/>
                <w:szCs w:val="18"/>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Common</w:t>
            </w:r>
          </w:p>
        </w:tc>
        <w:tc>
          <w:tcPr>
            <w:tcW w:w="820" w:type="dxa"/>
            <w:vAlign w:val="bottom"/>
            <w:gridSpan w:val="2"/>
          </w:tcPr>
          <w:p>
            <w:pPr>
              <w:jc w:val="right"/>
              <w:ind w:right="300"/>
              <w:spacing w:after="0"/>
              <w:rPr>
                <w:sz w:val="20"/>
                <w:szCs w:val="20"/>
                <w:color w:val="auto"/>
              </w:rPr>
            </w:pPr>
            <w:r>
              <w:rPr>
                <w:rFonts w:ascii="Arial" w:cs="Arial" w:eastAsia="Arial" w:hAnsi="Arial"/>
                <w:sz w:val="16"/>
                <w:szCs w:val="16"/>
                <w:color w:val="auto"/>
              </w:rPr>
              <w:t>Total</w:t>
            </w:r>
          </w:p>
        </w:tc>
      </w:tr>
      <w:tr>
        <w:trPr>
          <w:trHeight w:val="207"/>
        </w:trPr>
        <w:tc>
          <w:tcPr>
            <w:tcW w:w="40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4"/>
          </w:tcPr>
          <w:p>
            <w:pPr>
              <w:jc w:val="right"/>
              <w:ind w:right="560"/>
              <w:spacing w:after="0"/>
              <w:rPr>
                <w:sz w:val="20"/>
                <w:szCs w:val="20"/>
                <w:color w:val="auto"/>
              </w:rPr>
            </w:pPr>
            <w:r>
              <w:rPr>
                <w:rFonts w:ascii="Arial" w:cs="Arial" w:eastAsia="Arial" w:hAnsi="Arial"/>
                <w:sz w:val="16"/>
                <w:szCs w:val="16"/>
                <w:color w:val="auto"/>
              </w:rPr>
              <w:t>(In Thousands)</w:t>
            </w: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31,281</w:t>
            </w:r>
          </w:p>
        </w:tc>
        <w:tc>
          <w:tcPr>
            <w:tcW w:w="2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(2,662)</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$ 193,956</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$ 256,214</w:t>
            </w:r>
          </w:p>
        </w:tc>
        <w:tc>
          <w:tcPr>
            <w:tcW w:w="120" w:type="dxa"/>
            <w:vAlign w:val="bottom"/>
            <w:shd w:val="clear" w:color="auto" w:fill="CFF0FC"/>
          </w:tcPr>
          <w:p>
            <w:pPr>
              <w:spacing w:after="0"/>
              <w:rPr>
                <w:sz w:val="20"/>
                <w:szCs w:val="20"/>
                <w:color w:val="auto"/>
              </w:rPr>
            </w:pPr>
          </w:p>
        </w:tc>
        <w:tc>
          <w:tcPr>
            <w:tcW w:w="10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 (18,102)</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$ 438,196</w:t>
            </w:r>
          </w:p>
        </w:tc>
        <w:tc>
          <w:tcPr>
            <w:tcW w:w="100" w:type="dxa"/>
            <w:vAlign w:val="bottom"/>
            <w:shd w:val="clear" w:color="auto" w:fill="CFF0FC"/>
          </w:tcPr>
          <w:p>
            <w:pPr>
              <w:spacing w:after="0"/>
              <w:rPr>
                <w:sz w:val="20"/>
                <w:szCs w:val="20"/>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Net loss</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(59,181)</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(59,181)</w:t>
            </w:r>
          </w:p>
        </w:tc>
      </w:tr>
      <w:tr>
        <w:trPr>
          <w:trHeight w:val="215"/>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Dividend accrued on redeemable</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w:t>
            </w: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(19,748)</w:t>
            </w:r>
          </w:p>
        </w:tc>
        <w:tc>
          <w:tcPr>
            <w:tcW w:w="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(19,748)</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Accretion of redeemable preferred stock</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(2,882)</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(2,882)</w:t>
            </w: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4,284</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4,284</w:t>
            </w:r>
          </w:p>
        </w:tc>
        <w:tc>
          <w:tcPr>
            <w:tcW w:w="100" w:type="dxa"/>
            <w:vAlign w:val="bottom"/>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Other</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r>
      <w:tr>
        <w:trPr>
          <w:trHeight w:val="223"/>
        </w:trPr>
        <w:tc>
          <w:tcPr>
            <w:tcW w:w="4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2018</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(2,662</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$ 198,103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$ 174,403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 (18,113</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$ 360,521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gridSpan w:val="3"/>
          </w:tcPr>
          <w:p>
            <w:pPr>
              <w:jc w:val="center"/>
              <w:spacing w:after="0"/>
              <w:rPr>
                <w:sz w:val="20"/>
                <w:szCs w:val="20"/>
                <w:color w:val="auto"/>
              </w:rPr>
            </w:pPr>
            <w:r>
              <w:rPr>
                <w:rFonts w:ascii="Arial" w:cs="Arial" w:eastAsia="Arial" w:hAnsi="Arial"/>
                <w:sz w:val="16"/>
                <w:szCs w:val="16"/>
                <w:color w:val="auto"/>
                <w:w w:val="92"/>
              </w:rPr>
              <w:t>Nine Months Ended</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60" w:type="dxa"/>
            <w:vAlign w:val="bottom"/>
            <w:gridSpan w:val="3"/>
          </w:tcPr>
          <w:p>
            <w:pPr>
              <w:jc w:val="center"/>
              <w:spacing w:after="0"/>
              <w:rPr>
                <w:sz w:val="20"/>
                <w:szCs w:val="20"/>
                <w:color w:val="auto"/>
              </w:rPr>
            </w:pPr>
            <w:r>
              <w:rPr>
                <w:rFonts w:ascii="Arial" w:cs="Arial" w:eastAsia="Arial" w:hAnsi="Arial"/>
                <w:sz w:val="16"/>
                <w:szCs w:val="16"/>
                <w:color w:val="auto"/>
                <w:w w:val="89"/>
              </w:rPr>
              <w:t>September 30,</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2360" w:type="dxa"/>
            <w:vAlign w:val="bottom"/>
            <w:gridSpan w:val="2"/>
          </w:tcPr>
          <w:p>
            <w:pPr>
              <w:jc w:val="right"/>
              <w:ind w:right="20"/>
              <w:spacing w:after="0"/>
              <w:rPr>
                <w:sz w:val="20"/>
                <w:szCs w:val="20"/>
                <w:color w:val="auto"/>
              </w:rPr>
            </w:pPr>
            <w:r>
              <w:rPr>
                <w:rFonts w:ascii="Arial" w:cs="Arial" w:eastAsia="Arial" w:hAnsi="Arial"/>
                <w:sz w:val="16"/>
                <w:szCs w:val="16"/>
                <w:color w:val="auto"/>
              </w:rPr>
              <w:t>2018</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55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color w:val="auto"/>
                <w:w w:val="91"/>
              </w:rPr>
              <w:t>(In Thousands)</w:t>
            </w: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continuing operating activities</w:t>
            </w: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6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236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(59,181)</w:t>
            </w:r>
          </w:p>
        </w:tc>
        <w:tc>
          <w:tcPr>
            <w:tcW w:w="560" w:type="dxa"/>
            <w:vAlign w:val="bottom"/>
          </w:tcPr>
          <w:p>
            <w:pPr>
              <w:jc w:val="right"/>
              <w:ind w:right="40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(30,131)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provided by continuing</w:t>
            </w:r>
          </w:p>
        </w:tc>
        <w:tc>
          <w:tcPr>
            <w:tcW w:w="1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operating activities:</w:t>
            </w:r>
          </w:p>
        </w:tc>
        <w:tc>
          <w:tcPr>
            <w:tcW w:w="1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Deferred income taxes</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1,015</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(10,702)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Loss on extinguishment of debt</w:t>
            </w: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5,951</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Depreciation, depletion and amortization of property, plant and equipment</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53,514</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50,341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Amortization of intangible and other assets</w:t>
            </w: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1,787</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Loss (gain) on sales of a business and other property and equipment</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(1,924)</w:t>
            </w: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w:t>
            </w: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7,075</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Cash provided (used) by changes in assets and liabilities (net of effects of</w:t>
            </w: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tcPr>
          <w:p>
            <w:pPr>
              <w:ind w:left="360"/>
              <w:spacing w:after="0"/>
              <w:rPr>
                <w:sz w:val="20"/>
                <w:szCs w:val="20"/>
                <w:color w:val="auto"/>
              </w:rPr>
            </w:pPr>
            <w:r>
              <w:rPr>
                <w:rFonts w:ascii="Arial" w:cs="Arial" w:eastAsia="Arial" w:hAnsi="Arial"/>
                <w:sz w:val="16"/>
                <w:szCs w:val="16"/>
                <w:color w:val="auto"/>
              </w:rPr>
              <w:t>discontinued operations):</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Accounts receivable</w:t>
            </w: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6,308</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Arial" w:cs="Arial" w:eastAsia="Arial" w:hAnsi="Arial"/>
                <w:sz w:val="16"/>
                <w:szCs w:val="16"/>
                <w:color w:val="auto"/>
              </w:rPr>
              <w:t>Inventories</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4,599</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Prepaid insurance</w:t>
            </w: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8,878</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Arial" w:cs="Arial" w:eastAsia="Arial" w:hAnsi="Arial"/>
                <w:sz w:val="16"/>
                <w:szCs w:val="16"/>
                <w:color w:val="auto"/>
              </w:rPr>
              <w:t>Prepaid and accrued income taxes</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1,122</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(1,009)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Accounts payable</w:t>
            </w: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5,023</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Arial" w:cs="Arial" w:eastAsia="Arial" w:hAnsi="Arial"/>
                <w:sz w:val="16"/>
                <w:szCs w:val="16"/>
                <w:color w:val="auto"/>
              </w:rPr>
              <w:t>Accrued interest</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3,298</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(7,977)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Other assets and other liabilities</w:t>
            </w: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1,315</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(2,009)</w:t>
            </w:r>
          </w:p>
        </w:tc>
        <w:tc>
          <w:tcPr>
            <w:tcW w:w="0" w:type="dxa"/>
            <w:vAlign w:val="bottom"/>
          </w:tcPr>
          <w:p>
            <w:pPr>
              <w:spacing w:after="0"/>
              <w:rPr>
                <w:sz w:val="1"/>
                <w:szCs w:val="1"/>
                <w:color w:val="auto"/>
              </w:rPr>
            </w:pPr>
          </w:p>
        </w:tc>
      </w:tr>
      <w:tr>
        <w:trPr>
          <w:trHeight w:val="207"/>
        </w:trPr>
        <w:tc>
          <w:tcPr>
            <w:tcW w:w="6460" w:type="dxa"/>
            <w:vAlign w:val="bottom"/>
            <w:gridSpan w:val="2"/>
          </w:tcPr>
          <w:p>
            <w:pPr>
              <w:spacing w:after="0"/>
              <w:rPr>
                <w:sz w:val="20"/>
                <w:szCs w:val="20"/>
                <w:color w:val="auto"/>
              </w:rPr>
            </w:pPr>
            <w:r>
              <w:rPr>
                <w:rFonts w:ascii="Arial" w:cs="Arial" w:eastAsia="Arial" w:hAnsi="Arial"/>
                <w:sz w:val="16"/>
                <w:szCs w:val="16"/>
                <w:color w:val="auto"/>
              </w:rPr>
              <w:t>Net cash provided by continuing operating activities</w:t>
            </w:r>
          </w:p>
        </w:tc>
        <w:tc>
          <w:tcPr>
            <w:tcW w:w="14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38,780</w:t>
            </w:r>
          </w:p>
        </w:tc>
        <w:tc>
          <w:tcPr>
            <w:tcW w:w="2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19,329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6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6"/>
                <w:szCs w:val="16"/>
                <w:b w:val="1"/>
                <w:bCs w:val="1"/>
                <w:color w:val="auto"/>
              </w:rPr>
              <w:t>Cash flows from continuing investing activities</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Expenditures for property, plant and equipment</w:t>
            </w: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(27,187)</w:t>
            </w: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(25,172)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Net proceeds from sale of businesses and other property and equipment</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6,654</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22,561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Proceeds from property insurance recovery associated with</w:t>
            </w:r>
          </w:p>
        </w:tc>
        <w:tc>
          <w:tcPr>
            <w:tcW w:w="1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property, plant and equipment</w:t>
            </w:r>
          </w:p>
        </w:tc>
        <w:tc>
          <w:tcPr>
            <w:tcW w:w="1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1,531</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Net proceeds from sale of discontinued operations</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2,730</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investing activities</w:t>
            </w:r>
          </w:p>
        </w:tc>
        <w:tc>
          <w:tcPr>
            <w:tcW w:w="14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460" w:type="dxa"/>
            <w:vAlign w:val="bottom"/>
            <w:gridSpan w:val="2"/>
          </w:tcPr>
          <w:p>
            <w:pPr>
              <w:spacing w:after="0"/>
              <w:rPr>
                <w:sz w:val="20"/>
                <w:szCs w:val="20"/>
                <w:color w:val="auto"/>
              </w:rPr>
            </w:pPr>
            <w:r>
              <w:rPr>
                <w:rFonts w:ascii="Arial" w:cs="Arial" w:eastAsia="Arial" w:hAnsi="Arial"/>
                <w:sz w:val="16"/>
                <w:szCs w:val="16"/>
                <w:color w:val="auto"/>
              </w:rPr>
              <w:t>Net cash used by continuing investing activities</w:t>
            </w: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(16,160)</w:t>
            </w:r>
          </w:p>
        </w:tc>
        <w:tc>
          <w:tcPr>
            <w:tcW w:w="56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(2,196)</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6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6"/>
                <w:szCs w:val="16"/>
                <w:b w:val="1"/>
                <w:bCs w:val="1"/>
                <w:color w:val="auto"/>
              </w:rPr>
              <w:t>Cash flows from continuing financing activities</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Proceeds from 9.625% senior secured notes, net of discount and fees</w:t>
            </w: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390,473</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Payments on senior secured notes</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w w:val="93"/>
              </w:rPr>
              <w:t>(375,000)</w:t>
            </w:r>
          </w:p>
        </w:tc>
        <w:tc>
          <w:tcPr>
            <w:tcW w:w="5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Payments on other long-term debt</w:t>
            </w: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(7,593)</w:t>
            </w: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(12,413)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Payments of debt-related costs</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(10,845)</w:t>
            </w:r>
          </w:p>
        </w:tc>
        <w:tc>
          <w:tcPr>
            <w:tcW w:w="5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Payments on short-term financing, net</w:t>
            </w: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(7,621)</w:t>
            </w: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(9,145)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Payments of preferred stock modification costs</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(2,677)</w:t>
            </w:r>
          </w:p>
        </w:tc>
        <w:tc>
          <w:tcPr>
            <w:tcW w:w="5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Taxes paid on equity awards</w:t>
            </w: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(230)</w:t>
            </w: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6"/>
                <w:szCs w:val="16"/>
                <w:color w:val="auto"/>
              </w:rPr>
              <w:t>Net cash used by continuing financing activities</w:t>
            </w:r>
          </w:p>
        </w:tc>
        <w:tc>
          <w:tcPr>
            <w:tcW w:w="14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460" w:type="dxa"/>
            <w:vAlign w:val="bottom"/>
            <w:gridSpan w:val="2"/>
            <w:vMerge w:val="continue"/>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(13,493)</w:t>
            </w:r>
          </w:p>
        </w:tc>
        <w:tc>
          <w:tcPr>
            <w:tcW w:w="56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(21,714)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Cash flows of discontinued operations:</w:t>
            </w: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Net cash used by operating activities</w:t>
            </w: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(2,171)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Net cash used by financing activities</w:t>
            </w:r>
          </w:p>
        </w:tc>
        <w:tc>
          <w:tcPr>
            <w:tcW w:w="1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6"/>
                <w:szCs w:val="16"/>
                <w:color w:val="auto"/>
              </w:rPr>
              <w:t>Net cash used by discontinued operations</w:t>
            </w:r>
          </w:p>
        </w:tc>
        <w:tc>
          <w:tcPr>
            <w:tcW w:w="14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460" w:type="dxa"/>
            <w:vAlign w:val="bottom"/>
            <w:gridSpan w:val="2"/>
            <w:vMerge w:val="continue"/>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increase (decrease) in cash and cash equivalents</w:t>
            </w:r>
          </w:p>
        </w:tc>
        <w:tc>
          <w:tcPr>
            <w:tcW w:w="14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vMerge w:val="continue"/>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9,127</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(6,952)</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beginning of period</w:t>
            </w:r>
          </w:p>
        </w:tc>
        <w:tc>
          <w:tcPr>
            <w:tcW w:w="140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33,619</w:t>
            </w:r>
          </w:p>
        </w:tc>
        <w:tc>
          <w:tcPr>
            <w:tcW w:w="28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60,017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460" w:type="dxa"/>
            <w:vAlign w:val="bottom"/>
            <w:gridSpan w:val="2"/>
          </w:tcPr>
          <w:p>
            <w:pPr>
              <w:spacing w:after="0"/>
              <w:rPr>
                <w:sz w:val="20"/>
                <w:szCs w:val="20"/>
                <w:color w:val="auto"/>
              </w:rPr>
            </w:pPr>
            <w:r>
              <w:rPr>
                <w:rFonts w:ascii="Arial" w:cs="Arial" w:eastAsia="Arial" w:hAnsi="Arial"/>
                <w:sz w:val="16"/>
                <w:szCs w:val="16"/>
                <w:color w:val="auto"/>
              </w:rPr>
              <w:t>Cash and cash equivalents at end of period</w:t>
            </w:r>
          </w:p>
        </w:tc>
        <w:tc>
          <w:tcPr>
            <w:tcW w:w="236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42,746</w:t>
            </w:r>
          </w:p>
        </w:tc>
        <w:tc>
          <w:tcPr>
            <w:tcW w:w="280" w:type="dxa"/>
            <w:vAlign w:val="bottom"/>
          </w:tcPr>
          <w:p>
            <w:pPr>
              <w:spacing w:after="0"/>
              <w:rPr>
                <w:sz w:val="17"/>
                <w:szCs w:val="17"/>
                <w:color w:val="auto"/>
              </w:rPr>
            </w:pPr>
          </w:p>
        </w:tc>
        <w:tc>
          <w:tcPr>
            <w:tcW w:w="560" w:type="dxa"/>
            <w:vAlign w:val="bottom"/>
          </w:tcPr>
          <w:p>
            <w:pPr>
              <w:jc w:val="right"/>
              <w:ind w:right="40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53,065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complete discussion of our significant accounting policies, refer to the notes to our audited consolidated financial statements included in our Form 10-K for the year ended December 31, 2017 (“2017 Form 10-K”), filed with the Securities and Exchange Commission (“SEC”) on February 26, 2018.</w:t>
      </w:r>
    </w:p>
    <w:p>
      <w:pPr>
        <w:spacing w:after="0" w:line="3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Basis of Consolidation – </w:t>
      </w:r>
      <w:r>
        <w:rPr>
          <w:rFonts w:ascii="Arial" w:cs="Arial" w:eastAsia="Arial" w:hAnsi="Arial"/>
          <w:sz w:val="17"/>
          <w:szCs w:val="17"/>
          <w:color w:val="auto"/>
        </w:rPr>
        <w:t>LSB Industries, Inc. (“LSB”) and its subsidiaries (the “Company”, “We”, “Us”, or “Our”) are consolidated in the accompanying</w:t>
      </w:r>
      <w:r>
        <w:rPr>
          <w:rFonts w:ascii="Arial" w:cs="Arial" w:eastAsia="Arial" w:hAnsi="Arial"/>
          <w:sz w:val="17"/>
          <w:szCs w:val="17"/>
          <w:b w:val="1"/>
          <w:bCs w:val="1"/>
          <w:color w:val="auto"/>
        </w:rPr>
        <w:t xml:space="preserve"> </w:t>
      </w:r>
      <w:r>
        <w:rPr>
          <w:rFonts w:ascii="Arial" w:cs="Arial" w:eastAsia="Arial" w:hAnsi="Arial"/>
          <w:sz w:val="17"/>
          <w:szCs w:val="17"/>
          <w:color w:val="auto"/>
        </w:rPr>
        <w:t>condensed consolidated financial statements. LSB is a holding company with no significant operations or assets other than cash, cash equivalents, and investments in its subsidiaries. All material intercompany accounts and transactions have been eliminated. Certain prior period amounts reported in our condensed consolidated financial statements and notes thereto have been reclassified to conform to current period presentation.</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Nature of Business – </w:t>
      </w:r>
      <w:r>
        <w:rPr>
          <w:rFonts w:ascii="Arial" w:cs="Arial" w:eastAsia="Arial" w:hAnsi="Arial"/>
          <w:sz w:val="18"/>
          <w:szCs w:val="18"/>
          <w:color w:val="auto"/>
        </w:rPr>
        <w:t>We are engaged in the manufacture and sale of chemical products. The chemical products we primarily manufacture, market and sell</w:t>
      </w:r>
      <w:r>
        <w:rPr>
          <w:rFonts w:ascii="Arial" w:cs="Arial" w:eastAsia="Arial" w:hAnsi="Arial"/>
          <w:sz w:val="18"/>
          <w:szCs w:val="18"/>
          <w:b w:val="1"/>
          <w:bCs w:val="1"/>
          <w:color w:val="auto"/>
        </w:rPr>
        <w:t xml:space="preserve"> </w:t>
      </w:r>
      <w:r>
        <w:rPr>
          <w:rFonts w:ascii="Arial" w:cs="Arial" w:eastAsia="Arial" w:hAnsi="Arial"/>
          <w:sz w:val="18"/>
          <w:szCs w:val="18"/>
          <w:color w:val="auto"/>
        </w:rPr>
        <w:t>are ammonia, fertilizer grade ammonium nitrate (“HDAN”), urea ammonium nitrate (“UAN”), and ammonium nitrate (“AN”) solution for agricultural applications, high purity and commercial grade ammonia, high purity AN, sulfuric acids, concentrated, blended and regular nitric acid, mixed nitrating acids, carbon dioxide, and diesel exhaust fluid for industrial applications, and industrial grade AN (“LDAN”) and solutions for the mining industry. We manufacture and distribute our products in four facilities; three of which we own and are located in El Dorado, Arkansas (the “El Dorado Facility”); Cherokee, Alabama (the “Cherokee Facility”); and Pryor, Oklahoma (the “Pryor Facility”); and one of which we operate on behalf of a global chemical company in Baytown, Texas (the “Baytown Facility”).</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to customers include farmers, ranchers, fertilizer dealers and distributors primarily in the ranch land and grain production markets in the United States (“U.S.”); industrial users of acids throughout the U.S. and parts of Canada; and explosive manufacturers in the U.S.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products consisted of natural gas sales from our working interests in certain natural gas properties of our former subsidiary Zena Energy L.L.C. and sales of industrial machinery and related components, which were sold during the second and fourth quarters of 2017, respectively.</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July 2016, LSB completed the sale of all of the stock of Climate Control Group Inc. (an indirect subsidiary that conducted LSB’s Climate Control Business) pursuant to the terms of a stock purchase agreement. During the first quarter of 2018, we received the remaining proceeds held in a related indemnity escrow account of $2.7 million.</w:t>
      </w:r>
    </w:p>
    <w:p>
      <w:pPr>
        <w:spacing w:after="0" w:line="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our opinion, the unaudited condensed consolidated financial statements of the Company as of September 30, 2018 and for the three and nine-month periods ended September 30, 2018 and 2017 include all adjustments and accruals, consisting of normal, recurring accrual adjustments, which are necessary for a fair presentation of the results for the interim periods. 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5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U.S. generally accepted accounting principles (“GAAP”) have been condensed or omitted in this Form 10-Q pursuant to the rules and regulations of the SEC. These condensed consolidated financial statements should be read in connection with our audited consolidated financial statements and notes thereto included in our 2017 Form 10-K.</w:t>
      </w:r>
    </w:p>
    <w:p>
      <w:pPr>
        <w:spacing w:after="0" w:line="3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Use of Estimates – </w:t>
      </w:r>
      <w:r>
        <w:rPr>
          <w:rFonts w:ascii="Arial" w:cs="Arial" w:eastAsia="Arial" w:hAnsi="Arial"/>
          <w:sz w:val="17"/>
          <w:szCs w:val="17"/>
          <w:color w:val="auto"/>
        </w:rPr>
        <w:t>The preparation of condensed consolidated financial statements in conformity with GAAP requires management to make estimates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Income Taxes – </w:t>
      </w:r>
      <w:r>
        <w:rPr>
          <w:rFonts w:ascii="Arial" w:cs="Arial" w:eastAsia="Arial" w:hAnsi="Arial"/>
          <w:sz w:val="17"/>
          <w:szCs w:val="17"/>
          <w:color w:val="auto"/>
        </w:rPr>
        <w:t>Income taxes are accounted for under the asset and liability method. Deferred tax assets and liabilities are measured using enacted tax rates</w:t>
      </w:r>
      <w:r>
        <w:rPr>
          <w:rFonts w:ascii="Arial" w:cs="Arial" w:eastAsia="Arial" w:hAnsi="Arial"/>
          <w:sz w:val="17"/>
          <w:szCs w:val="17"/>
          <w:b w:val="1"/>
          <w:bCs w:val="1"/>
          <w:color w:val="auto"/>
        </w:rPr>
        <w:t xml:space="preserve"> </w:t>
      </w:r>
      <w:r>
        <w:rPr>
          <w:rFonts w:ascii="Arial" w:cs="Arial" w:eastAsia="Arial" w:hAnsi="Arial"/>
          <w:sz w:val="17"/>
          <w:szCs w:val="17"/>
          <w:color w:val="auto"/>
        </w:rPr>
        <w:t>expected to apply to taxable income in the years in which those differences are expected to be recovered or settled. The effect on deferred tax assets and liabilities of a change in tax rates is recognized in the statement of operations in the period that includes the enactment date. We establish valuation allowances if we believe it is more-likely-than-not that some or all of deferred tax assets will not be realized. Significant judgment is applied in evaluating the need for and the magnitude of appropriate valuation allowances against deferred tax assets.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 (continued)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do not recognize a tax benefit unless we conclude that it is more likely than not that the benefit will be sustained on audit by the relevant taxing authorities based solely on the technical merits of the associated tax position. If the recognition threshold is met, we recognize a tax benefit measured at the largest amount of the tax benefit that, in our judgment, is greater than 50% likely to be realized. We record interest related to unrecognized tax positions in interest expense and penalties in operating other expense.</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tax benefits associated with amounts that are deductible for income tax purposes are recorded through the statement of operations. These benefits are principally generated from exercises of non-qualified stock options and restricted stock. We reduce income tax expense for investment tax credits in the period the credit arises and is earned.</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See Note 9 – Income Taxes discussing the Tax Cuts and Jobs Act of 2017 and Staff Accounting Bulletin No. 118 ("SAB 118") issued by the SEC.</w:t>
      </w:r>
    </w:p>
    <w:p>
      <w:pPr>
        <w:spacing w:after="0" w:line="1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Contingencies – </w:t>
      </w:r>
      <w:r>
        <w:rPr>
          <w:rFonts w:ascii="Arial" w:cs="Arial" w:eastAsia="Arial" w:hAnsi="Arial"/>
          <w:sz w:val="16"/>
          <w:szCs w:val="16"/>
          <w:color w:val="auto"/>
        </w:rPr>
        <w:t>Certain conditions may exist which may result in a loss, but which will only be resolved when future events occur. We and our legal counsel</w:t>
      </w:r>
      <w:r>
        <w:rPr>
          <w:rFonts w:ascii="Arial" w:cs="Arial" w:eastAsia="Arial" w:hAnsi="Arial"/>
          <w:sz w:val="16"/>
          <w:szCs w:val="16"/>
          <w:b w:val="1"/>
          <w:bCs w:val="1"/>
          <w:color w:val="auto"/>
        </w:rPr>
        <w:t xml:space="preserve"> </w:t>
      </w:r>
      <w:r>
        <w:rPr>
          <w:rFonts w:ascii="Arial" w:cs="Arial" w:eastAsia="Arial" w:hAnsi="Arial"/>
          <w:sz w:val="16"/>
          <w:szCs w:val="16"/>
          <w:color w:val="auto"/>
        </w:rPr>
        <w:t>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w:t>
      </w:r>
    </w:p>
    <w:p>
      <w:pPr>
        <w:spacing w:after="0" w:line="5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Recognition of Insurance Recoveries of Losses </w:t>
      </w:r>
      <w:r>
        <w:rPr>
          <w:rFonts w:ascii="Arial" w:cs="Arial" w:eastAsia="Arial" w:hAnsi="Arial"/>
          <w:sz w:val="18"/>
          <w:szCs w:val="18"/>
          <w:color w:val="auto"/>
        </w:rPr>
        <w:t>– If an insurance claim relates to a recovery of our losses, we recognize the recovery when it is probable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estimable. Amounts recoverable from our insurance carriers, if any, are included in accounts receivable.</w:t>
      </w:r>
    </w:p>
    <w:p>
      <w:pPr>
        <w:spacing w:after="0" w:line="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Redeemable Preferred Stocks – </w:t>
      </w:r>
      <w:r>
        <w:rPr>
          <w:rFonts w:ascii="Arial" w:cs="Arial" w:eastAsia="Arial" w:hAnsi="Arial"/>
          <w:sz w:val="18"/>
          <w:szCs w:val="18"/>
          <w:color w:val="auto"/>
        </w:rPr>
        <w:t>Our redeemable preferred stocks that are redeemable outside of our control are classified as temporary/mezzanine</w:t>
      </w:r>
      <w:r>
        <w:rPr>
          <w:rFonts w:ascii="Arial" w:cs="Arial" w:eastAsia="Arial" w:hAnsi="Arial"/>
          <w:sz w:val="18"/>
          <w:szCs w:val="18"/>
          <w:b w:val="1"/>
          <w:bCs w:val="1"/>
          <w:color w:val="auto"/>
        </w:rPr>
        <w:t xml:space="preserve"> </w:t>
      </w:r>
      <w:r>
        <w:rPr>
          <w:rFonts w:ascii="Arial" w:cs="Arial" w:eastAsia="Arial" w:hAnsi="Arial"/>
          <w:sz w:val="18"/>
          <w:szCs w:val="18"/>
          <w:color w:val="auto"/>
        </w:rPr>
        <w:t>equity. The redeemable preferred stocks were recorded at fair value upon issuance, net of issuance costs or discounts. In addition, certain embedded features included in the Series E Redeemable Preferred required bifurcation and are classified as derivative liabilities. The carrying values of the redeemable preferred stocks are being increased by periodic accretions (including the amount for dividends earned but not yet declared or paid) using the interest method so that the carrying amount will equal the redemption value as of October 25, 2023, the earliest possible redemption date by the holder. The amount of accretion was recorded to retained earnings.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However, it is reasonably possible this accretion could change if the expected redemption date changes.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ASU 2014-09 – </w:t>
      </w:r>
      <w:r>
        <w:rPr>
          <w:rFonts w:ascii="Arial" w:cs="Arial" w:eastAsia="Arial" w:hAnsi="Arial"/>
          <w:sz w:val="17"/>
          <w:szCs w:val="17"/>
          <w:color w:val="auto"/>
        </w:rPr>
        <w:t>In May 2014, the Financial Accounting Standards Board (“FASB”) issued Accounting Standard Update (“ASU”) 2014-09,</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Revenue from</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Contracts with Customers (Topic 606)</w:t>
      </w:r>
      <w:r>
        <w:rPr>
          <w:rFonts w:ascii="Arial" w:cs="Arial" w:eastAsia="Arial" w:hAnsi="Arial"/>
          <w:sz w:val="17"/>
          <w:szCs w:val="17"/>
          <w:color w:val="auto"/>
        </w:rPr>
        <w:t>, which superseded nearly all existing revenue recognition guidance under GAAP. In addition, the FASB issued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ASUs further amending revenue recognition guidance, which includes ASU 2016-08, 2016-10, 2016-11, 2016-12 and 2016-20. The core principle of these ASUs (together “ASC 606”) is to allow for an entity to recognize revenue when it transfers promised goods or services to customers in an amount that reflects the consideration to which the company expects to be entitled in exchange for those goods or services. In addition, sales and other similar taxes we collect concurrently with revenue-producing activities are excluded from revenue. Also, we have elected to recognize the cost for freight and shipping when control of the product has transferred to the customer as an expense in cost of sales.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On January 1, 2018, we adopted ASC 606 as discussed in Note 2-Adoption of ASC 606.</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ASU 2016-15 – </w:t>
      </w:r>
      <w:r>
        <w:rPr>
          <w:rFonts w:ascii="Arial" w:cs="Arial" w:eastAsia="Arial" w:hAnsi="Arial"/>
          <w:sz w:val="18"/>
          <w:szCs w:val="18"/>
          <w:color w:val="auto"/>
        </w:rPr>
        <w:t>In August 2016, the FASB issued ASU No. 2016-15,</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This ASU made eight targeted changes to how cash receipts and cash payments are presented and classified in the statement of cash flows. On</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2018, we adopted ASU 2016-15 on a retrospective basis. The adoption of this ASU did not affect the presentation or classification of cash flow activities for the nine months ended September 30, 2017.</w:t>
      </w:r>
    </w:p>
    <w:p>
      <w:pPr>
        <w:spacing w:after="0" w:line="7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ASU 2016-18 – </w:t>
      </w:r>
      <w:r>
        <w:rPr>
          <w:rFonts w:ascii="Arial" w:cs="Arial" w:eastAsia="Arial" w:hAnsi="Arial"/>
          <w:sz w:val="17"/>
          <w:szCs w:val="17"/>
          <w:color w:val="auto"/>
        </w:rPr>
        <w:t>In November 2016, the FASB issued ASU No. 2016-18,</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Statement of Cash Flows (Topic 230): Restricted Cash, a consensus of the FASB</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Emerging Issues Task Force. </w:t>
      </w:r>
      <w:r>
        <w:rPr>
          <w:rFonts w:ascii="Arial" w:cs="Arial" w:eastAsia="Arial" w:hAnsi="Arial"/>
          <w:sz w:val="17"/>
          <w:szCs w:val="17"/>
          <w:color w:val="auto"/>
        </w:rPr>
        <w:t>The amendments in this ASU revise the guidance in Topic 230, Statement of Cash Flows, to require cash and cash equivalents</w:t>
      </w:r>
      <w:r>
        <w:rPr>
          <w:rFonts w:ascii="Arial" w:cs="Arial" w:eastAsia="Arial" w:hAnsi="Arial"/>
          <w:sz w:val="17"/>
          <w:szCs w:val="17"/>
          <w:i w:val="1"/>
          <w:iCs w:val="1"/>
          <w:color w:val="auto"/>
        </w:rPr>
        <w:t xml:space="preserve"> </w:t>
      </w:r>
      <w:r>
        <w:rPr>
          <w:rFonts w:ascii="Arial" w:cs="Arial" w:eastAsia="Arial" w:hAnsi="Arial"/>
          <w:sz w:val="17"/>
          <w:szCs w:val="17"/>
          <w:color w:val="auto"/>
        </w:rPr>
        <w:t>to include restricted cash (and restricted cash equivalents) on the statement of cash flows. On January 1, 2018, we adopted ASU 2016-18 on retrospective basis. The adoption of this ASU did not affect the presentation of cash flow activities for the nine months ended September 30, 2017.</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ASU 2018-05 </w:t>
      </w:r>
      <w:r>
        <w:rPr>
          <w:rFonts w:ascii="Arial" w:cs="Arial" w:eastAsia="Arial" w:hAnsi="Arial"/>
          <w:sz w:val="18"/>
          <w:szCs w:val="18"/>
          <w:color w:val="auto"/>
        </w:rPr>
        <w:t>– See Note 9 – Income Taxes.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b w:val="1"/>
          <w:bCs w:val="1"/>
          <w:color w:val="auto"/>
        </w:rPr>
        <w:t xml:space="preserve">ASU 2016-02 and related ASUs – </w:t>
      </w:r>
      <w:r>
        <w:rPr>
          <w:rFonts w:ascii="Arial" w:cs="Arial" w:eastAsia="Arial" w:hAnsi="Arial"/>
          <w:sz w:val="18"/>
          <w:szCs w:val="18"/>
          <w:color w:val="auto"/>
        </w:rPr>
        <w:t>In February 2016, the FASB issued ASU No. 2016-02,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Leases (Topic 842)</w:t>
      </w:r>
      <w:r>
        <w:rPr>
          <w:rFonts w:ascii="Arial" w:cs="Arial" w:eastAsia="Arial" w:hAnsi="Arial"/>
          <w:sz w:val="18"/>
          <w:szCs w:val="18"/>
          <w:color w:val="auto"/>
        </w:rPr>
        <w:t>, which supersedes the lease requirements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Topic 840, </w:t>
      </w:r>
      <w:r>
        <w:rPr>
          <w:rFonts w:ascii="Arial" w:cs="Arial" w:eastAsia="Arial" w:hAnsi="Arial"/>
          <w:sz w:val="18"/>
          <w:szCs w:val="18"/>
          <w:i w:val="1"/>
          <w:iCs w:val="1"/>
          <w:color w:val="auto"/>
        </w:rPr>
        <w:t>Leases</w:t>
      </w:r>
      <w:r>
        <w:rPr>
          <w:rFonts w:ascii="Arial" w:cs="Arial" w:eastAsia="Arial" w:hAnsi="Arial"/>
          <w:sz w:val="18"/>
          <w:szCs w:val="18"/>
          <w:color w:val="auto"/>
        </w:rPr>
        <w:t>. The objective of this ASU is to establish the principles that lessees and lessors shall apply to report information to users of financial statements about the amount, timing, and uncertainty of cash flows arising from a lease. Extensive quantitative and qualitative disclosures, including significant judgments made by management, will be required to provide greater insight into the extent of revenue and expense recognized and expected to be recognized from existing contracts. We plan to adopt this ASU using the additional transition method option provided by ASU 2018-11. Under this transition method, we will apply the new accounting guidance (including recognizing a cumulative-effect adjustment, if any) on January 1, 2019, the date we plan to adopt this ASU.</w:t>
      </w:r>
    </w:p>
    <w:p>
      <w:pPr>
        <w:spacing w:after="0" w:line="8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Consequently, our reporting for the comparative periods presented in the financial statements issued after the date of adoption would continue to be in accordance with current GAAP, including disclosures. In addition, this ASU and ASU 2018-01 provide for certain practical expedients that we are currently evaluating for possible election.</w:t>
      </w:r>
    </w:p>
    <w:p>
      <w:pPr>
        <w:spacing w:after="0" w:line="73"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Although we currently have a relatively small number of leases (most are currently classified as operating leases under which we are the lessee), we have obtained and continue to obtain information relating to our leases and other right-to-use arrangements for the purpose of evaluating the effect of this guidance on our consolidated financial statements and related disclosures. In addition, we continue to develop and test changes to our accounting system as the result of this ASU. We currently expect most of the effect of this guidance on our consolidated financial statements to impact our balance sheet presentation (increase the amount of our assets for the inclusion of right-of-use assets and increase the amount of our liabilities for the inclusion of the associated lease obligations). For 2017, expenses associated with our operating lease agreements, including month-to-month leases, were $9.8 million. As of December 31, 2017, our future minimum payments on operating lease agreements with initial or remaining terms of one year or more totaled $21.2 million.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Adoption of ASC 606</w:t>
      </w:r>
    </w:p>
    <w:p>
      <w:pPr>
        <w:spacing w:after="0" w:line="12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 xml:space="preserve">On January 1, 2018, we adopted ASC 606 using the “modified retrospective” adoption method, meaning the standard is applied only to the most current period presented in the financial statements. Furthermore, we elected to apply the standard only to those contracts which were not completed as of the date of the adoption. Results for reporting periods beginning on the date of adoption are presented under ASC 606, while prior period amounts have not been adjusted and continue to be reported in accordance with our historical accounting methodology pursuant to ASC 605, </w:t>
      </w:r>
      <w:r>
        <w:rPr>
          <w:rFonts w:ascii="Arial" w:cs="Arial" w:eastAsia="Arial" w:hAnsi="Arial"/>
          <w:sz w:val="16"/>
          <w:szCs w:val="16"/>
          <w:i w:val="1"/>
          <w:iCs w:val="1"/>
          <w:color w:val="auto"/>
        </w:rPr>
        <w:t>Revenue Recognition (“ASC 605”)</w:t>
      </w:r>
      <w:r>
        <w:rPr>
          <w:rFonts w:ascii="Arial" w:cs="Arial" w:eastAsia="Arial" w:hAnsi="Arial"/>
          <w:sz w:val="16"/>
          <w:szCs w:val="16"/>
          <w:color w:val="auto"/>
        </w:rPr>
        <w:t>.</w:t>
      </w:r>
    </w:p>
    <w:p>
      <w:pPr>
        <w:spacing w:after="0" w:line="4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Upon adoption, a cumulative effect adjustment was not required; however, the primary impact of adopting the new standard relates to the reduction in net sales, cost of sales and SG&amp;A resulting from the elimination of certain sales revenue involving products we do not control under ASC 606, including products (we do not control) associated with marketing services we are performing as an agent for our customers. The nature of these arrangements allows for other parties to maintain control of these products throughout the production process.</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line items in our condensed consolidated statement of operations for the current reporting periods have been provided to reflect both the adoption of ASC 606 as well as a comparative presentation in accordance with ASC 605 previously in affect:</w:t>
      </w:r>
    </w:p>
    <w:p>
      <w:pPr>
        <w:spacing w:after="0" w:line="184"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Three Months Ended September 30, 2018</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20" w:type="dxa"/>
            <w:vAlign w:val="bottom"/>
          </w:tcPr>
          <w:p>
            <w:pPr>
              <w:jc w:val="right"/>
              <w:ind w:right="319"/>
              <w:spacing w:after="0"/>
              <w:rPr>
                <w:sz w:val="20"/>
                <w:szCs w:val="20"/>
                <w:color w:val="auto"/>
              </w:rPr>
            </w:pPr>
            <w:r>
              <w:rPr>
                <w:rFonts w:ascii="Arial" w:cs="Arial" w:eastAsia="Arial" w:hAnsi="Arial"/>
                <w:sz w:val="16"/>
                <w:szCs w:val="16"/>
                <w:color w:val="auto"/>
              </w:rPr>
              <w:t>As</w:t>
            </w:r>
          </w:p>
        </w:tc>
        <w:tc>
          <w:tcPr>
            <w:tcW w:w="1360" w:type="dxa"/>
            <w:vAlign w:val="bottom"/>
            <w:gridSpan w:val="2"/>
          </w:tcPr>
          <w:p>
            <w:pPr>
              <w:ind w:left="100"/>
              <w:spacing w:after="0"/>
              <w:rPr>
                <w:sz w:val="20"/>
                <w:szCs w:val="20"/>
                <w:color w:val="auto"/>
              </w:rPr>
            </w:pPr>
            <w:r>
              <w:rPr>
                <w:rFonts w:ascii="Arial" w:cs="Arial" w:eastAsia="Arial" w:hAnsi="Arial"/>
                <w:sz w:val="16"/>
                <w:szCs w:val="16"/>
                <w:color w:val="auto"/>
              </w:rPr>
              <w:t>Balance without</w:t>
            </w:r>
          </w:p>
        </w:tc>
        <w:tc>
          <w:tcPr>
            <w:tcW w:w="1260" w:type="dxa"/>
            <w:vAlign w:val="bottom"/>
            <w:gridSpan w:val="3"/>
          </w:tcPr>
          <w:p>
            <w:pPr>
              <w:ind w:left="40"/>
              <w:spacing w:after="0"/>
              <w:rPr>
                <w:sz w:val="20"/>
                <w:szCs w:val="20"/>
                <w:color w:val="auto"/>
              </w:rPr>
            </w:pPr>
            <w:r>
              <w:rPr>
                <w:rFonts w:ascii="Arial" w:cs="Arial" w:eastAsia="Arial" w:hAnsi="Arial"/>
                <w:sz w:val="16"/>
                <w:szCs w:val="16"/>
                <w:color w:val="auto"/>
              </w:rPr>
              <w:t>Effect of Change</w:t>
            </w:r>
          </w:p>
        </w:tc>
        <w:tc>
          <w:tcPr>
            <w:tcW w:w="580" w:type="dxa"/>
            <w:vAlign w:val="bottom"/>
          </w:tcPr>
          <w:p>
            <w:pPr>
              <w:spacing w:after="0"/>
              <w:rPr>
                <w:sz w:val="17"/>
                <w:szCs w:val="17"/>
                <w:color w:val="auto"/>
              </w:rPr>
            </w:pPr>
          </w:p>
        </w:tc>
      </w:tr>
      <w:tr>
        <w:trPr>
          <w:trHeight w:val="233"/>
        </w:trPr>
        <w:tc>
          <w:tcPr>
            <w:tcW w:w="5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w w:val="94"/>
              </w:rPr>
              <w:t>Reported</w:t>
            </w:r>
          </w:p>
        </w:tc>
        <w:tc>
          <w:tcPr>
            <w:tcW w:w="1360" w:type="dxa"/>
            <w:vAlign w:val="bottom"/>
            <w:gridSpan w:val="2"/>
          </w:tcPr>
          <w:p>
            <w:pPr>
              <w:ind w:left="120"/>
              <w:spacing w:after="0"/>
              <w:rPr>
                <w:sz w:val="20"/>
                <w:szCs w:val="20"/>
                <w:color w:val="auto"/>
              </w:rPr>
            </w:pPr>
            <w:r>
              <w:rPr>
                <w:rFonts w:ascii="Arial" w:cs="Arial" w:eastAsia="Arial" w:hAnsi="Arial"/>
                <w:sz w:val="16"/>
                <w:szCs w:val="16"/>
                <w:color w:val="auto"/>
              </w:rPr>
              <w:t>adoption of 606</w:t>
            </w: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Higher/(Lower)</w:t>
            </w:r>
          </w:p>
        </w:tc>
        <w:tc>
          <w:tcPr>
            <w:tcW w:w="580" w:type="dxa"/>
            <w:vAlign w:val="bottom"/>
          </w:tcPr>
          <w:p>
            <w:pPr>
              <w:spacing w:after="0"/>
              <w:rPr>
                <w:sz w:val="20"/>
                <w:szCs w:val="20"/>
                <w:color w:val="auto"/>
              </w:rPr>
            </w:pPr>
          </w:p>
        </w:tc>
      </w:tr>
      <w:tr>
        <w:trPr>
          <w:trHeight w:val="220"/>
        </w:trPr>
        <w:tc>
          <w:tcPr>
            <w:tcW w:w="5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(In Thousands)</w:t>
            </w: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6"/>
        </w:trPr>
        <w:tc>
          <w:tcPr>
            <w:tcW w:w="580" w:type="dxa"/>
            <w:vAlign w:val="bottom"/>
          </w:tcPr>
          <w:p>
            <w:pPr>
              <w:spacing w:after="0"/>
              <w:rPr>
                <w:sz w:val="20"/>
                <w:szCs w:val="20"/>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358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$ 79,781</w:t>
            </w:r>
          </w:p>
        </w:tc>
        <w:tc>
          <w:tcPr>
            <w:tcW w:w="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95,560</w:t>
            </w:r>
          </w:p>
        </w:tc>
        <w:tc>
          <w:tcPr>
            <w:tcW w:w="36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(15,779)</w:t>
            </w:r>
          </w:p>
        </w:tc>
        <w:tc>
          <w:tcPr>
            <w:tcW w:w="58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Cost of sales</w:t>
            </w:r>
          </w:p>
        </w:tc>
        <w:tc>
          <w:tcPr>
            <w:tcW w:w="3580" w:type="dxa"/>
            <w:vAlign w:val="bottom"/>
            <w:gridSpan w:val="2"/>
          </w:tcPr>
          <w:p>
            <w:pPr>
              <w:jc w:val="right"/>
              <w:ind w:right="59"/>
              <w:spacing w:after="0"/>
              <w:rPr>
                <w:sz w:val="20"/>
                <w:szCs w:val="20"/>
                <w:color w:val="auto"/>
              </w:rPr>
            </w:pPr>
            <w:r>
              <w:rPr>
                <w:rFonts w:ascii="Arial" w:cs="Arial" w:eastAsia="Arial" w:hAnsi="Arial"/>
                <w:sz w:val="18"/>
                <w:szCs w:val="18"/>
                <w:color w:val="auto"/>
              </w:rPr>
              <w:t>89,523</w:t>
            </w:r>
          </w:p>
        </w:tc>
        <w:tc>
          <w:tcPr>
            <w:tcW w:w="260" w:type="dxa"/>
            <w:vAlign w:val="bottom"/>
          </w:tcPr>
          <w:p>
            <w:pPr>
              <w:spacing w:after="0"/>
              <w:rPr>
                <w:sz w:val="19"/>
                <w:szCs w:val="19"/>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105,157</w:t>
            </w: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(15,634)</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Gross profit (loss)</w:t>
            </w:r>
          </w:p>
        </w:tc>
        <w:tc>
          <w:tcPr>
            <w:tcW w:w="3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(9,742)</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(9,597)</w:t>
            </w: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(145)</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3580" w:type="dxa"/>
            <w:vAlign w:val="bottom"/>
            <w:gridSpan w:val="2"/>
          </w:tcPr>
          <w:p>
            <w:pPr>
              <w:jc w:val="right"/>
              <w:ind w:right="59"/>
              <w:spacing w:after="0"/>
              <w:rPr>
                <w:sz w:val="20"/>
                <w:szCs w:val="20"/>
                <w:color w:val="auto"/>
              </w:rPr>
            </w:pPr>
            <w:r>
              <w:rPr>
                <w:rFonts w:ascii="Arial" w:cs="Arial" w:eastAsia="Arial" w:hAnsi="Arial"/>
                <w:sz w:val="18"/>
                <w:szCs w:val="18"/>
                <w:color w:val="auto"/>
              </w:rPr>
              <w:t>9,080</w:t>
            </w:r>
          </w:p>
        </w:tc>
        <w:tc>
          <w:tcPr>
            <w:tcW w:w="260" w:type="dxa"/>
            <w:vAlign w:val="bottom"/>
          </w:tcPr>
          <w:p>
            <w:pPr>
              <w:spacing w:after="0"/>
              <w:rPr>
                <w:sz w:val="19"/>
                <w:szCs w:val="19"/>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9,225</w:t>
            </w: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3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(16,557)</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(16,557)</w:t>
            </w: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432"/>
        </w:trPr>
        <w:tc>
          <w:tcPr>
            <w:tcW w:w="5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760" w:type="dxa"/>
            <w:vAlign w:val="bottom"/>
          </w:tcPr>
          <w:p>
            <w:pPr>
              <w:jc w:val="right"/>
              <w:ind w:right="1530"/>
              <w:spacing w:after="0"/>
              <w:rPr>
                <w:sz w:val="20"/>
                <w:szCs w:val="20"/>
                <w:color w:val="auto"/>
              </w:rPr>
            </w:pPr>
            <w:r>
              <w:rPr>
                <w:rFonts w:ascii="Arial" w:cs="Arial" w:eastAsia="Arial" w:hAnsi="Arial"/>
                <w:sz w:val="18"/>
                <w:szCs w:val="18"/>
                <w:color w:val="auto"/>
              </w:rPr>
              <w:t>10</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Adoption of ASC 606 (continued)</w:t>
      </w:r>
    </w:p>
    <w:p>
      <w:pPr>
        <w:spacing w:after="0" w:line="200" w:lineRule="exact"/>
        <w:rPr>
          <w:sz w:val="20"/>
          <w:szCs w:val="20"/>
          <w:color w:val="auto"/>
        </w:rPr>
      </w:pPr>
    </w:p>
    <w:p>
      <w:pPr>
        <w:spacing w:after="0" w:line="259"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Nine Months Ended September 30, 2018</w:t>
      </w:r>
    </w:p>
    <w:p>
      <w:pPr>
        <w:spacing w:after="0" w:line="41" w:lineRule="exact"/>
        <w:rPr>
          <w:sz w:val="20"/>
          <w:szCs w:val="20"/>
          <w:color w:val="auto"/>
        </w:rPr>
      </w:pPr>
    </w:p>
    <w:tbl>
      <w:tblPr>
        <w:tblLayout w:type="fixed"/>
        <w:tblInd w:w="580" w:type="dxa"/>
        <w:tblCellMar>
          <w:top w:w="0" w:type="dxa"/>
          <w:left w:w="0" w:type="dxa"/>
          <w:bottom w:w="0" w:type="dxa"/>
          <w:right w:w="0" w:type="dxa"/>
        </w:tblCellMar>
      </w:tblPr>
      <w:tr>
        <w:trPr>
          <w:trHeight w:val="206"/>
        </w:trPr>
        <w:tc>
          <w:tcPr>
            <w:tcW w:w="49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40" w:type="dxa"/>
            <w:vAlign w:val="bottom"/>
          </w:tcPr>
          <w:p>
            <w:pPr>
              <w:jc w:val="right"/>
              <w:ind w:right="339"/>
              <w:spacing w:after="0"/>
              <w:rPr>
                <w:sz w:val="20"/>
                <w:szCs w:val="20"/>
                <w:color w:val="auto"/>
              </w:rPr>
            </w:pPr>
            <w:r>
              <w:rPr>
                <w:rFonts w:ascii="Arial" w:cs="Arial" w:eastAsia="Arial" w:hAnsi="Arial"/>
                <w:sz w:val="16"/>
                <w:szCs w:val="16"/>
                <w:color w:val="auto"/>
              </w:rPr>
              <w:t>As</w:t>
            </w:r>
          </w:p>
        </w:tc>
        <w:tc>
          <w:tcPr>
            <w:tcW w:w="1360" w:type="dxa"/>
            <w:vAlign w:val="bottom"/>
            <w:gridSpan w:val="2"/>
          </w:tcPr>
          <w:p>
            <w:pPr>
              <w:ind w:left="100"/>
              <w:spacing w:after="0"/>
              <w:rPr>
                <w:sz w:val="20"/>
                <w:szCs w:val="20"/>
                <w:color w:val="auto"/>
              </w:rPr>
            </w:pPr>
            <w:r>
              <w:rPr>
                <w:rFonts w:ascii="Arial" w:cs="Arial" w:eastAsia="Arial" w:hAnsi="Arial"/>
                <w:sz w:val="16"/>
                <w:szCs w:val="16"/>
                <w:color w:val="auto"/>
              </w:rPr>
              <w:t>Balance without</w:t>
            </w:r>
          </w:p>
        </w:tc>
        <w:tc>
          <w:tcPr>
            <w:tcW w:w="1260" w:type="dxa"/>
            <w:vAlign w:val="bottom"/>
            <w:gridSpan w:val="3"/>
          </w:tcPr>
          <w:p>
            <w:pPr>
              <w:ind w:left="40"/>
              <w:spacing w:after="0"/>
              <w:rPr>
                <w:sz w:val="20"/>
                <w:szCs w:val="20"/>
                <w:color w:val="auto"/>
              </w:rPr>
            </w:pPr>
            <w:r>
              <w:rPr>
                <w:rFonts w:ascii="Arial" w:cs="Arial" w:eastAsia="Arial" w:hAnsi="Arial"/>
                <w:sz w:val="16"/>
                <w:szCs w:val="16"/>
                <w:color w:val="auto"/>
              </w:rPr>
              <w:t>Effect of Change</w:t>
            </w:r>
          </w:p>
        </w:tc>
      </w:tr>
      <w:tr>
        <w:trPr>
          <w:trHeight w:val="233"/>
        </w:trPr>
        <w:tc>
          <w:tcPr>
            <w:tcW w:w="49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w w:val="94"/>
              </w:rPr>
              <w:t>Reported</w:t>
            </w:r>
          </w:p>
        </w:tc>
        <w:tc>
          <w:tcPr>
            <w:tcW w:w="1360" w:type="dxa"/>
            <w:vAlign w:val="bottom"/>
            <w:gridSpan w:val="2"/>
          </w:tcPr>
          <w:p>
            <w:pPr>
              <w:ind w:left="120"/>
              <w:spacing w:after="0"/>
              <w:rPr>
                <w:sz w:val="20"/>
                <w:szCs w:val="20"/>
                <w:color w:val="auto"/>
              </w:rPr>
            </w:pPr>
            <w:r>
              <w:rPr>
                <w:rFonts w:ascii="Arial" w:cs="Arial" w:eastAsia="Arial" w:hAnsi="Arial"/>
                <w:sz w:val="16"/>
                <w:szCs w:val="16"/>
                <w:color w:val="auto"/>
              </w:rPr>
              <w:t>adoption of 606</w:t>
            </w: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Higher/(Lower)</w:t>
            </w:r>
          </w:p>
        </w:tc>
      </w:tr>
      <w:tr>
        <w:trPr>
          <w:trHeight w:val="220"/>
        </w:trPr>
        <w:tc>
          <w:tcPr>
            <w:tcW w:w="49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(In Thousands)</w:t>
            </w: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68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$ 283,430</w:t>
            </w:r>
          </w:p>
        </w:tc>
        <w:tc>
          <w:tcPr>
            <w:tcW w:w="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332,602</w:t>
            </w:r>
          </w:p>
        </w:tc>
        <w:tc>
          <w:tcPr>
            <w:tcW w:w="36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(49,172)</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Cost of sales</w:t>
            </w:r>
          </w:p>
        </w:tc>
        <w:tc>
          <w:tcPr>
            <w:tcW w:w="2680" w:type="dxa"/>
            <w:vAlign w:val="bottom"/>
            <w:gridSpan w:val="2"/>
          </w:tcPr>
          <w:p>
            <w:pPr>
              <w:jc w:val="right"/>
              <w:ind w:right="59"/>
              <w:spacing w:after="0"/>
              <w:rPr>
                <w:sz w:val="20"/>
                <w:szCs w:val="20"/>
                <w:color w:val="auto"/>
              </w:rPr>
            </w:pPr>
            <w:r>
              <w:rPr>
                <w:rFonts w:ascii="Arial" w:cs="Arial" w:eastAsia="Arial" w:hAnsi="Arial"/>
                <w:sz w:val="18"/>
                <w:szCs w:val="18"/>
                <w:color w:val="auto"/>
              </w:rPr>
              <w:t>280,006</w:t>
            </w:r>
          </w:p>
        </w:tc>
        <w:tc>
          <w:tcPr>
            <w:tcW w:w="260" w:type="dxa"/>
            <w:vAlign w:val="bottom"/>
          </w:tcPr>
          <w:p>
            <w:pPr>
              <w:spacing w:after="0"/>
              <w:rPr>
                <w:sz w:val="19"/>
                <w:szCs w:val="19"/>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328,727</w:t>
            </w: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(48,721)</w:t>
            </w: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68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3,424</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3,875</w:t>
            </w: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(451)</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2680" w:type="dxa"/>
            <w:vAlign w:val="bottom"/>
            <w:gridSpan w:val="2"/>
          </w:tcPr>
          <w:p>
            <w:pPr>
              <w:jc w:val="right"/>
              <w:ind w:right="59"/>
              <w:spacing w:after="0"/>
              <w:rPr>
                <w:sz w:val="20"/>
                <w:szCs w:val="20"/>
                <w:color w:val="auto"/>
              </w:rPr>
            </w:pPr>
            <w:r>
              <w:rPr>
                <w:rFonts w:ascii="Arial" w:cs="Arial" w:eastAsia="Arial" w:hAnsi="Arial"/>
                <w:sz w:val="18"/>
                <w:szCs w:val="18"/>
                <w:color w:val="auto"/>
              </w:rPr>
              <w:t>25,780</w:t>
            </w:r>
          </w:p>
        </w:tc>
        <w:tc>
          <w:tcPr>
            <w:tcW w:w="260" w:type="dxa"/>
            <w:vAlign w:val="bottom"/>
          </w:tcPr>
          <w:p>
            <w:pPr>
              <w:spacing w:after="0"/>
              <w:rPr>
                <w:sz w:val="19"/>
                <w:szCs w:val="19"/>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26,231</w:t>
            </w: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(451)</w:t>
            </w: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(20,542)</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(20,542)</w:t>
            </w: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Except for the change in accounting policies for revenue recognition as a result of adopting ASC 606, there have been no changes to our significant accounting policies as described in the 2017 Form 10-K that had a material impact on our condensed consolidated financial statements and related notes.</w:t>
      </w:r>
    </w:p>
    <w:p>
      <w:pPr>
        <w:spacing w:after="0" w:line="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mentioned in Note 1, we primarily derive our revenues from the sales of various chemical products. The following tables present our net sales disaggregated by revenue source: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6"/>
          </w:tcPr>
          <w:p>
            <w:pPr>
              <w:jc w:val="center"/>
              <w:ind w:right="420"/>
              <w:spacing w:after="0"/>
              <w:rPr>
                <w:sz w:val="20"/>
                <w:szCs w:val="20"/>
                <w:color w:val="auto"/>
              </w:rPr>
            </w:pPr>
            <w:r>
              <w:rPr>
                <w:rFonts w:ascii="Arial" w:cs="Arial" w:eastAsia="Arial" w:hAnsi="Arial"/>
                <w:sz w:val="18"/>
                <w:szCs w:val="18"/>
                <w:color w:val="auto"/>
                <w:w w:val="90"/>
              </w:rPr>
              <w:t>Three Months Ended</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gridSpan w:val="4"/>
          </w:tcPr>
          <w:p>
            <w:pPr>
              <w:jc w:val="center"/>
              <w:ind w:left="631"/>
              <w:spacing w:after="0"/>
              <w:rPr>
                <w:sz w:val="20"/>
                <w:szCs w:val="20"/>
                <w:color w:val="auto"/>
              </w:rPr>
            </w:pPr>
            <w:r>
              <w:rPr>
                <w:rFonts w:ascii="Arial" w:cs="Arial" w:eastAsia="Arial" w:hAnsi="Arial"/>
                <w:sz w:val="18"/>
                <w:szCs w:val="18"/>
                <w:color w:val="auto"/>
                <w:w w:val="88"/>
              </w:rPr>
              <w:t>September 30,</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4"/>
              </w:rPr>
              <w:t>2017</w:t>
            </w:r>
            <w:r>
              <w:rPr>
                <w:rFonts w:ascii="Arial" w:cs="Arial" w:eastAsia="Arial" w:hAnsi="Arial"/>
                <w:sz w:val="14"/>
                <w:szCs w:val="14"/>
                <w:color w:val="auto"/>
                <w:w w:val="94"/>
              </w:rPr>
              <w:t>(a)</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40" w:type="dxa"/>
            <w:vAlign w:val="bottom"/>
            <w:gridSpan w:val="6"/>
          </w:tcPr>
          <w:p>
            <w:pPr>
              <w:jc w:val="center"/>
              <w:ind w:right="440"/>
              <w:spacing w:after="0"/>
              <w:rPr>
                <w:sz w:val="20"/>
                <w:szCs w:val="20"/>
                <w:color w:val="auto"/>
              </w:rPr>
            </w:pPr>
            <w:r>
              <w:rPr>
                <w:rFonts w:ascii="Arial" w:cs="Arial" w:eastAsia="Arial" w:hAnsi="Arial"/>
                <w:sz w:val="16"/>
                <w:szCs w:val="16"/>
                <w:color w:val="auto"/>
                <w:w w:val="92"/>
              </w:rPr>
              <w:t>(Dollars In Thousands)</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Agricultural products</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35,998</w:t>
            </w:r>
          </w:p>
        </w:tc>
        <w:tc>
          <w:tcPr>
            <w:tcW w:w="240" w:type="dxa"/>
            <w:vAlign w:val="bottom"/>
          </w:tcPr>
          <w:p>
            <w:pPr>
              <w:spacing w:after="0"/>
              <w:rPr>
                <w:sz w:val="19"/>
                <w:szCs w:val="19"/>
                <w:color w:val="auto"/>
              </w:rPr>
            </w:pPr>
          </w:p>
        </w:tc>
        <w:tc>
          <w:tcPr>
            <w:tcW w:w="420" w:type="dxa"/>
            <w:vAlign w:val="bottom"/>
            <w:gridSpan w:val="2"/>
          </w:tcPr>
          <w:p>
            <w:pPr>
              <w:jc w:val="right"/>
              <w:ind w:right="24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31,154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acids and other chemical products</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34,788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47,450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Mining products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8,995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10,861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products</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2,925</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960" w:type="dxa"/>
            <w:vAlign w:val="bottom"/>
          </w:tcPr>
          <w:p>
            <w:pPr>
              <w:ind w:left="500"/>
              <w:spacing w:after="0"/>
              <w:rPr>
                <w:sz w:val="20"/>
                <w:szCs w:val="20"/>
                <w:color w:val="auto"/>
              </w:rPr>
            </w:pPr>
            <w:r>
              <w:rPr>
                <w:rFonts w:ascii="Arial" w:cs="Arial" w:eastAsia="Arial" w:hAnsi="Arial"/>
                <w:sz w:val="18"/>
                <w:szCs w:val="18"/>
                <w:color w:val="auto"/>
              </w:rPr>
              <w:t>Total net sales</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79,781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92,390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gridSpan w:val="6"/>
          </w:tcPr>
          <w:p>
            <w:pPr>
              <w:jc w:val="center"/>
              <w:ind w:right="440"/>
              <w:spacing w:after="0"/>
              <w:rPr>
                <w:sz w:val="20"/>
                <w:szCs w:val="20"/>
                <w:color w:val="auto"/>
              </w:rPr>
            </w:pPr>
            <w:r>
              <w:rPr>
                <w:rFonts w:ascii="Arial" w:cs="Arial" w:eastAsia="Arial" w:hAnsi="Arial"/>
                <w:sz w:val="18"/>
                <w:szCs w:val="18"/>
                <w:color w:val="auto"/>
                <w:w w:val="92"/>
              </w:rPr>
              <w:t>Nine Months Ended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gridSpan w:val="4"/>
          </w:tcPr>
          <w:p>
            <w:pPr>
              <w:jc w:val="center"/>
              <w:ind w:left="631"/>
              <w:spacing w:after="0"/>
              <w:rPr>
                <w:sz w:val="20"/>
                <w:szCs w:val="20"/>
                <w:color w:val="auto"/>
              </w:rPr>
            </w:pPr>
            <w:r>
              <w:rPr>
                <w:rFonts w:ascii="Arial" w:cs="Arial" w:eastAsia="Arial" w:hAnsi="Arial"/>
                <w:sz w:val="18"/>
                <w:szCs w:val="18"/>
                <w:color w:val="auto"/>
                <w:w w:val="88"/>
              </w:rPr>
              <w:t>September 30,</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4"/>
              </w:rPr>
              <w:t>2017</w:t>
            </w:r>
            <w:r>
              <w:rPr>
                <w:rFonts w:ascii="Arial" w:cs="Arial" w:eastAsia="Arial" w:hAnsi="Arial"/>
                <w:sz w:val="14"/>
                <w:szCs w:val="14"/>
                <w:color w:val="auto"/>
                <w:w w:val="94"/>
              </w:rPr>
              <w:t>(a)</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40" w:type="dxa"/>
            <w:vAlign w:val="bottom"/>
            <w:gridSpan w:val="6"/>
          </w:tcPr>
          <w:p>
            <w:pPr>
              <w:jc w:val="center"/>
              <w:ind w:right="440"/>
              <w:spacing w:after="0"/>
              <w:rPr>
                <w:sz w:val="20"/>
                <w:szCs w:val="20"/>
                <w:color w:val="auto"/>
              </w:rPr>
            </w:pPr>
            <w:r>
              <w:rPr>
                <w:rFonts w:ascii="Arial" w:cs="Arial" w:eastAsia="Arial" w:hAnsi="Arial"/>
                <w:sz w:val="16"/>
                <w:szCs w:val="16"/>
                <w:color w:val="auto"/>
                <w:w w:val="92"/>
              </w:rPr>
              <w:t>(Dollars In Thousands)</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Agricultural products</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146,291</w:t>
            </w:r>
          </w:p>
        </w:tc>
        <w:tc>
          <w:tcPr>
            <w:tcW w:w="240" w:type="dxa"/>
            <w:vAlign w:val="bottom"/>
          </w:tcPr>
          <w:p>
            <w:pPr>
              <w:spacing w:after="0"/>
              <w:rPr>
                <w:sz w:val="19"/>
                <w:szCs w:val="19"/>
                <w:color w:val="auto"/>
              </w:rPr>
            </w:pPr>
          </w:p>
        </w:tc>
        <w:tc>
          <w:tcPr>
            <w:tcW w:w="420" w:type="dxa"/>
            <w:vAlign w:val="bottom"/>
            <w:gridSpan w:val="2"/>
          </w:tcPr>
          <w:p>
            <w:pPr>
              <w:jc w:val="right"/>
              <w:ind w:right="24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151,653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acids and other chemical products</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105,700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149,546</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Mining products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31,439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28,821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products</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8,567</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960" w:type="dxa"/>
            <w:vAlign w:val="bottom"/>
          </w:tcPr>
          <w:p>
            <w:pPr>
              <w:ind w:left="500"/>
              <w:spacing w:after="0"/>
              <w:rPr>
                <w:sz w:val="20"/>
                <w:szCs w:val="20"/>
                <w:color w:val="auto"/>
              </w:rPr>
            </w:pPr>
            <w:r>
              <w:rPr>
                <w:rFonts w:ascii="Arial" w:cs="Arial" w:eastAsia="Arial" w:hAnsi="Arial"/>
                <w:sz w:val="18"/>
                <w:szCs w:val="18"/>
                <w:color w:val="auto"/>
              </w:rPr>
              <w:t>Total net sales</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283,430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338,587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ind w:left="380"/>
              <w:spacing w:after="0"/>
              <w:rPr>
                <w:sz w:val="20"/>
                <w:szCs w:val="20"/>
                <w:color w:val="auto"/>
              </w:rPr>
            </w:pPr>
            <w:r>
              <w:rPr>
                <w:rFonts w:ascii="Arial" w:cs="Arial" w:eastAsia="Arial" w:hAnsi="Arial"/>
                <w:sz w:val="18"/>
                <w:szCs w:val="18"/>
                <w:color w:val="auto"/>
                <w:w w:val="93"/>
              </w:rPr>
              <w:t>(</w:t>
            </w:r>
            <w:r>
              <w:rPr>
                <w:rFonts w:ascii="Arial" w:cs="Arial" w:eastAsia="Arial" w:hAnsi="Arial"/>
                <w:sz w:val="16"/>
                <w:szCs w:val="16"/>
                <w:color w:val="auto"/>
                <w:w w:val="93"/>
              </w:rPr>
              <w:t>a)   As noted above, prior period amounts have not been adjusted under the modified retrospective method.</w:t>
            </w: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 Recognition and Performance Obligations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40" w:type="dxa"/>
            <w:vAlign w:val="bottom"/>
            <w:gridSpan w:val="2"/>
          </w:tcPr>
          <w:p>
            <w:pPr>
              <w:spacing w:after="0"/>
              <w:rPr>
                <w:sz w:val="20"/>
                <w:szCs w:val="20"/>
                <w:color w:val="auto"/>
              </w:rPr>
            </w:pPr>
            <w:r>
              <w:rPr>
                <w:rFonts w:ascii="Arial" w:cs="Arial" w:eastAsia="Arial" w:hAnsi="Arial"/>
                <w:sz w:val="18"/>
                <w:szCs w:val="18"/>
                <w:color w:val="auto"/>
              </w:rPr>
              <w:t>We determine revenue recognition through the following steps: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tcPr>
          <w:p>
            <w:pPr>
              <w:ind w:left="520"/>
              <w:spacing w:after="0"/>
              <w:rPr>
                <w:sz w:val="20"/>
                <w:szCs w:val="20"/>
                <w:color w:val="auto"/>
              </w:rPr>
            </w:pPr>
            <w:r>
              <w:rPr>
                <w:rFonts w:ascii="Arial" w:cs="Arial" w:eastAsia="Arial" w:hAnsi="Arial"/>
                <w:sz w:val="16"/>
                <w:szCs w:val="16"/>
                <w:color w:val="auto"/>
                <w:w w:val="70"/>
              </w:rPr>
              <w:t>•</w:t>
            </w:r>
          </w:p>
        </w:tc>
        <w:tc>
          <w:tcPr>
            <w:tcW w:w="6960" w:type="dxa"/>
            <w:vAlign w:val="bottom"/>
          </w:tcPr>
          <w:p>
            <w:pPr>
              <w:ind w:left="460"/>
              <w:spacing w:after="0"/>
              <w:rPr>
                <w:sz w:val="20"/>
                <w:szCs w:val="20"/>
                <w:color w:val="auto"/>
              </w:rPr>
            </w:pPr>
            <w:r>
              <w:rPr>
                <w:rFonts w:ascii="Arial" w:cs="Arial" w:eastAsia="Arial" w:hAnsi="Arial"/>
                <w:sz w:val="18"/>
                <w:szCs w:val="18"/>
                <w:color w:val="auto"/>
              </w:rPr>
              <w:t>Identification of the performance obligations in the contract;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tcPr>
          <w:p>
            <w:pPr>
              <w:ind w:left="520"/>
              <w:spacing w:after="0"/>
              <w:rPr>
                <w:sz w:val="20"/>
                <w:szCs w:val="20"/>
                <w:color w:val="auto"/>
              </w:rPr>
            </w:pPr>
            <w:r>
              <w:rPr>
                <w:rFonts w:ascii="Arial" w:cs="Arial" w:eastAsia="Arial" w:hAnsi="Arial"/>
                <w:sz w:val="16"/>
                <w:szCs w:val="16"/>
                <w:color w:val="auto"/>
                <w:w w:val="70"/>
              </w:rPr>
              <w:t>•</w:t>
            </w:r>
          </w:p>
        </w:tc>
        <w:tc>
          <w:tcPr>
            <w:tcW w:w="6960" w:type="dxa"/>
            <w:vAlign w:val="bottom"/>
          </w:tcPr>
          <w:p>
            <w:pPr>
              <w:ind w:left="460"/>
              <w:spacing w:after="0"/>
              <w:rPr>
                <w:sz w:val="20"/>
                <w:szCs w:val="20"/>
                <w:color w:val="auto"/>
              </w:rPr>
            </w:pPr>
            <w:r>
              <w:rPr>
                <w:rFonts w:ascii="Arial" w:cs="Arial" w:eastAsia="Arial" w:hAnsi="Arial"/>
                <w:sz w:val="18"/>
                <w:szCs w:val="18"/>
                <w:color w:val="auto"/>
              </w:rPr>
              <w:t>Determination of the transaction price;</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tcPr>
          <w:p>
            <w:pPr>
              <w:ind w:left="520"/>
              <w:spacing w:after="0"/>
              <w:rPr>
                <w:sz w:val="20"/>
                <w:szCs w:val="20"/>
                <w:color w:val="auto"/>
              </w:rPr>
            </w:pPr>
            <w:r>
              <w:rPr>
                <w:rFonts w:ascii="Arial" w:cs="Arial" w:eastAsia="Arial" w:hAnsi="Arial"/>
                <w:sz w:val="16"/>
                <w:szCs w:val="16"/>
                <w:color w:val="auto"/>
                <w:w w:val="70"/>
              </w:rPr>
              <w:t>•</w:t>
            </w:r>
          </w:p>
        </w:tc>
        <w:tc>
          <w:tcPr>
            <w:tcW w:w="6960" w:type="dxa"/>
            <w:vAlign w:val="bottom"/>
          </w:tcPr>
          <w:p>
            <w:pPr>
              <w:ind w:left="460"/>
              <w:spacing w:after="0"/>
              <w:rPr>
                <w:sz w:val="20"/>
                <w:szCs w:val="20"/>
                <w:color w:val="auto"/>
              </w:rPr>
            </w:pPr>
            <w:r>
              <w:rPr>
                <w:rFonts w:ascii="Arial" w:cs="Arial" w:eastAsia="Arial" w:hAnsi="Arial"/>
                <w:sz w:val="18"/>
                <w:szCs w:val="18"/>
                <w:color w:val="auto"/>
                <w:w w:val="96"/>
              </w:rPr>
              <w:t>Allocation of the transaction price to the performance obligations in the contract; and</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tcPr>
          <w:p>
            <w:pPr>
              <w:ind w:left="520"/>
              <w:spacing w:after="0"/>
              <w:rPr>
                <w:sz w:val="20"/>
                <w:szCs w:val="20"/>
                <w:color w:val="auto"/>
              </w:rPr>
            </w:pPr>
            <w:r>
              <w:rPr>
                <w:rFonts w:ascii="Arial" w:cs="Arial" w:eastAsia="Arial" w:hAnsi="Arial"/>
                <w:sz w:val="16"/>
                <w:szCs w:val="16"/>
                <w:color w:val="auto"/>
                <w:w w:val="70"/>
              </w:rPr>
              <w:t>•</w:t>
            </w:r>
          </w:p>
        </w:tc>
        <w:tc>
          <w:tcPr>
            <w:tcW w:w="6960" w:type="dxa"/>
            <w:vAlign w:val="bottom"/>
          </w:tcPr>
          <w:p>
            <w:pPr>
              <w:ind w:left="460"/>
              <w:spacing w:after="0"/>
              <w:rPr>
                <w:sz w:val="20"/>
                <w:szCs w:val="20"/>
                <w:color w:val="auto"/>
              </w:rPr>
            </w:pPr>
            <w:r>
              <w:rPr>
                <w:rFonts w:ascii="Arial" w:cs="Arial" w:eastAsia="Arial" w:hAnsi="Arial"/>
                <w:sz w:val="18"/>
                <w:szCs w:val="18"/>
                <w:color w:val="auto"/>
              </w:rPr>
              <w:t>Recognition of revenue when, or as, we satisfy a performance obligation.</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6960" w:type="dxa"/>
            <w:vAlign w:val="bottom"/>
          </w:tcPr>
          <w:p>
            <w:pPr>
              <w:ind w:left="50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6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Adoption of ASC 606 (continued)</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the unit of account in ASC 606. A contract’s transaction price is allocated to each distinct performance obligation and recognized as revenue when, or as, the performance obligation is satisfied. Generally, satisfaction occurs when control of the promised goods is transferred to the customer or as services are rendered or completed in exchange for consideration in an amount for which we expect to be entitled. Generally, control is transferred when the preparation for shipment of the product to a customer has been completed. Most of our contracts contain a single performance obligation with the promise to transfer a specific product. When the terms of a contract include the transfer of multiple products, each distinct product is identified as a separate performance obligation.</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our revenue is recognized from performance obligations satisfied at a point in time, however, we have a performance obligation to perform certain services that are satisfied over a period of time. Revenue is recognized from this type of performance obligation as services are rendered and are based on the amount for which we have a right to invoice, which reflects the amount of expected consideration that corresponds directly with the value of the services performed.</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only offer assurance-type warranties for our products to meet specifications defined by our contracts with customers, and do not have any material performance obligations related to warranties, return, or refunds.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Constraints and Variable Consideration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most of our contracts within the scope of ASC 606, the transaction price from the inception of a contract is constrained to a short period of time (generally one month) as these contracts contain terms with variable consideration related to both price and quantity. These contract prices are often based on commodity indexes (such as NYMEX) published monthly and the contract quantities are typically based on estimated ranges. The quantities become fixed and determinable over a period of time as each sale order is received from the customer.</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nature of our contracts also gives rise to other types of variable consideration, including volume discounts and rebates, make-whole provisions, other pricing concessions, and short-fall charges. We estimate these amounts based on the expected amount to be provided to customers, which result in a transaction price adjustment reducing revenue (net sales) with the offset increasing contract or refund liabilities. These estimates are based on historical experience, anticipated performance and our best judgment at the time. We reassess these estimates on a quarterly basis.</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aforementioned constraints over transaction prices in conjunction with the variable consideration included in our material contracts prevent a practical assignment of a specific dollar amount to performance obligations at the beginning and end of the period. Therefore, we have applied the variable consideration allocation exception.</w:t>
      </w:r>
    </w:p>
    <w:p>
      <w:pPr>
        <w:spacing w:after="0" w:line="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Future revenues to be earned from the satisfaction of performance obligations will be recognized when control transfers as goods are loaded and weighed or services are performed over the remaining duration of our contracts. Although most of our contracts have an original expected duration of one year or less, for our contracts with a duration greater than one year, the average remaining expected duration was approximately 14 months at September 30,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contract assets consist of receivables from contracts with customers. Our net accounts receivable (excluding the receivable discussed in Note 13) primarily relate to these contract assets and are presented in our condensed consolidated balance sheets. Customer payments are generally due thirty to sixty days after the invoice date.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contract liabilities primarily relate to deferred revenue and customer deposits associated with cash payments received in advance from customers for volume shortfall charges and product shipments. We had approximately $5.6 million, $6.1 million and $7.0 million of contract liabilities as of September 30, 2018, June 30, 2018 and December 31, 2017, respectively. During the three and nine months ended September 30, 2018 revenues of $0.8 million and $4.1 million, respectively, were recognized and included in the balance at the beginning of each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Practical Expedients and Other Information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elected the transitional practical expedient for all contract modifications, such that all modifications prior to our adoption date for uncompleted contracts would be evaluated in the aggregate for any potential impact to our financial statements.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elected the practical expedient to recognize revenue in the amount we have the right to invoice relating to certain services that are performed for customers and, as a result we do not have to disclose the value of unsatisfied performance obligations.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Adoption of ASC 606 (continued)</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elected the practical expedient by which disclosures are not required regarding the value of unsatisfied performance obligations for contracts with an original expected duration of one year or less.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elected the practical expedient exempting the requirement to adjust the promised amount of consideration for the effects of a significant financing component if we expect the financing time period to be one year or less.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recognized in the current period from performance obligations related to prior periods (for example, due to changes in transaction price) was not material.</w:t>
      </w:r>
    </w:p>
    <w:p>
      <w:pPr>
        <w:spacing w:after="0" w:line="6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contract cost assets primarily relate to the portion of incentive compensation earned by certain employees that are considered incremental and recoverable costs of obtaining a contract with a customer. Those costs are not material. We have elected the practical expedient to expense as incurred any incremental costs of obtaining a contract if the associated period of benefit is one year or less.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Note 3: Loss Per Common Share</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5"/>
        </w:trPr>
        <w:tc>
          <w:tcPr>
            <w:tcW w:w="58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6"/>
          </w:tcPr>
          <w:p>
            <w:pPr>
              <w:jc w:val="right"/>
              <w:ind w:right="700"/>
              <w:spacing w:after="0"/>
              <w:rPr>
                <w:sz w:val="20"/>
                <w:szCs w:val="20"/>
                <w:color w:val="auto"/>
              </w:rPr>
            </w:pPr>
            <w:r>
              <w:rPr>
                <w:rFonts w:ascii="Arial" w:cs="Arial" w:eastAsia="Arial" w:hAnsi="Arial"/>
                <w:sz w:val="18"/>
                <w:szCs w:val="18"/>
                <w:color w:val="auto"/>
              </w:rPr>
              <w:t>Three Months Ended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gridSpan w:val="6"/>
          </w:tcPr>
          <w:p>
            <w:pPr>
              <w:jc w:val="right"/>
              <w:ind w:right="50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gridSpan w:val="6"/>
          </w:tcPr>
          <w:p>
            <w:pPr>
              <w:jc w:val="right"/>
              <w:ind w:right="940"/>
              <w:spacing w:after="0"/>
              <w:rPr>
                <w:sz w:val="20"/>
                <w:szCs w:val="20"/>
                <w:color w:val="auto"/>
              </w:rPr>
            </w:pPr>
            <w:r>
              <w:rPr>
                <w:rFonts w:ascii="Arial" w:cs="Arial" w:eastAsia="Arial" w:hAnsi="Arial"/>
                <w:sz w:val="18"/>
                <w:szCs w:val="18"/>
                <w:color w:val="auto"/>
              </w:rPr>
              <w:t>September 30,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gridSpan w:val="6"/>
          </w:tcPr>
          <w:p>
            <w:pPr>
              <w:jc w:val="right"/>
              <w:ind w:right="70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80" w:type="dxa"/>
            <w:vAlign w:val="bottom"/>
            <w:gridSpan w:val="12"/>
          </w:tcPr>
          <w:p>
            <w:pPr>
              <w:jc w:val="right"/>
              <w:ind w:right="20"/>
              <w:spacing w:after="0"/>
              <w:rPr>
                <w:sz w:val="20"/>
                <w:szCs w:val="20"/>
                <w:color w:val="auto"/>
              </w:rPr>
            </w:pPr>
            <w:r>
              <w:rPr>
                <w:rFonts w:ascii="Arial" w:cs="Arial" w:eastAsia="Arial" w:hAnsi="Arial"/>
                <w:sz w:val="16"/>
                <w:szCs w:val="16"/>
                <w:color w:val="auto"/>
              </w:rPr>
              <w:t>(Dollars In Thousands, Except Per Share Amounts)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Numerator:</w:t>
            </w:r>
          </w:p>
        </w:tc>
        <w:tc>
          <w:tcPr>
            <w:tcW w:w="5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(26,084)</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(17,112)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(59,181)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(30,131)</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Adjustments for basic net loss per common share:</w:t>
            </w: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620" w:type="dxa"/>
            <w:vAlign w:val="bottom"/>
            <w:gridSpan w:val="2"/>
          </w:tcPr>
          <w:p>
            <w:pPr>
              <w:ind w:left="500"/>
              <w:spacing w:after="0"/>
              <w:rPr>
                <w:sz w:val="20"/>
                <w:szCs w:val="20"/>
                <w:color w:val="auto"/>
              </w:rPr>
            </w:pPr>
            <w:r>
              <w:rPr>
                <w:rFonts w:ascii="Arial" w:cs="Arial" w:eastAsia="Arial" w:hAnsi="Arial"/>
                <w:sz w:val="18"/>
                <w:szCs w:val="18"/>
                <w:color w:val="auto"/>
              </w:rPr>
              <w:t>Dividend requirements on Series E Redeemable</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620" w:type="dxa"/>
            <w:vAlign w:val="bottom"/>
            <w:gridSpan w:val="2"/>
          </w:tcPr>
          <w:p>
            <w:pPr>
              <w:ind w:left="620"/>
              <w:spacing w:after="0"/>
              <w:rPr>
                <w:sz w:val="20"/>
                <w:szCs w:val="20"/>
                <w:color w:val="auto"/>
              </w:rPr>
            </w:pPr>
            <w:r>
              <w:rPr>
                <w:rFonts w:ascii="Arial" w:cs="Arial" w:eastAsia="Arial" w:hAnsi="Arial"/>
                <w:sz w:val="18"/>
                <w:szCs w:val="18"/>
                <w:color w:val="auto"/>
              </w:rPr>
              <w:t>Preferred</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(6,782)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(5,923)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(19,748)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(17,248)</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Dividend requirements on Series B Preferred</w:t>
            </w: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gridSpan w:val="2"/>
          </w:tcPr>
          <w:p>
            <w:pPr>
              <w:ind w:left="500"/>
              <w:spacing w:after="0"/>
              <w:rPr>
                <w:sz w:val="20"/>
                <w:szCs w:val="20"/>
                <w:color w:val="auto"/>
              </w:rPr>
            </w:pPr>
            <w:r>
              <w:rPr>
                <w:rFonts w:ascii="Arial" w:cs="Arial" w:eastAsia="Arial" w:hAnsi="Arial"/>
                <w:sz w:val="18"/>
                <w:szCs w:val="18"/>
                <w:color w:val="auto"/>
              </w:rPr>
              <w:t>Dividend requirements on Series D Preferred</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Accretion of Series E Redeemable Preferred</w:t>
            </w: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(1,635)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(2,882)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(4,852)</w:t>
            </w:r>
          </w:p>
        </w:tc>
        <w:tc>
          <w:tcPr>
            <w:tcW w:w="0" w:type="dxa"/>
            <w:vAlign w:val="bottom"/>
          </w:tcPr>
          <w:p>
            <w:pPr>
              <w:spacing w:after="0"/>
              <w:rPr>
                <w:sz w:val="1"/>
                <w:szCs w:val="1"/>
                <w:color w:val="auto"/>
              </w:rPr>
            </w:pPr>
          </w:p>
        </w:tc>
      </w:tr>
      <w:tr>
        <w:trPr>
          <w:trHeight w:val="195"/>
        </w:trPr>
        <w:tc>
          <w:tcPr>
            <w:tcW w:w="580" w:type="dxa"/>
            <w:vAlign w:val="bottom"/>
          </w:tcPr>
          <w:p>
            <w:pPr>
              <w:spacing w:after="0"/>
              <w:rPr>
                <w:sz w:val="16"/>
                <w:szCs w:val="16"/>
                <w:color w:val="auto"/>
              </w:rPr>
            </w:pPr>
          </w:p>
        </w:tc>
        <w:tc>
          <w:tcPr>
            <w:tcW w:w="4620" w:type="dxa"/>
            <w:vAlign w:val="bottom"/>
            <w:gridSpan w:val="2"/>
          </w:tcPr>
          <w:p>
            <w:pPr>
              <w:ind w:left="240"/>
              <w:spacing w:after="0" w:line="195" w:lineRule="exact"/>
              <w:rPr>
                <w:sz w:val="20"/>
                <w:szCs w:val="20"/>
                <w:color w:val="auto"/>
              </w:rPr>
            </w:pPr>
            <w:r>
              <w:rPr>
                <w:rFonts w:ascii="Arial" w:cs="Arial" w:eastAsia="Arial" w:hAnsi="Arial"/>
                <w:sz w:val="18"/>
                <w:szCs w:val="18"/>
                <w:color w:val="auto"/>
              </w:rPr>
              <w:t>Numerator for basic and dilutive net loss per common</w:t>
            </w:r>
          </w:p>
        </w:tc>
        <w:tc>
          <w:tcPr>
            <w:tcW w:w="5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4620" w:type="dxa"/>
            <w:vAlign w:val="bottom"/>
            <w:gridSpan w:val="2"/>
          </w:tcPr>
          <w:p>
            <w:pPr>
              <w:ind w:left="380"/>
              <w:spacing w:after="0"/>
              <w:rPr>
                <w:sz w:val="20"/>
                <w:szCs w:val="20"/>
                <w:color w:val="auto"/>
              </w:rPr>
            </w:pPr>
            <w:r>
              <w:rPr>
                <w:rFonts w:ascii="Arial" w:cs="Arial" w:eastAsia="Arial" w:hAnsi="Arial"/>
                <w:sz w:val="18"/>
                <w:szCs w:val="18"/>
                <w:color w:val="auto"/>
              </w:rPr>
              <w:t>share - net loss attributable to common stockholders</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(33,422)</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(24,745)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(82,036)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(52,456)</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1940" w:type="dxa"/>
            <w:vAlign w:val="bottom"/>
            <w:tcBorders>
              <w:top w:val="single" w:sz="8" w:color="CFF0FC"/>
            </w:tcBorders>
            <w:shd w:val="clear" w:color="auto" w:fill="CFF0FC"/>
          </w:tcPr>
          <w:p>
            <w:pPr>
              <w:spacing w:after="0"/>
              <w:rPr>
                <w:sz w:val="18"/>
                <w:szCs w:val="18"/>
                <w:color w:val="auto"/>
              </w:rPr>
            </w:pPr>
          </w:p>
        </w:tc>
        <w:tc>
          <w:tcPr>
            <w:tcW w:w="268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6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Denominator for basic and dilutive net loss per</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common share - adjusted weighted-average</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62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shares (1)</w:t>
            </w:r>
          </w:p>
        </w:tc>
        <w:tc>
          <w:tcPr>
            <w:tcW w:w="5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27,500,323</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27,249,304</w:t>
            </w:r>
          </w:p>
        </w:tc>
        <w:tc>
          <w:tcPr>
            <w:tcW w:w="1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27,484,227</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27,248,889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Basic and dilutive net loss per common share:</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(1.22)</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(0.91)</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(2.98)</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940" w:type="dxa"/>
            <w:vAlign w:val="bottom"/>
            <w:tcBorders>
              <w:top w:val="single" w:sz="8" w:color="CFF0FC"/>
            </w:tcBorders>
          </w:tcPr>
          <w:p>
            <w:pPr>
              <w:spacing w:after="0" w:line="20" w:lineRule="exact"/>
              <w:rPr>
                <w:sz w:val="1"/>
                <w:szCs w:val="1"/>
                <w:color w:val="auto"/>
              </w:rPr>
            </w:pPr>
          </w:p>
        </w:tc>
        <w:tc>
          <w:tcPr>
            <w:tcW w:w="26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Excludes the weighted-average shares of unvested restricted stock that are contingently returnable.</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loss per common share as their effect would have been antidilutive: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0" w:type="dxa"/>
            <w:vAlign w:val="bottom"/>
            <w:gridSpan w:val="5"/>
          </w:tcPr>
          <w:p>
            <w:pPr>
              <w:jc w:val="center"/>
              <w:ind w:right="200"/>
              <w:spacing w:after="0"/>
              <w:rPr>
                <w:sz w:val="20"/>
                <w:szCs w:val="20"/>
                <w:color w:val="auto"/>
              </w:rPr>
            </w:pPr>
            <w:r>
              <w:rPr>
                <w:rFonts w:ascii="Arial" w:cs="Arial" w:eastAsia="Arial" w:hAnsi="Arial"/>
                <w:sz w:val="18"/>
                <w:szCs w:val="18"/>
                <w:color w:val="auto"/>
                <w:w w:val="90"/>
              </w:rPr>
              <w:t>Three Months Ended</w:t>
            </w:r>
          </w:p>
        </w:tc>
        <w:tc>
          <w:tcPr>
            <w:tcW w:w="2340" w:type="dxa"/>
            <w:vAlign w:val="bottom"/>
            <w:gridSpan w:val="4"/>
          </w:tcPr>
          <w:p>
            <w:pPr>
              <w:jc w:val="center"/>
              <w:ind w:right="120"/>
              <w:spacing w:after="0"/>
              <w:rPr>
                <w:sz w:val="20"/>
                <w:szCs w:val="20"/>
                <w:color w:val="auto"/>
              </w:rPr>
            </w:pPr>
            <w:r>
              <w:rPr>
                <w:rFonts w:ascii="Arial" w:cs="Arial" w:eastAsia="Arial" w:hAnsi="Arial"/>
                <w:sz w:val="18"/>
                <w:szCs w:val="18"/>
                <w:color w:val="auto"/>
                <w:w w:val="92"/>
              </w:rPr>
              <w:t>Nine Months Ended</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20" w:type="dxa"/>
            <w:vAlign w:val="bottom"/>
            <w:gridSpan w:val="3"/>
          </w:tcPr>
          <w:p>
            <w:pPr>
              <w:jc w:val="center"/>
              <w:ind w:left="690"/>
              <w:spacing w:after="0"/>
              <w:rPr>
                <w:sz w:val="20"/>
                <w:szCs w:val="20"/>
                <w:color w:val="auto"/>
              </w:rPr>
            </w:pPr>
            <w:r>
              <w:rPr>
                <w:rFonts w:ascii="Arial" w:cs="Arial" w:eastAsia="Arial" w:hAnsi="Arial"/>
                <w:sz w:val="18"/>
                <w:szCs w:val="18"/>
                <w:color w:val="auto"/>
                <w:w w:val="88"/>
              </w:rPr>
              <w:t>September 30,</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September 30,</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860" w:type="dxa"/>
            <w:vAlign w:val="bottom"/>
            <w:gridSpan w:val="2"/>
          </w:tcPr>
          <w:p>
            <w:pPr>
              <w:jc w:val="right"/>
              <w:ind w:right="35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ind w:right="330"/>
              <w:spacing w:after="0"/>
              <w:rPr>
                <w:sz w:val="20"/>
                <w:szCs w:val="20"/>
                <w:color w:val="auto"/>
              </w:rPr>
            </w:pPr>
            <w:r>
              <w:rPr>
                <w:rFonts w:ascii="Arial" w:cs="Arial" w:eastAsia="Arial" w:hAnsi="Arial"/>
                <w:sz w:val="18"/>
                <w:szCs w:val="18"/>
                <w:color w:val="auto"/>
                <w:w w:val="84"/>
              </w:rPr>
              <w:t>2017</w:t>
            </w:r>
          </w:p>
        </w:tc>
        <w:tc>
          <w:tcPr>
            <w:tcW w:w="20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Restricted stock and stock units</w:t>
            </w:r>
          </w:p>
        </w:tc>
        <w:tc>
          <w:tcPr>
            <w:tcW w:w="66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1,186,429</w:t>
            </w:r>
          </w:p>
        </w:tc>
        <w:tc>
          <w:tcPr>
            <w:tcW w:w="2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1,221,445</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1,182,143</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1,178,144</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Convertible preferred stocks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916,666</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916,666</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916,666</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916,666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Series E Redeemable Preferred - embedded derivative</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Stock options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169,710</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216,558</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182,047</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217,725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48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2,576,451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2,658,315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2,584,502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2,616,181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53"/>
        </w:trPr>
        <w:tc>
          <w:tcPr>
            <w:tcW w:w="5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860" w:type="dxa"/>
            <w:vAlign w:val="bottom"/>
            <w:gridSpan w:val="2"/>
          </w:tcPr>
          <w:p>
            <w:pPr>
              <w:jc w:val="right"/>
              <w:ind w:right="103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Inventories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September 30, 2018 and December 31, 2017, because costs exceeded the net realizable value, inventory adjustments were $256,000 and $933,000, respectively.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gridSpan w:val="4"/>
          </w:tcPr>
          <w:p>
            <w:pPr>
              <w:spacing w:after="0"/>
              <w:rPr>
                <w:sz w:val="20"/>
                <w:szCs w:val="20"/>
                <w:color w:val="auto"/>
              </w:rPr>
            </w:pPr>
            <w:r>
              <w:rPr>
                <w:rFonts w:ascii="Arial" w:cs="Arial" w:eastAsia="Arial" w:hAnsi="Arial"/>
                <w:sz w:val="18"/>
                <w:szCs w:val="18"/>
                <w:b w:val="1"/>
                <w:bCs w:val="1"/>
                <w:color w:val="auto"/>
              </w:rPr>
              <w:t>Note 5: Current and Noncurrent Accrued and Other Liabilities</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17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w w:val="86"/>
              </w:rPr>
              <w:t>September 30,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2018</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2017</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gridSpan w:val="8"/>
          </w:tcPr>
          <w:p>
            <w:pPr>
              <w:jc w:val="right"/>
              <w:ind w:right="920"/>
              <w:spacing w:after="0"/>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236"/>
        </w:trPr>
        <w:tc>
          <w:tcPr>
            <w:tcW w:w="1720" w:type="dxa"/>
            <w:vAlign w:val="bottom"/>
          </w:tcPr>
          <w:p>
            <w:pPr>
              <w:spacing w:after="0"/>
              <w:rPr>
                <w:sz w:val="20"/>
                <w:szCs w:val="20"/>
                <w:color w:val="auto"/>
              </w:rPr>
            </w:pPr>
          </w:p>
        </w:tc>
        <w:tc>
          <w:tcPr>
            <w:tcW w:w="4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Accrued litigation settlement (See Note 13)</w:t>
            </w: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18,450</w:t>
            </w:r>
          </w:p>
        </w:tc>
        <w:tc>
          <w:tcPr>
            <w:tcW w:w="16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Accrued interest</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16,722</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13,424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4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5,572</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6,987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Accrued payroll and benefits</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5,167</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4,855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Series E Redeemable Preferred - embedded derivative</w:t>
            </w:r>
          </w:p>
        </w:tc>
        <w:tc>
          <w:tcPr>
            <w:tcW w:w="4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2,970</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2,660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Accrued death and other executive benefits</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2,785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2,808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9"/>
              </w:rPr>
              <w:t>Accrued health and worker compensation insurance claims</w:t>
            </w:r>
          </w:p>
        </w:tc>
        <w:tc>
          <w:tcPr>
            <w:tcW w:w="4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1,441</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1,658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Customer deposits</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1,055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10,881</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13,538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65,043</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47,264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Less noncurrent portion</w:t>
            </w:r>
          </w:p>
        </w:tc>
        <w:tc>
          <w:tcPr>
            <w:tcW w:w="4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11,247</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11,691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gridSpan w:val="4"/>
          </w:tcPr>
          <w:p>
            <w:pPr>
              <w:ind w:left="1720"/>
              <w:spacing w:after="0"/>
              <w:rPr>
                <w:sz w:val="20"/>
                <w:szCs w:val="20"/>
                <w:color w:val="auto"/>
              </w:rPr>
            </w:pPr>
            <w:r>
              <w:rPr>
                <w:rFonts w:ascii="Arial" w:cs="Arial" w:eastAsia="Arial" w:hAnsi="Arial"/>
                <w:sz w:val="18"/>
                <w:szCs w:val="18"/>
                <w:color w:val="auto"/>
              </w:rPr>
              <w:t>Current portion of accrued and other liabilities</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53,796</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35,573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1"/>
              </w:rPr>
              <w:t>Note 6: Long-Term Debt</w:t>
            </w:r>
          </w:p>
        </w:tc>
        <w:tc>
          <w:tcPr>
            <w:tcW w:w="4540" w:type="dxa"/>
            <w:vAlign w:val="bottom"/>
            <w:gridSpan w:val="2"/>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900" w:type="dxa"/>
            <w:vAlign w:val="bottom"/>
            <w:tcBorders>
              <w:bottom w:val="single" w:sz="8" w:color="auto"/>
            </w:tcBorders>
            <w:gridSpan w:val="2"/>
            <w:vMerge w:val="continue"/>
          </w:tcPr>
          <w:p>
            <w:pPr>
              <w:spacing w:after="0"/>
              <w:rPr>
                <w:sz w:val="17"/>
                <w:szCs w:val="17"/>
                <w:color w:val="auto"/>
              </w:rPr>
            </w:pPr>
          </w:p>
        </w:tc>
        <w:tc>
          <w:tcPr>
            <w:tcW w:w="454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440" w:type="dxa"/>
            <w:vAlign w:val="bottom"/>
            <w:gridSpan w:val="4"/>
          </w:tcPr>
          <w:p>
            <w:pPr>
              <w:spacing w:after="0"/>
              <w:rPr>
                <w:sz w:val="20"/>
                <w:szCs w:val="20"/>
                <w:color w:val="auto"/>
              </w:rPr>
            </w:pPr>
            <w:r>
              <w:rPr>
                <w:rFonts w:ascii="Arial" w:cs="Arial" w:eastAsia="Arial" w:hAnsi="Arial"/>
                <w:sz w:val="18"/>
                <w:szCs w:val="18"/>
                <w:color w:val="auto"/>
              </w:rPr>
              <w:t>Our long-term debt consists of the following:</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20" w:type="dxa"/>
            <w:vAlign w:val="bottom"/>
            <w:gridSpan w:val="4"/>
          </w:tcPr>
          <w:p>
            <w:pPr>
              <w:jc w:val="right"/>
              <w:ind w:right="300"/>
              <w:spacing w:after="0"/>
              <w:rPr>
                <w:sz w:val="20"/>
                <w:szCs w:val="20"/>
                <w:color w:val="auto"/>
              </w:rPr>
            </w:pPr>
            <w:r>
              <w:rPr>
                <w:rFonts w:ascii="Arial" w:cs="Arial" w:eastAsia="Arial" w:hAnsi="Arial"/>
                <w:sz w:val="18"/>
                <w:szCs w:val="18"/>
                <w:color w:val="auto"/>
                <w:w w:val="93"/>
              </w:rPr>
              <w:t>September 30,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2018</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gridSpan w:val="8"/>
          </w:tcPr>
          <w:p>
            <w:pPr>
              <w:jc w:val="right"/>
              <w:ind w:right="940"/>
              <w:spacing w:after="0"/>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221"/>
        </w:trPr>
        <w:tc>
          <w:tcPr>
            <w:tcW w:w="1720" w:type="dxa"/>
            <w:vAlign w:val="bottom"/>
          </w:tcPr>
          <w:p>
            <w:pPr>
              <w:spacing w:after="0"/>
              <w:rPr>
                <w:sz w:val="19"/>
                <w:szCs w:val="19"/>
                <w:color w:val="auto"/>
              </w:rPr>
            </w:pPr>
          </w:p>
        </w:tc>
        <w:tc>
          <w:tcPr>
            <w:tcW w:w="4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Working Capital Revolver Loan, with a current interest</w:t>
            </w:r>
          </w:p>
        </w:tc>
        <w:tc>
          <w:tcPr>
            <w:tcW w:w="4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47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rate of 5.75% (A)</w:t>
            </w: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Senior Secured Notes due 2023 (B)</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400,000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Senior Secured Notes due 2019 (B)</w:t>
            </w:r>
          </w:p>
        </w:tc>
        <w:tc>
          <w:tcPr>
            <w:tcW w:w="4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375,000</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Secured Promissory Note due 2019, with a current interest</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4720" w:type="dxa"/>
            <w:vAlign w:val="bottom"/>
            <w:gridSpan w:val="3"/>
          </w:tcPr>
          <w:p>
            <w:pPr>
              <w:ind w:left="140"/>
              <w:spacing w:after="0"/>
              <w:rPr>
                <w:sz w:val="20"/>
                <w:szCs w:val="20"/>
                <w:color w:val="auto"/>
              </w:rPr>
            </w:pPr>
            <w:r>
              <w:rPr>
                <w:rFonts w:ascii="Arial" w:cs="Arial" w:eastAsia="Arial" w:hAnsi="Arial"/>
                <w:sz w:val="18"/>
                <w:szCs w:val="18"/>
                <w:color w:val="auto"/>
              </w:rPr>
              <w:t>rate of 5.73% (C)</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7,416</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8,167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4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Secured Promissory Note due 2021, with a current interest</w:t>
            </w:r>
          </w:p>
        </w:tc>
        <w:tc>
          <w:tcPr>
            <w:tcW w:w="4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47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rate of 5.25% (D)</w:t>
            </w:r>
          </w:p>
        </w:tc>
        <w:tc>
          <w:tcPr>
            <w:tcW w:w="4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8,899</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11,262</w:t>
            </w:r>
          </w:p>
        </w:tc>
        <w:tc>
          <w:tcPr>
            <w:tcW w:w="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Secured Promissory Note due 2023, with a current interest</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4720" w:type="dxa"/>
            <w:vAlign w:val="bottom"/>
            <w:gridSpan w:val="3"/>
          </w:tcPr>
          <w:p>
            <w:pPr>
              <w:ind w:left="140"/>
              <w:spacing w:after="0"/>
              <w:rPr>
                <w:sz w:val="20"/>
                <w:szCs w:val="20"/>
                <w:color w:val="auto"/>
              </w:rPr>
            </w:pPr>
            <w:r>
              <w:rPr>
                <w:rFonts w:ascii="Arial" w:cs="Arial" w:eastAsia="Arial" w:hAnsi="Arial"/>
                <w:sz w:val="18"/>
                <w:szCs w:val="18"/>
                <w:color w:val="auto"/>
              </w:rPr>
              <w:t>rate of 6.35% (E)</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15,180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16,665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2,994</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Unamortized discount and debt issuance costs</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(15,822)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(4,689)</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96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415,673</w:t>
            </w: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409,399</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Less current portion of long-term debt, net</w:t>
            </w:r>
          </w:p>
        </w:tc>
        <w:tc>
          <w:tcPr>
            <w:tcW w:w="4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12,698</w:t>
            </w: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9,146</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72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Long-term debt due after one year, net</w:t>
            </w:r>
          </w:p>
        </w:tc>
        <w:tc>
          <w:tcPr>
            <w:tcW w:w="4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402,975</w:t>
            </w:r>
          </w:p>
        </w:tc>
        <w:tc>
          <w:tcPr>
            <w:tcW w:w="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400,253</w:t>
            </w:r>
          </w:p>
        </w:tc>
        <w:tc>
          <w:tcPr>
            <w:tcW w:w="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91" w:lineRule="auto"/>
        <w:tabs>
          <w:tab w:leader="none" w:pos="28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Our revolving credit facility (the “Working Capital Revolver Loan”) provides for advances up to $50 million (but provides an ability to expand the commitment an additional $25 million), based on specific percentages of eligible accounts receivable and inventories and up to $10 million of letters of credit, the outstanding amount of which reduces the available for borrowing under the Working Capital Revolver Loan. At September 30, 2018, our available borrowings under our Working Capital Revolver Loan were approximately $39.1 million, based on our eligible collateral, less outstanding letters of credit. The maturity date of the Working Capital Revolver Loan is January 17, 2022. The Working Capital Revolver Loan also provides for a springing financial covenant (the “Financial Covenant”), which requires that, if the borrowing availability is less than or equal to the greater of 10.0% of the total revolver commitments and $5 million, then the borrowers must maintain a minimum fixed charge coverage ratio of not less than 1.00 to 1.00. The Financial Covenant, if triggered, is tested monthly.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Long-Term Debt (continued)</w:t>
      </w:r>
    </w:p>
    <w:p>
      <w:pPr>
        <w:spacing w:after="0" w:line="121" w:lineRule="exact"/>
        <w:rPr>
          <w:sz w:val="20"/>
          <w:szCs w:val="20"/>
          <w:color w:val="auto"/>
        </w:rPr>
      </w:pPr>
    </w:p>
    <w:p>
      <w:pPr>
        <w:jc w:val="both"/>
        <w:ind w:right="20" w:firstLine="8"/>
        <w:spacing w:after="0" w:line="312" w:lineRule="auto"/>
        <w:tabs>
          <w:tab w:leader="none" w:pos="285"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On April 25, 2018, LSB completed the issuance and sale of $400 million aggregate principal amount of its 9.625% Senior Secured Notes due 2023 (the “Senior Secured Notes”). The Senior Secured Notes were issued pursuant to an indenture, dated as of April 25, 2018 (the “Indenture”), by and among LSB, the subsidiary guarantors named therein, and Wilmington Trust, National Association, a national banking association, as trustee and collateral agent.</w:t>
      </w:r>
    </w:p>
    <w:p>
      <w:pPr>
        <w:spacing w:after="0" w:line="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Senior Secured Notes were issued at a price equal to 99.509% of their face value. A portion of the net proceeds from the Senior Secured Notes were used to purchase/redeem the $375 million aggregate principal amount of the 8.5% Senior Secured Notes due 2019. The remaining net proceeds were primarily used to pay related transaction fees and expenses, redemption premiums, and accrued interest on the notes purchased/redeemed.</w:t>
      </w:r>
    </w:p>
    <w:p>
      <w:pPr>
        <w:spacing w:after="0" w:line="5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 portion of the above transaction was accounted for as an extinguishment of debt and a portion was accounted for as a non-substantial debt modification. As a result, in the second quarter of 2018, approximately $15.2 million of the fees/redemption premiums/discount was deferred and included in discount and debt issuance costs and approximately $0.9 million of fees were expensed, as incurred, and are included in interest expense. In addition, in the second quarter of 2018, we recognized a loss on extinguishment of debt of approximately $6.0 million, primarily consisting of a portion of the redemption premiums paid and the expensing of a portion of debt issuance costs associated with the 8.5% Senior Secured Notes.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Secured Notes will mature on May 1, 2023 and rank senior in right of payment to all of our debt that is expressly subordinated in right of payment to the notes and will rank pari passu in right of payment with all of our liabilities that are not so subordinated, including the Working Capital Revolver Loan. LSB’s obligations under the Senior Secured Notes are jointly and severally guaranteed by the subsidiary guarantors named in the Indenture on a senior secured basis.</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on the Senior Secured Notes accrues at a rate of 9.625% per annum and is payable semi-annually in arrears on May 1 and November 1 of each year, beginning on November 1, 2018.</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LSB may redeem the Senior Secured Notes at its option, in whole or in part, subject to the payment of a premium ranging from a “make-whole” premium to a premium of 3.609% of the principal amount so redeemed, in the case of any optional redemption prior to May 1, 2022. If LSB experiences a change of control, it must offer to purchase the notes at 101% of their principal amount, plus accrued and unpaid interest, if any, up to but excluding the date of purchase.</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Indenture contains covenants that limit, among other things, LSB and certain of its subsidiaries’ ability to (1) incur additional indebtedness; (2) declare or pay dividends, redeem stock or make other distributions to stockholders; (3) make other restricted payments, including investments; (4) create dividend and other payment restrictions affecting its subsidiaries; (5) create liens or use assets as security in other transactions; (6) merge or consolidate, or sell, transfer, lease or dispose of all or substantially all of our assets; and (7) enter into transactions with affiliates. Further, during any such time when the Senior Secured Notes are rated investment grade by each of Moody’s Investors Service, Inc. and Standard &amp; Poor’s Investors Ratings Services and no Default (as defined in the Indenture) has occurred and is continuing, certain of the covenants will be suspended with respect to the Senior Secured Notes.</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Indenture provides for customary events of default (subject in certain cases to customary grace and cure periods), which include nonpayment, breach of covenants in the Indenture, payment defaults or acceleration of other indebtedness, a failure to pay certain judgments and certain events of bankruptcy and insolvency.</w:t>
      </w:r>
    </w:p>
    <w:p>
      <w:pPr>
        <w:spacing w:after="0" w:line="73" w:lineRule="exact"/>
        <w:rPr>
          <w:sz w:val="20"/>
          <w:szCs w:val="20"/>
          <w:color w:val="auto"/>
        </w:rPr>
      </w:pPr>
    </w:p>
    <w:p>
      <w:pPr>
        <w:ind w:firstLine="8"/>
        <w:spacing w:after="0" w:line="277" w:lineRule="auto"/>
        <w:tabs>
          <w:tab w:leader="none" w:pos="295"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El Dorado Chemical Company (“EDC”), one of our subsidiaries, is party to a secured promissory note due in June 2019. Principal and interest are payable in equal monthly installments with a final balloon payment of approximately $6.7 million.</w:t>
      </w:r>
    </w:p>
    <w:p>
      <w:pPr>
        <w:spacing w:after="0" w:line="62" w:lineRule="exact"/>
        <w:rPr>
          <w:rFonts w:ascii="Arial" w:cs="Arial" w:eastAsia="Arial" w:hAnsi="Arial"/>
          <w:sz w:val="18"/>
          <w:szCs w:val="18"/>
          <w:b w:val="1"/>
          <w:bCs w:val="1"/>
          <w:color w:val="auto"/>
        </w:rPr>
      </w:pPr>
    </w:p>
    <w:p>
      <w:pPr>
        <w:ind w:left="300" w:hanging="292"/>
        <w:spacing w:after="0"/>
        <w:tabs>
          <w:tab w:leader="none" w:pos="3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EDC is party to a secured promissory note due in March 2021. Principal and interest are payable in monthly installments.</w:t>
      </w:r>
    </w:p>
    <w:p>
      <w:pPr>
        <w:spacing w:after="0" w:line="117" w:lineRule="exact"/>
        <w:rPr>
          <w:rFonts w:ascii="Arial" w:cs="Arial" w:eastAsia="Arial" w:hAnsi="Arial"/>
          <w:sz w:val="18"/>
          <w:szCs w:val="18"/>
          <w:b w:val="1"/>
          <w:bCs w:val="1"/>
          <w:color w:val="auto"/>
        </w:rPr>
      </w:pPr>
    </w:p>
    <w:p>
      <w:pPr>
        <w:ind w:firstLine="8"/>
        <w:spacing w:after="0" w:line="277" w:lineRule="auto"/>
        <w:tabs>
          <w:tab w:leader="none" w:pos="292"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El Dorado Ammonia L.L.C. (“EDA”), one of our subsidiaries, is party to a secured promissory note due in May 2023. Principal and interest are payable in equal monthly installments with a final balloon payment of approximately $6.1 million.</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Commitments and Contingencies</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 xml:space="preserve">Natural Gas Purchase Commitments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September 30, 2018, our natural gas contracts, which qualify as normal purchases under GAAP and thus are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mark-to-market, included minimal volume purchase commitments with fixed prices.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Legal Matters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is a summary of certain legal matters involving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Environmental Matters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 In connection with certain acquisitions, we could acquire, or be required to provide indemnification against, environmental liabilities that could expose us to material losses. In certain instances, citizen groups also have the ability to bring legal proceedings against us if we are not in compliance with environmental laws, or to challenge our ability to receive environmental permits that we need to operate. In addition, claims for damages to persons or property, including natural resources, may result from the environmental, health and safety effects of our operations.</w:t>
      </w:r>
    </w:p>
    <w:p>
      <w:pPr>
        <w:spacing w:after="0" w:line="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 We did not operate the natural gas wells where we previously owned a working interest and compliance with Environmental and Health Laws was controlled by others. We were responsible for our working interest proportionate share of the costs involved.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our accrued liabilities for environmental matters totaled $307,000 relating primarily to the matters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Discharge Water Matters</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These permits limit the type and amount of effluents that can be discharged and control the method of such discharge.</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Pryor Facility is authorized by permit to inject wastewater into an on-site underground injection well through 2018. The Oklahoma Department of Environmental Quality (“ODEQ”) has indicated that the permit may not be renewed following its expiration, and the Pryor Chemical Company (“PCC”) may have to find an alternative means of waste water disposal after the permit expires. PCC has engaged in ongoing discussions with the ODEQ regarding future disposal of this wastewater stream.</w:t>
      </w:r>
    </w:p>
    <w:p>
      <w:pPr>
        <w:spacing w:after="0" w:line="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El Dorado Facility is subject to a National Pollutant Discharge Elimination System (“NPDES”) permit issued by the Arkansas Department of Environmental Quality (“ADEQ”) in 2004. In 2010, the ADEQ issued a draft NPDES permit renewal for the El Dorado Facility, which contains more restrictive discharge limits than the previous 2004 permit.</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more restrictive limits could impose additional costs on the El Dorado Facility and may require the facility to make operational changes in order to meet these more restrictive limits. From time to time, the El Dorado Facility has had difficulty meeting the more restrictive dissolved minerals NPDES permit levels, primarily related to storm-water runoff and EDC is currently working with ADEQ to resolve this issue through a new permit, which is currently in progress.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Commitments and Contingencies (continued)</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do not believe this matter regarding meeting the permit requirements as to the dissolved minerals is a continuing issue for the process wastewater as a result of the El Dorado Facility disposing its wastewater (beginning in September 2013) via a pipeline constructed by the City of El Dorado, Arkansas. On August 30, 2017, ADEQ issued a final NPDES permit, which included new dissolved mineral limits as anticipated. However, EDC objected to the form of the permit specifically around the limits of storm-water runoff and filed an appeal on September 27, 2017. On September 24, 2018, ADEQ formalized a Consent Administrative Order (“CAO”) to resolve all outstanding permit violations and imposed a penalty in the amount of $124,000. EDC has agreed to this resolution, and it is expected that the CAO will be entered into within the next 30 days. Therefore, a liability has been established at September 30, 2018 in connection with this matter, which is included in our accrued liabilities for environmental matters discussed above.</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November 2006, the El Dorado Facility entered into a CAO that recognizes the presence of nitrate contamination in the shallow groundwater. The CAO requires EDC to perform semi-annual groundwater monitoring, continue operation of a groundwater recovery system, submit a human health and ecological risk assessment, and submit a remedial action plan. The risk assessment was submitted in August 2007. In February 2015, the ADEQ stated that El Dorado Chemical was meeting the requirements of the CAO and should continue semi-annual monitoring. The ADEQ’s review of the EDC proposed remedy is ongoing. Under the CAO, the ADEQ may require additional wells be added to the program or may allow EDC to remove wells from the program. The final remedy for shallow groundwater contamination, should any remediation be required, would be selected pursuant to a new consent administrative order and based upon the risk assessment. The cost of any additional remediation that may be required would be determined based on the results of the investigation and risk assessment, of which cost (or range of costs) cannot currently be reasonably estimated. Therefore, no liability has been established at September 30, 2018, in connection with this matter.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Other Environmental Matters</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and develop a corrective action strategy based on the investigation. In addition, certain of our subsidiaries agreed to indemnify the buyer of such assets for these environmental matters.</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subsidiary and Chevron have retained an environmental consultant to prepare and perform a corrective action study work plan as to the appropriate method to remediate the Hallowell Facility. The proposed strategy includes long-term surface and groundwater monitoring to track the natural decline in contamination. The KDHE is currently evaluating the corrective action strategy, and, thus, it is unknown what additional work the KDHE may require, if any, at this time.</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accrued our allocable portion of costs primarily for the additional testing, monitoring and risk assessments that could be reasonably estimated, which is included in our accrued liabilities for environmental matters discussed above. The estimated amount is not discounted to its present value. As more information becomes available, our estimated accrual will be refined.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Other Pending, Threatened or Settled Litigation</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2013, an explosion and fire occurred at the West Fertilizer Co. (“West Fertilizer”) located in West, Texas, causing death, bodily injury and substantial property damage. West Fertilizer is not owned or controlled by us, but West Fertilizer was a customer of EDC, and purchased 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Commitments and Contingencies (continued)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2014, EDC and LSB were named as defendants, together with other AN manufacturers and brokers that arranged the transport and delivery of AN to West Fertilizer, in the case styled </w:t>
      </w:r>
      <w:r>
        <w:rPr>
          <w:rFonts w:ascii="Arial" w:cs="Arial" w:eastAsia="Arial" w:hAnsi="Arial"/>
          <w:sz w:val="18"/>
          <w:szCs w:val="18"/>
          <w:i w:val="1"/>
          <w:iCs w:val="1"/>
          <w:color w:val="auto"/>
        </w:rPr>
        <w:t>City of West, Texas vs. CF Industries, Inc., et al.</w:t>
      </w:r>
      <w:r>
        <w:rPr>
          <w:rFonts w:ascii="Arial" w:cs="Arial" w:eastAsia="Arial" w:hAnsi="Arial"/>
          <w:sz w:val="18"/>
          <w:szCs w:val="18"/>
          <w:color w:val="auto"/>
        </w:rPr>
        <w:t>, in the District Court of McLennan County, Texas. The plaintiffs allege, among other things, that LSB and EDC were negligent in the production and marketing of 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and the carrier is handling the defense for LSB and EDC concerning this matter.</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product liability insurance policies have aggregate limits of general liability totaling $100 million, with a self-insured retention of $250,000, which retention limit has been met relating to this matter. In August 2015, the trial court dismissed plaintiff’s negligence claims against us and EDC based on a duty to inspect but allowed the plaintiffs to proceed on claims for design defect and failure to warn.</w:t>
      </w:r>
    </w:p>
    <w:p>
      <w:pPr>
        <w:spacing w:after="0" w:line="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Subsequently, we and EDC have entered into confidential settlement agreements (with approval of our insurance carriers) with several plaintiffs that had claimed wrongful death and bodily injury and insurance companies asserting subrogation claims for damages from the explosion. These settlements have been paid by the insurer as of September 30, 2018. While these settlements resolve the claims of a number of the claimants in this matter for us, we continue to be party to litigation related to this explosion by other plaintiffs, in addition to indemnification or defense obligations we may have to other defendants. We intend to continue to defend these lawsuits vigorously and we are unable to estimate a possible range of loss at this time if there is an adverse outcome in this matter as to EDC. As of September 30, 2018, no liability reserve has been established in connection with this matter.</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2015, a case styled </w:t>
      </w:r>
      <w:r>
        <w:rPr>
          <w:rFonts w:ascii="Arial" w:cs="Arial" w:eastAsia="Arial" w:hAnsi="Arial"/>
          <w:sz w:val="18"/>
          <w:szCs w:val="18"/>
          <w:i w:val="1"/>
          <w:iCs w:val="1"/>
          <w:color w:val="auto"/>
        </w:rPr>
        <w:t>Dennis Wilson vs. LSB Industries, Inc</w:t>
      </w:r>
      <w:r>
        <w:rPr>
          <w:rFonts w:ascii="Arial" w:cs="Arial" w:eastAsia="Arial" w:hAnsi="Arial"/>
          <w:sz w:val="18"/>
          <w:szCs w:val="18"/>
          <w:color w:val="auto"/>
        </w:rPr>
        <w:t>., et al., was filed in the United States District Court for the Southern District of New York. The plaintiff purports to represent a class of our shareholders and asserts that we violated federal securities laws by allegedly making material misstatements and omissions about delays and cost overruns at our El Dorado Chemical Company manufacturing facility and about our financial well-being and prospects. The lawsuit, which also names certain current and former officers, seeks an unspecified amount of damages. See Note 13 - Subsequent Events regarding the status of this case.</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2015, we and EDA received formal written notice from Global Industrial, Inc. (“Global”) of Global’s intention to assert mechanic liens for labor, service, or materials furnished under certain subcontract agreements for the improvement of the new ammonia plant at our El Dorado Facility. Global is a subcontractor of Leidos Constructors, LLC (“Leidos”), the general contractor for EDA for the construction for the ammonia plant. Leidos terminated the services of Global with respect to their work performed at our El Dorado Facility in July 2015 and Global claims it is entitled to payment for certain work prior to its termination. Leidos has not approved certain payments to Global pending the result of on-going audits and investigation undertaken to quantify the financial impact of Global’s work.</w:t>
      </w:r>
    </w:p>
    <w:p>
      <w:pPr>
        <w:spacing w:after="0" w:line="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EDA intends to monitor the Leidos audit, and conduct its own investigation, in an effort to determine whether any additional payment should be released to Global for any work not in dispute. LSB and EDA intend to pursue recovery of any damage or loss caused by Global’s work performed at our El Dorado Facility. In March 2016, EDC and we were served a summons in a case styled </w:t>
      </w:r>
      <w:r>
        <w:rPr>
          <w:rFonts w:ascii="Arial" w:cs="Arial" w:eastAsia="Arial" w:hAnsi="Arial"/>
          <w:sz w:val="16"/>
          <w:szCs w:val="16"/>
          <w:i w:val="1"/>
          <w:iCs w:val="1"/>
          <w:color w:val="auto"/>
        </w:rPr>
        <w:t>Global Industrial, Inc. d/b/a Global Turnaround vs. Leidos Constructors, LLC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et al., </w:t>
      </w:r>
      <w:r>
        <w:rPr>
          <w:rFonts w:ascii="Arial" w:cs="Arial" w:eastAsia="Arial" w:hAnsi="Arial"/>
          <w:sz w:val="16"/>
          <w:szCs w:val="16"/>
          <w:color w:val="auto"/>
        </w:rPr>
        <w:t>where in Global seeks damages under breach of contract and other claims. We have requested indemnifications from Leidos under the terms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which they have denied, and we intend to vigorously defend against the allegation made by Global and seek reimbursement of legal expenses from Leidos under our contracts. Except for the invoices totaling approximately $3.5 million that were not approved by Leidos for payment that are included in our accounts payable, no liability has been established in connection with the claims asserted by Global. In addition, LSB and EDA intend to pursue recovery of any damage or loss caused by Global’s work performed at our El Dorado Facility. Trial in the Global matter is scheduled for late October 2018. We intend to vigorously defend against the allegations made by Global and we will preserve and continue to assert our indemnification rights against Leidos.</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also involved in various other claims and legal actions.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Derivatives, Hedges, Financial Instruments and Carbon Credits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periods presented, the following significant instruments are accounted for on a fair value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Carbon Credits and Associated Contractual Obligation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Periodically, we are issued climate reserve tonnes (“carbon credits”) by the Climate Action Reserve in relation to a greenhouse gas reduction project (“Project”) performed at the Baytown Facility. Pursuant to the terms of the agreement with Covestro, a certain portion of the carbon credits are to be sold and the proceeds given to Covestro to recover the costs of the Project, and any balance thereafter to be allocated between Covestro and EDN. We have no obligation to reimburse Covestro for their costs associated with the Project, except through the transfer or sale of the carbon credits when such credits are issued to us. The assets for carbon credits are accounted for on a fair value basis and the contractual obligations associated with these carbon credits are also accounted for on a fair value basis (unless we enter into a sales commitment to sell the carbon credits). At September 30, 2018 we had approximately 488,000 carbon credits (none at December 31, 2017), all of which were subject to contractual obligations.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embedded features (“embedded derivative”) relating to the redemption of the Series E Redeemable Preferred, which includes certain contingent redemption features and the participation rights value have been bifurcated from the Series E Redeemable Preferred and recorded as a liability. As the result of the financing transaction relating to the Senior Secured Notes and the letter agreement relating to the Series E Redeemable Preferred as discussed in Notes 6 and 10, we estimate that the contingent redemption features have fair value at September 30, 2018 since we estimate that it is probable that a portion of the shares of this preferred stock would be redeemed prior to October 25, 2023. For certain other embedded features, we estimate no fair value at September 30, 2018 based on our assessment that there is a remote probability that these features will be exercised.</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September 30, 2018, the fair value of the embedded derivative was valued using discounted cash flow models and primarily based on the difference in the present value of estimated future cash flows with no redemptions prior to October 25, 2023 compared to certain redemptions deemed probable during the same period and applying the effective dividend rate of the Series E Redeemable Preferred (At December 31, 2017, we estimated that contingent redemption features had no fair value based on a remote probability of redeeming any shares of this preferred stock prior to previous put date). In addition, at September 30, 2018 and December 31, 2017, the fair value of the embedded derivative included the valuation of the participation rights, which was based on the equivalent of 303,646 shares of our common stock at $9.78 and $8.76 per share,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classifications of valuations of fair value:</w:t>
      </w:r>
    </w:p>
    <w:p>
      <w:pPr>
        <w:spacing w:after="0" w:line="11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Level 1 - </w:t>
      </w:r>
      <w:r>
        <w:rPr>
          <w:rFonts w:ascii="Arial" w:cs="Arial" w:eastAsia="Arial" w:hAnsi="Arial"/>
          <w:sz w:val="18"/>
          <w:szCs w:val="18"/>
          <w:color w:val="auto"/>
        </w:rPr>
        <w:t>The valuations of contracts classified as Level 1 are based on quoted prices in active markets for identical contracts. At September 30, 2018 and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2017, we did not have any contracts classified as Level 1.</w:t>
      </w:r>
    </w:p>
    <w:p>
      <w:pPr>
        <w:spacing w:after="0" w:line="5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Level 2 - </w:t>
      </w:r>
      <w:r>
        <w:rPr>
          <w:rFonts w:ascii="Arial" w:cs="Arial" w:eastAsia="Arial" w:hAnsi="Arial"/>
          <w:sz w:val="17"/>
          <w:szCs w:val="17"/>
          <w:color w:val="auto"/>
        </w:rPr>
        <w:t>The valuations of contracts classified as Level 2 are based on quoted prices for similar contracts and valuation inputs other than quoted prices that</w:t>
      </w:r>
      <w:r>
        <w:rPr>
          <w:rFonts w:ascii="Arial" w:cs="Arial" w:eastAsia="Arial" w:hAnsi="Arial"/>
          <w:sz w:val="17"/>
          <w:szCs w:val="17"/>
          <w:b w:val="1"/>
          <w:bCs w:val="1"/>
          <w:color w:val="auto"/>
        </w:rPr>
        <w:t xml:space="preserve"> </w:t>
      </w:r>
      <w:r>
        <w:rPr>
          <w:rFonts w:ascii="Arial" w:cs="Arial" w:eastAsia="Arial" w:hAnsi="Arial"/>
          <w:sz w:val="17"/>
          <w:szCs w:val="17"/>
          <w:color w:val="auto"/>
        </w:rPr>
        <w:t>are observable for these contracts. At September 30, 2018 and December 31, 2017, we did not have any significant contracts classified as Level 2.</w:t>
      </w:r>
    </w:p>
    <w:p>
      <w:pPr>
        <w:spacing w:after="0" w:line="30"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Level 3 - </w:t>
      </w:r>
      <w:r>
        <w:rPr>
          <w:rFonts w:ascii="Arial" w:cs="Arial" w:eastAsia="Arial" w:hAnsi="Arial"/>
          <w:sz w:val="16"/>
          <w:szCs w:val="16"/>
          <w:color w:val="auto"/>
        </w:rPr>
        <w:t>The valuations of assets and liabilities classified as Level 3 are based on prices or valuation techniques that require inputs that are both unobservable</w:t>
      </w:r>
      <w:r>
        <w:rPr>
          <w:rFonts w:ascii="Arial" w:cs="Arial" w:eastAsia="Arial" w:hAnsi="Arial"/>
          <w:sz w:val="16"/>
          <w:szCs w:val="16"/>
          <w:b w:val="1"/>
          <w:bCs w:val="1"/>
          <w:color w:val="auto"/>
        </w:rPr>
        <w:t xml:space="preserve"> </w:t>
      </w:r>
      <w:r>
        <w:rPr>
          <w:rFonts w:ascii="Arial" w:cs="Arial" w:eastAsia="Arial" w:hAnsi="Arial"/>
          <w:sz w:val="16"/>
          <w:szCs w:val="16"/>
          <w:color w:val="auto"/>
        </w:rPr>
        <w:t>and significant to the overall fair value measurement. At September 30, 2018, the valuation ($2.35 per carbon credit) of the carbon credits and the contractual obligations associated with these carbon credits is classified as Level 3 and is based on the most recent sales transaction and reevaluated for market changes, if any, and on the range of ask/bid prices obtained from a broker adjusted for minimal market volume activity. At December 31, 2017, we did not have any carbon credits or related contractual obligations associated with carbon credits. The valuation is using undiscounted cash flows based on management’s assumption that the carbon credits would be sold, and the associated contractual obligations would be extinguished in the near term.</w:t>
      </w:r>
    </w:p>
    <w:p>
      <w:pPr>
        <w:spacing w:after="0" w:line="5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At September 30, 2018 and December 31, 2017, the valuations of the embedded derivative are classified as Level 3. This derivative is valued using market information, management’s redemption assumptions, the underlying number of shares as defined in the terms of the Series E Redeemable Preferred, and the market price of our common stock. In addition, no valuation input adjustments were considered necessary relating to nonperformance risk for the embedded derivative.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Derivatives, Hedges, Financial Instruments and Carbon Credits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details our assets and liabilities that are measured at fair value on a recurring basis at September 30, 2018 and December 31, 2017:</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40" w:type="dxa"/>
            <w:vAlign w:val="bottom"/>
            <w:gridSpan w:val="8"/>
          </w:tcPr>
          <w:p>
            <w:pPr>
              <w:jc w:val="center"/>
              <w:ind w:right="360"/>
              <w:spacing w:after="0"/>
              <w:rPr>
                <w:sz w:val="20"/>
                <w:szCs w:val="20"/>
                <w:color w:val="auto"/>
              </w:rPr>
            </w:pPr>
            <w:r>
              <w:rPr>
                <w:rFonts w:ascii="Arial" w:cs="Arial" w:eastAsia="Arial" w:hAnsi="Arial"/>
                <w:sz w:val="18"/>
                <w:szCs w:val="18"/>
                <w:color w:val="auto"/>
                <w:w w:val="88"/>
              </w:rPr>
              <w:t>Fair Value Measurements at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8"/>
          </w:tcPr>
          <w:p>
            <w:pPr>
              <w:jc w:val="center"/>
              <w:ind w:right="360"/>
              <w:spacing w:after="0"/>
              <w:rPr>
                <w:sz w:val="20"/>
                <w:szCs w:val="20"/>
                <w:color w:val="auto"/>
              </w:rPr>
            </w:pPr>
            <w:r>
              <w:rPr>
                <w:rFonts w:ascii="Arial" w:cs="Arial" w:eastAsia="Arial" w:hAnsi="Arial"/>
                <w:sz w:val="18"/>
                <w:szCs w:val="18"/>
                <w:color w:val="auto"/>
                <w:w w:val="89"/>
              </w:rPr>
              <w:t>September 30, 2018 Using</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w w:val="90"/>
              </w:rPr>
              <w:t>Quoted Prices</w:t>
            </w: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54"/>
              <w:spacing w:after="0"/>
              <w:rPr>
                <w:sz w:val="20"/>
                <w:szCs w:val="20"/>
                <w:color w:val="auto"/>
              </w:rPr>
            </w:pPr>
            <w:r>
              <w:rPr>
                <w:rFonts w:ascii="Arial" w:cs="Arial" w:eastAsia="Arial" w:hAnsi="Arial"/>
                <w:sz w:val="16"/>
                <w:szCs w:val="16"/>
                <w:color w:val="auto"/>
                <w:w w:val="95"/>
              </w:rPr>
              <w:t>in Active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color w:val="auto"/>
                <w:w w:val="97"/>
              </w:rPr>
              <w:t>Significant</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color w:val="auto"/>
                <w:w w:val="94"/>
              </w:rPr>
              <w:t>Total Fair</w:t>
            </w:r>
          </w:p>
        </w:tc>
        <w:tc>
          <w:tcPr>
            <w:tcW w:w="120" w:type="dxa"/>
            <w:vAlign w:val="bottom"/>
          </w:tcPr>
          <w:p>
            <w:pPr>
              <w:spacing w:after="0"/>
              <w:rPr>
                <w:sz w:val="17"/>
                <w:szCs w:val="17"/>
                <w:color w:val="auto"/>
              </w:rPr>
            </w:pPr>
          </w:p>
        </w:tc>
        <w:tc>
          <w:tcPr>
            <w:tcW w:w="960" w:type="dxa"/>
            <w:vAlign w:val="bottom"/>
          </w:tcPr>
          <w:p>
            <w:pPr>
              <w:jc w:val="center"/>
              <w:ind w:right="34"/>
              <w:spacing w:after="0"/>
              <w:rPr>
                <w:sz w:val="20"/>
                <w:szCs w:val="20"/>
                <w:color w:val="auto"/>
              </w:rPr>
            </w:pPr>
            <w:r>
              <w:rPr>
                <w:rFonts w:ascii="Arial" w:cs="Arial" w:eastAsia="Arial" w:hAnsi="Arial"/>
                <w:sz w:val="16"/>
                <w:szCs w:val="16"/>
                <w:color w:val="auto"/>
                <w:w w:val="94"/>
              </w:rPr>
              <w:t>Markets for</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color w:val="auto"/>
                <w:w w:val="89"/>
              </w:rPr>
              <w:t>Other</w:t>
            </w:r>
          </w:p>
        </w:tc>
        <w:tc>
          <w:tcPr>
            <w:tcW w:w="10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color w:val="auto"/>
                <w:w w:val="97"/>
              </w:rPr>
              <w:t>Significant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Total Fair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color w:val="auto"/>
                <w:w w:val="88"/>
              </w:rPr>
              <w:t>Value at</w:t>
            </w:r>
          </w:p>
        </w:tc>
        <w:tc>
          <w:tcPr>
            <w:tcW w:w="120" w:type="dxa"/>
            <w:vAlign w:val="bottom"/>
          </w:tcPr>
          <w:p>
            <w:pPr>
              <w:spacing w:after="0"/>
              <w:rPr>
                <w:sz w:val="17"/>
                <w:szCs w:val="17"/>
                <w:color w:val="auto"/>
              </w:rPr>
            </w:pPr>
          </w:p>
        </w:tc>
        <w:tc>
          <w:tcPr>
            <w:tcW w:w="960" w:type="dxa"/>
            <w:vAlign w:val="bottom"/>
          </w:tcPr>
          <w:p>
            <w:pPr>
              <w:jc w:val="center"/>
              <w:ind w:right="34"/>
              <w:spacing w:after="0"/>
              <w:rPr>
                <w:sz w:val="20"/>
                <w:szCs w:val="20"/>
                <w:color w:val="auto"/>
              </w:rPr>
            </w:pPr>
            <w:r>
              <w:rPr>
                <w:rFonts w:ascii="Arial" w:cs="Arial" w:eastAsia="Arial" w:hAnsi="Arial"/>
                <w:sz w:val="16"/>
                <w:szCs w:val="16"/>
                <w:color w:val="auto"/>
                <w:w w:val="93"/>
              </w:rPr>
              <w:t>Identical</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color w:val="auto"/>
                <w:w w:val="90"/>
              </w:rPr>
              <w:t>Observable</w:t>
            </w:r>
          </w:p>
        </w:tc>
        <w:tc>
          <w:tcPr>
            <w:tcW w:w="10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color w:val="auto"/>
                <w:w w:val="91"/>
              </w:rPr>
              <w:t>Unobservable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Value at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color w:val="auto"/>
                <w:w w:val="89"/>
              </w:rPr>
              <w:t>September 30,</w:t>
            </w:r>
          </w:p>
        </w:tc>
        <w:tc>
          <w:tcPr>
            <w:tcW w:w="120" w:type="dxa"/>
            <w:vAlign w:val="bottom"/>
          </w:tcPr>
          <w:p>
            <w:pPr>
              <w:spacing w:after="0"/>
              <w:rPr>
                <w:sz w:val="17"/>
                <w:szCs w:val="17"/>
                <w:color w:val="auto"/>
              </w:rPr>
            </w:pPr>
          </w:p>
        </w:tc>
        <w:tc>
          <w:tcPr>
            <w:tcW w:w="960" w:type="dxa"/>
            <w:vAlign w:val="bottom"/>
          </w:tcPr>
          <w:p>
            <w:pPr>
              <w:jc w:val="center"/>
              <w:ind w:right="54"/>
              <w:spacing w:after="0"/>
              <w:rPr>
                <w:sz w:val="20"/>
                <w:szCs w:val="20"/>
                <w:color w:val="auto"/>
              </w:rPr>
            </w:pPr>
            <w:r>
              <w:rPr>
                <w:rFonts w:ascii="Arial" w:cs="Arial" w:eastAsia="Arial" w:hAnsi="Arial"/>
                <w:sz w:val="16"/>
                <w:szCs w:val="16"/>
                <w:color w:val="auto"/>
                <w:w w:val="90"/>
              </w:rPr>
              <w:t>Contracts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color w:val="auto"/>
                <w:w w:val="91"/>
              </w:rPr>
              <w:t>Inputs</w:t>
            </w:r>
          </w:p>
        </w:tc>
        <w:tc>
          <w:tcPr>
            <w:tcW w:w="10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color w:val="auto"/>
                <w:w w:val="91"/>
              </w:rPr>
              <w:t>Inputs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December 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tcBorders>
              <w:bottom w:val="single" w:sz="8" w:color="auto"/>
            </w:tcBorders>
          </w:tcPr>
          <w:p>
            <w:pPr>
              <w:ind w:left="2000"/>
              <w:spacing w:after="0"/>
              <w:rPr>
                <w:sz w:val="20"/>
                <w:szCs w:val="20"/>
                <w:color w:val="auto"/>
              </w:rPr>
            </w:pPr>
            <w:r>
              <w:rPr>
                <w:rFonts w:ascii="Arial" w:cs="Arial" w:eastAsia="Arial" w:hAnsi="Arial"/>
                <w:sz w:val="14"/>
                <w:szCs w:val="14"/>
                <w:color w:val="auto"/>
              </w:rPr>
              <w:t>Description</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color w:val="auto"/>
                <w:w w:val="89"/>
              </w:rPr>
              <w:t>2018</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color w:val="auto"/>
                <w:w w:val="96"/>
              </w:rPr>
              <w:t>(Level 1)</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color w:val="auto"/>
                <w:w w:val="96"/>
              </w:rPr>
              <w:t>(Level 2)</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color w:val="auto"/>
                <w:w w:val="96"/>
              </w:rPr>
              <w:t>(Level 3)</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color w:val="auto"/>
                <w:w w:val="95"/>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6"/>
                <w:szCs w:val="16"/>
                <w:color w:val="auto"/>
                <w:w w:val="92"/>
              </w:rPr>
              <w:t>(In Thousands)</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vMerge w:val="restart"/>
          </w:tcPr>
          <w:p>
            <w:pPr>
              <w:spacing w:after="0"/>
              <w:rPr>
                <w:sz w:val="20"/>
                <w:szCs w:val="20"/>
                <w:color w:val="auto"/>
              </w:rPr>
            </w:pPr>
          </w:p>
        </w:tc>
        <w:tc>
          <w:tcPr>
            <w:tcW w:w="4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Assets - Supplies, prepaid items and other:</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Carbon credits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1,147</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1,147</w:t>
            </w:r>
          </w:p>
        </w:tc>
        <w:tc>
          <w:tcPr>
            <w:tcW w:w="2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Liabilities - Current and noncurrent accrued and</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Contractual obligations - carbon credits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(1,147)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(1,147)</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Embedded derivative</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(2,970)</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ind w:left="78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(2,970)</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4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(4,117)</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reconciliation of the beginning and ending balances for assets and liabilities measured at fair value on a recurring basis using significant unobservable inputs (Level 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jc w:val="center"/>
              <w:ind w:left="330"/>
              <w:spacing w:after="0"/>
              <w:rPr>
                <w:sz w:val="20"/>
                <w:szCs w:val="20"/>
                <w:color w:val="auto"/>
              </w:rPr>
            </w:pPr>
            <w:r>
              <w:rPr>
                <w:rFonts w:ascii="Arial" w:cs="Arial" w:eastAsia="Arial" w:hAnsi="Arial"/>
                <w:sz w:val="18"/>
                <w:szCs w:val="18"/>
                <w:color w:val="auto"/>
                <w:w w:val="88"/>
              </w:rPr>
              <w:t>Assets</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5"/>
          </w:tcPr>
          <w:p>
            <w:pPr>
              <w:jc w:val="center"/>
              <w:ind w:right="180"/>
              <w:spacing w:after="0"/>
              <w:rPr>
                <w:sz w:val="20"/>
                <w:szCs w:val="20"/>
                <w:color w:val="auto"/>
              </w:rPr>
            </w:pPr>
            <w:r>
              <w:rPr>
                <w:rFonts w:ascii="Arial" w:cs="Arial" w:eastAsia="Arial" w:hAnsi="Arial"/>
                <w:sz w:val="18"/>
                <w:szCs w:val="18"/>
                <w:color w:val="auto"/>
                <w:w w:val="97"/>
              </w:rPr>
              <w:t>Liabilities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4"/>
          </w:tcPr>
          <w:p>
            <w:pPr>
              <w:jc w:val="center"/>
              <w:ind w:left="370"/>
              <w:spacing w:after="0"/>
              <w:rPr>
                <w:sz w:val="20"/>
                <w:szCs w:val="20"/>
                <w:color w:val="auto"/>
              </w:rPr>
            </w:pPr>
            <w:r>
              <w:rPr>
                <w:rFonts w:ascii="Arial" w:cs="Arial" w:eastAsia="Arial" w:hAnsi="Arial"/>
                <w:sz w:val="18"/>
                <w:szCs w:val="18"/>
                <w:color w:val="auto"/>
                <w:w w:val="88"/>
              </w:rPr>
              <w:t>Assets</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5"/>
          </w:tcPr>
          <w:p>
            <w:pPr>
              <w:jc w:val="center"/>
              <w:ind w:right="140"/>
              <w:spacing w:after="0"/>
              <w:rPr>
                <w:sz w:val="20"/>
                <w:szCs w:val="20"/>
                <w:color w:val="auto"/>
              </w:rPr>
            </w:pPr>
            <w:r>
              <w:rPr>
                <w:rFonts w:ascii="Arial" w:cs="Arial" w:eastAsia="Arial" w:hAnsi="Arial"/>
                <w:sz w:val="18"/>
                <w:szCs w:val="18"/>
                <w:color w:val="auto"/>
                <w:w w:val="99"/>
              </w:rPr>
              <w:t>Liabilities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6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0"/>
              </w:rPr>
              <w:t>Three Months Ended</w:t>
            </w:r>
          </w:p>
        </w:tc>
        <w:tc>
          <w:tcPr>
            <w:tcW w:w="180" w:type="dxa"/>
            <w:vAlign w:val="bottom"/>
          </w:tcPr>
          <w:p>
            <w:pPr>
              <w:spacing w:after="0"/>
              <w:rPr>
                <w:sz w:val="19"/>
                <w:szCs w:val="19"/>
                <w:color w:val="auto"/>
              </w:rPr>
            </w:pPr>
          </w:p>
        </w:tc>
        <w:tc>
          <w:tcPr>
            <w:tcW w:w="168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5"/>
          </w:tcPr>
          <w:p>
            <w:pPr>
              <w:jc w:val="center"/>
              <w:ind w:right="30"/>
              <w:spacing w:after="0"/>
              <w:rPr>
                <w:sz w:val="20"/>
                <w:szCs w:val="20"/>
                <w:color w:val="auto"/>
              </w:rPr>
            </w:pPr>
            <w:r>
              <w:rPr>
                <w:rFonts w:ascii="Arial" w:cs="Arial" w:eastAsia="Arial" w:hAnsi="Arial"/>
                <w:sz w:val="18"/>
                <w:szCs w:val="18"/>
                <w:color w:val="auto"/>
                <w:w w:val="91"/>
              </w:rPr>
              <w:t>Nine Months Ended</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4"/>
          </w:tcPr>
          <w:p>
            <w:pPr>
              <w:jc w:val="center"/>
              <w:ind w:right="30"/>
              <w:spacing w:after="0"/>
              <w:rPr>
                <w:sz w:val="20"/>
                <w:szCs w:val="20"/>
                <w:color w:val="auto"/>
              </w:rPr>
            </w:pPr>
            <w:r>
              <w:rPr>
                <w:rFonts w:ascii="Arial" w:cs="Arial" w:eastAsia="Arial" w:hAnsi="Arial"/>
                <w:sz w:val="18"/>
                <w:szCs w:val="18"/>
                <w:color w:val="auto"/>
                <w:w w:val="92"/>
              </w:rPr>
              <w:t>Nine Months Ended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5"/>
          </w:tcPr>
          <w:p>
            <w:pPr>
              <w:jc w:val="center"/>
              <w:ind w:right="340"/>
              <w:spacing w:after="0"/>
              <w:rPr>
                <w:sz w:val="20"/>
                <w:szCs w:val="20"/>
                <w:color w:val="auto"/>
              </w:rPr>
            </w:pPr>
            <w:r>
              <w:rPr>
                <w:rFonts w:ascii="Arial" w:cs="Arial" w:eastAsia="Arial" w:hAnsi="Arial"/>
                <w:sz w:val="18"/>
                <w:szCs w:val="18"/>
                <w:color w:val="auto"/>
                <w:w w:val="88"/>
              </w:rPr>
              <w:t>September 30,</w:t>
            </w:r>
          </w:p>
        </w:tc>
        <w:tc>
          <w:tcPr>
            <w:tcW w:w="140" w:type="dxa"/>
            <w:vAlign w:val="bottom"/>
          </w:tcPr>
          <w:p>
            <w:pPr>
              <w:spacing w:after="0"/>
              <w:rPr>
                <w:sz w:val="19"/>
                <w:szCs w:val="19"/>
                <w:color w:val="auto"/>
              </w:rPr>
            </w:pPr>
          </w:p>
        </w:tc>
        <w:tc>
          <w:tcPr>
            <w:tcW w:w="1660" w:type="dxa"/>
            <w:vAlign w:val="bottom"/>
            <w:gridSpan w:val="5"/>
          </w:tcPr>
          <w:p>
            <w:pPr>
              <w:jc w:val="center"/>
              <w:ind w:right="180"/>
              <w:spacing w:after="0"/>
              <w:rPr>
                <w:sz w:val="20"/>
                <w:szCs w:val="20"/>
                <w:color w:val="auto"/>
              </w:rPr>
            </w:pPr>
            <w:r>
              <w:rPr>
                <w:rFonts w:ascii="Arial" w:cs="Arial" w:eastAsia="Arial" w:hAnsi="Arial"/>
                <w:sz w:val="18"/>
                <w:szCs w:val="18"/>
                <w:color w:val="auto"/>
                <w:w w:val="88"/>
              </w:rPr>
              <w:t>September 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6"/>
          </w:tcPr>
          <w:p>
            <w:pPr>
              <w:jc w:val="center"/>
              <w:ind w:right="320"/>
              <w:spacing w:after="0"/>
              <w:rPr>
                <w:sz w:val="20"/>
                <w:szCs w:val="20"/>
                <w:color w:val="auto"/>
              </w:rPr>
            </w:pPr>
            <w:r>
              <w:rPr>
                <w:rFonts w:ascii="Arial" w:cs="Arial" w:eastAsia="Arial" w:hAnsi="Arial"/>
                <w:sz w:val="18"/>
                <w:szCs w:val="18"/>
                <w:color w:val="auto"/>
                <w:w w:val="88"/>
              </w:rPr>
              <w:t>September 30,</w:t>
            </w:r>
          </w:p>
        </w:tc>
        <w:tc>
          <w:tcPr>
            <w:tcW w:w="100" w:type="dxa"/>
            <w:vAlign w:val="bottom"/>
          </w:tcPr>
          <w:p>
            <w:pPr>
              <w:spacing w:after="0"/>
              <w:rPr>
                <w:sz w:val="19"/>
                <w:szCs w:val="19"/>
                <w:color w:val="auto"/>
              </w:rPr>
            </w:pPr>
          </w:p>
        </w:tc>
        <w:tc>
          <w:tcPr>
            <w:tcW w:w="1720" w:type="dxa"/>
            <w:vAlign w:val="bottom"/>
            <w:gridSpan w:val="5"/>
          </w:tcPr>
          <w:p>
            <w:pPr>
              <w:jc w:val="center"/>
              <w:ind w:right="16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2018</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9"/>
              </w:rPr>
              <w:t>2017</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2018</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4"/>
              </w:rPr>
              <w:t>2017</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9"/>
              </w:rPr>
              <w:t>2017</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6"/>
          </w:tcPr>
          <w:p>
            <w:pPr>
              <w:jc w:val="right"/>
              <w:ind w:right="440"/>
              <w:spacing w:after="0"/>
              <w:rPr>
                <w:sz w:val="20"/>
                <w:szCs w:val="20"/>
                <w:color w:val="auto"/>
              </w:rPr>
            </w:pPr>
            <w:r>
              <w:rPr>
                <w:rFonts w:ascii="Arial" w:cs="Arial" w:eastAsia="Arial" w:hAnsi="Arial"/>
                <w:sz w:val="16"/>
                <w:szCs w:val="16"/>
                <w:color w:val="auto"/>
              </w:rPr>
              <w:t>(In Thousands)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(1,838)</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(3,137)</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(2,660)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Transfers into Level 3</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Transfers out of Level 3</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Total realized and unrealized gains (losses)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20"/>
              <w:spacing w:after="0"/>
              <w:rPr>
                <w:sz w:val="20"/>
                <w:szCs w:val="20"/>
                <w:color w:val="auto"/>
              </w:rPr>
            </w:pPr>
            <w:r>
              <w:rPr>
                <w:rFonts w:ascii="Arial" w:cs="Arial" w:eastAsia="Arial" w:hAnsi="Arial"/>
                <w:sz w:val="18"/>
                <w:szCs w:val="18"/>
                <w:color w:val="auto"/>
              </w:rPr>
              <w:t>included in operating results</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(2,279)</w:t>
            </w:r>
          </w:p>
        </w:tc>
        <w:tc>
          <w:tcPr>
            <w:tcW w:w="1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1,681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2,031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(1,656)</w:t>
            </w: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Purchases</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Issuances</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Settlements</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(4,117</w:t>
            </w:r>
          </w:p>
        </w:tc>
        <w:tc>
          <w:tcPr>
            <w:tcW w:w="180" w:type="dxa"/>
            <w:vAlign w:val="bottom"/>
            <w:tcBorders>
              <w:top w:val="single" w:sz="8" w:color="CFF0FC"/>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(3,575</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(4,117</w:t>
            </w:r>
          </w:p>
        </w:tc>
        <w:tc>
          <w:tcPr>
            <w:tcW w:w="180" w:type="dxa"/>
            <w:vAlign w:val="bottom"/>
            <w:tcBorders>
              <w:top w:val="single" w:sz="8" w:color="CFF0FC"/>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(3,575</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Total gains (losses) for the period included</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 operating results attributed to the</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change in unrealized gains or losses on</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assets and liabilities still held at the</w:t>
            </w: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reporting date</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w:t>
            </w:r>
          </w:p>
        </w:tc>
        <w:tc>
          <w:tcPr>
            <w:tcW w:w="3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(2,278)</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w:t>
            </w:r>
          </w:p>
        </w:tc>
        <w:tc>
          <w:tcPr>
            <w:tcW w:w="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(1,227)</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Derivatives, Hedges, Financial Instruments and Carbon Credits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gains (losses) included in operating results and the statement of operations classifications are as follows: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6"/>
          </w:tcPr>
          <w:p>
            <w:pPr>
              <w:jc w:val="right"/>
              <w:ind w:right="520"/>
              <w:spacing w:after="0"/>
              <w:rPr>
                <w:sz w:val="20"/>
                <w:szCs w:val="20"/>
                <w:color w:val="auto"/>
              </w:rPr>
            </w:pPr>
            <w:r>
              <w:rPr>
                <w:rFonts w:ascii="Arial" w:cs="Arial" w:eastAsia="Arial" w:hAnsi="Arial"/>
                <w:sz w:val="18"/>
                <w:szCs w:val="18"/>
                <w:color w:val="auto"/>
                <w:w w:val="99"/>
              </w:rPr>
              <w:t>Three Months Ended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gridSpan w:val="6"/>
          </w:tcPr>
          <w:p>
            <w:pPr>
              <w:jc w:val="right"/>
              <w:ind w:right="560"/>
              <w:spacing w:after="0"/>
              <w:rPr>
                <w:sz w:val="20"/>
                <w:szCs w:val="20"/>
                <w:color w:val="auto"/>
              </w:rPr>
            </w:pPr>
            <w:r>
              <w:rPr>
                <w:rFonts w:ascii="Arial" w:cs="Arial" w:eastAsia="Arial" w:hAnsi="Arial"/>
                <w:sz w:val="18"/>
                <w:szCs w:val="18"/>
                <w:color w:val="auto"/>
              </w:rPr>
              <w:t>Nine Months Ended</w:t>
            </w:r>
          </w:p>
        </w:tc>
      </w:tr>
      <w:tr>
        <w:trPr>
          <w:trHeight w:val="230"/>
        </w:trPr>
        <w:tc>
          <w:tcPr>
            <w:tcW w:w="4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6"/>
          </w:tcPr>
          <w:p>
            <w:pPr>
              <w:jc w:val="right"/>
              <w:ind w:right="760"/>
              <w:spacing w:after="0"/>
              <w:rPr>
                <w:sz w:val="20"/>
                <w:szCs w:val="20"/>
                <w:color w:val="auto"/>
              </w:rPr>
            </w:pPr>
            <w:r>
              <w:rPr>
                <w:rFonts w:ascii="Arial" w:cs="Arial" w:eastAsia="Arial" w:hAnsi="Arial"/>
                <w:sz w:val="18"/>
                <w:szCs w:val="18"/>
                <w:color w:val="auto"/>
              </w:rPr>
              <w:t>September 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gridSpan w:val="6"/>
          </w:tcPr>
          <w:p>
            <w:pPr>
              <w:jc w:val="right"/>
              <w:ind w:right="780"/>
              <w:spacing w:after="0"/>
              <w:rPr>
                <w:sz w:val="20"/>
                <w:szCs w:val="20"/>
                <w:color w:val="auto"/>
              </w:rPr>
            </w:pPr>
            <w:r>
              <w:rPr>
                <w:rFonts w:ascii="Arial" w:cs="Arial" w:eastAsia="Arial" w:hAnsi="Arial"/>
                <w:sz w:val="18"/>
                <w:szCs w:val="18"/>
                <w:color w:val="auto"/>
              </w:rPr>
              <w:t>September 30,</w:t>
            </w:r>
          </w:p>
        </w:tc>
      </w:tr>
      <w:tr>
        <w:trPr>
          <w:trHeight w:val="230"/>
        </w:trPr>
        <w:tc>
          <w:tcPr>
            <w:tcW w:w="4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r>
      <w:tr>
        <w:trPr>
          <w:trHeight w:val="204"/>
        </w:trPr>
        <w:tc>
          <w:tcPr>
            <w:tcW w:w="4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6"/>
          </w:tcPr>
          <w:p>
            <w:pPr>
              <w:jc w:val="right"/>
              <w:ind w:right="780"/>
              <w:spacing w:after="0"/>
              <w:rPr>
                <w:sz w:val="20"/>
                <w:szCs w:val="20"/>
                <w:color w:val="auto"/>
              </w:rPr>
            </w:pPr>
            <w:r>
              <w:rPr>
                <w:rFonts w:ascii="Arial" w:cs="Arial" w:eastAsia="Arial" w:hAnsi="Arial"/>
                <w:sz w:val="16"/>
                <w:szCs w:val="16"/>
                <w:color w:val="auto"/>
              </w:rPr>
              <w:t>(In Thousands)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Total net gains (losses) included in operating results:</w:t>
            </w:r>
          </w:p>
        </w:tc>
        <w:tc>
          <w:tcPr>
            <w:tcW w:w="5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Other income - Carbon credits</w:t>
            </w:r>
          </w:p>
        </w:tc>
        <w:tc>
          <w:tcPr>
            <w:tcW w:w="7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1,164</w:t>
            </w:r>
          </w:p>
        </w:tc>
        <w:tc>
          <w:tcPr>
            <w:tcW w:w="12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1,681</w:t>
            </w:r>
          </w:p>
        </w:tc>
        <w:tc>
          <w:tcPr>
            <w:tcW w:w="120" w:type="dxa"/>
            <w:vAlign w:val="bottom"/>
          </w:tcPr>
          <w:p>
            <w:pPr>
              <w:spacing w:after="0"/>
              <w:rPr>
                <w:sz w:val="19"/>
                <w:szCs w:val="19"/>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2,031</w:t>
            </w:r>
          </w:p>
        </w:tc>
        <w:tc>
          <w:tcPr>
            <w:tcW w:w="120" w:type="dxa"/>
            <w:vAlign w:val="bottom"/>
          </w:tcPr>
          <w:p>
            <w:pPr>
              <w:spacing w:after="0"/>
              <w:rPr>
                <w:sz w:val="19"/>
                <w:szCs w:val="19"/>
                <w:color w:val="auto"/>
              </w:rPr>
            </w:pPr>
          </w:p>
        </w:tc>
      </w:tr>
      <w:tr>
        <w:trPr>
          <w:trHeight w:val="215"/>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expense - Contractual obligations relating to</w:t>
            </w: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carbon credits</w:t>
            </w:r>
          </w:p>
        </w:tc>
        <w:tc>
          <w:tcPr>
            <w:tcW w:w="5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(1,147)</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(1,164)</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(1,575)</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(1,851)</w:t>
            </w:r>
          </w:p>
        </w:tc>
      </w:tr>
      <w:tr>
        <w:trPr>
          <w:trHeight w:val="215"/>
        </w:trPr>
        <w:tc>
          <w:tcPr>
            <w:tcW w:w="4780" w:type="dxa"/>
            <w:vAlign w:val="bottom"/>
          </w:tcPr>
          <w:p>
            <w:pPr>
              <w:ind w:left="240"/>
              <w:spacing w:after="0"/>
              <w:rPr>
                <w:sz w:val="20"/>
                <w:szCs w:val="20"/>
                <w:color w:val="auto"/>
              </w:rPr>
            </w:pPr>
            <w:r>
              <w:rPr>
                <w:rFonts w:ascii="Arial" w:cs="Arial" w:eastAsia="Arial" w:hAnsi="Arial"/>
                <w:sz w:val="18"/>
                <w:szCs w:val="18"/>
                <w:color w:val="auto"/>
              </w:rPr>
              <w:t>Non-operating other income (expense) - embedded</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780" w:type="dxa"/>
            <w:vAlign w:val="bottom"/>
          </w:tcPr>
          <w:p>
            <w:pPr>
              <w:ind w:left="380"/>
              <w:spacing w:after="0"/>
              <w:rPr>
                <w:sz w:val="20"/>
                <w:szCs w:val="20"/>
                <w:color w:val="auto"/>
              </w:rPr>
            </w:pPr>
            <w:r>
              <w:rPr>
                <w:rFonts w:ascii="Arial" w:cs="Arial" w:eastAsia="Arial" w:hAnsi="Arial"/>
                <w:sz w:val="18"/>
                <w:szCs w:val="18"/>
                <w:color w:val="auto"/>
              </w:rPr>
              <w:t>derivative</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(1,132)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0"/>
                <w:szCs w:val="20"/>
                <w:color w:val="auto"/>
              </w:rPr>
            </w:pPr>
          </w:p>
        </w:tc>
      </w:tr>
      <w:tr>
        <w:trPr>
          <w:trHeight w:val="223"/>
        </w:trPr>
        <w:tc>
          <w:tcPr>
            <w:tcW w:w="47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net gains (losses) included in operating results</w:t>
            </w: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September 30, 2018 and December 31, 2017, we did not have any financial instruments with fair values significantly different from their carrying amounts (excluding issuance costs, if applicable), except for the Senior Secured Notes as shown below.</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500" w:type="dxa"/>
            <w:vAlign w:val="bottom"/>
            <w:tcBorders>
              <w:bottom w:val="single" w:sz="8" w:color="auto"/>
            </w:tcBorders>
            <w:gridSpan w:val="4"/>
          </w:tcPr>
          <w:p>
            <w:pPr>
              <w:jc w:val="center"/>
              <w:ind w:left="170"/>
              <w:spacing w:after="0"/>
              <w:rPr>
                <w:sz w:val="20"/>
                <w:szCs w:val="20"/>
                <w:color w:val="auto"/>
              </w:rPr>
            </w:pPr>
            <w:r>
              <w:rPr>
                <w:rFonts w:ascii="Arial" w:cs="Arial" w:eastAsia="Arial" w:hAnsi="Arial"/>
                <w:sz w:val="18"/>
                <w:szCs w:val="18"/>
                <w:color w:val="auto"/>
                <w:w w:val="88"/>
              </w:rPr>
              <w:t>September 30, 2018</w:t>
            </w:r>
          </w:p>
        </w:tc>
        <w:tc>
          <w:tcPr>
            <w:tcW w:w="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960" w:type="dxa"/>
            <w:vAlign w:val="bottom"/>
          </w:tcPr>
          <w:p>
            <w:pPr>
              <w:jc w:val="center"/>
              <w:ind w:left="230"/>
              <w:spacing w:after="0"/>
              <w:rPr>
                <w:sz w:val="20"/>
                <w:szCs w:val="20"/>
                <w:color w:val="auto"/>
              </w:rPr>
            </w:pPr>
            <w:r>
              <w:rPr>
                <w:rFonts w:ascii="Arial" w:cs="Arial" w:eastAsia="Arial" w:hAnsi="Arial"/>
                <w:sz w:val="18"/>
                <w:szCs w:val="18"/>
                <w:color w:val="auto"/>
                <w:w w:val="94"/>
              </w:rPr>
              <w:t>Carrying</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ind w:left="280"/>
              <w:spacing w:after="0"/>
              <w:rPr>
                <w:sz w:val="20"/>
                <w:szCs w:val="20"/>
                <w:color w:val="auto"/>
              </w:rPr>
            </w:pPr>
            <w:r>
              <w:rPr>
                <w:rFonts w:ascii="Arial" w:cs="Arial" w:eastAsia="Arial" w:hAnsi="Arial"/>
                <w:sz w:val="18"/>
                <w:szCs w:val="18"/>
                <w:color w:val="auto"/>
                <w:w w:val="87"/>
              </w:rPr>
              <w:t>Estimated</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960" w:type="dxa"/>
            <w:vAlign w:val="bottom"/>
          </w:tcPr>
          <w:p>
            <w:pPr>
              <w:jc w:val="center"/>
              <w:ind w:left="230"/>
              <w:spacing w:after="0"/>
              <w:rPr>
                <w:sz w:val="20"/>
                <w:szCs w:val="20"/>
                <w:color w:val="auto"/>
              </w:rPr>
            </w:pPr>
            <w:r>
              <w:rPr>
                <w:rFonts w:ascii="Arial" w:cs="Arial" w:eastAsia="Arial" w:hAnsi="Arial"/>
                <w:sz w:val="18"/>
                <w:szCs w:val="18"/>
                <w:color w:val="auto"/>
                <w:w w:val="96"/>
              </w:rPr>
              <w:t>Amount</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3"/>
          </w:tcPr>
          <w:p>
            <w:pPr>
              <w:ind w:left="260"/>
              <w:spacing w:after="0"/>
              <w:rPr>
                <w:sz w:val="20"/>
                <w:szCs w:val="20"/>
                <w:color w:val="auto"/>
              </w:rPr>
            </w:pPr>
            <w:r>
              <w:rPr>
                <w:rFonts w:ascii="Arial" w:cs="Arial" w:eastAsia="Arial" w:hAnsi="Arial"/>
                <w:sz w:val="18"/>
                <w:szCs w:val="18"/>
                <w:color w:val="auto"/>
              </w:rPr>
              <w:t>Fair Value</w:t>
            </w:r>
          </w:p>
        </w:tc>
      </w:tr>
      <w:tr>
        <w:trPr>
          <w:trHeight w:val="204"/>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3"/>
          </w:tcPr>
          <w:p>
            <w:pPr>
              <w:jc w:val="center"/>
              <w:ind w:right="590"/>
              <w:spacing w:after="0"/>
              <w:rPr>
                <w:sz w:val="20"/>
                <w:szCs w:val="20"/>
                <w:color w:val="auto"/>
              </w:rPr>
            </w:pPr>
            <w:r>
              <w:rPr>
                <w:rFonts w:ascii="Arial" w:cs="Arial" w:eastAsia="Arial" w:hAnsi="Arial"/>
                <w:sz w:val="16"/>
                <w:szCs w:val="16"/>
                <w:color w:val="auto"/>
              </w:rPr>
              <w:t>(In Millions)</w:t>
            </w:r>
          </w:p>
        </w:tc>
        <w:tc>
          <w:tcPr>
            <w:tcW w:w="3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Senior Secured Notes (1)</w:t>
            </w:r>
          </w:p>
        </w:tc>
        <w:tc>
          <w:tcPr>
            <w:tcW w:w="318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400</w:t>
            </w:r>
          </w:p>
        </w:tc>
        <w:tc>
          <w:tcPr>
            <w:tcW w:w="1200" w:type="dxa"/>
            <w:vAlign w:val="bottom"/>
            <w:gridSpan w:val="2"/>
            <w:shd w:val="clear" w:color="auto" w:fill="CFF0FC"/>
          </w:tcPr>
          <w:p>
            <w:pPr>
              <w:jc w:val="right"/>
              <w:ind w:right="8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421</w:t>
            </w:r>
          </w:p>
        </w:tc>
        <w:tc>
          <w:tcPr>
            <w:tcW w:w="80" w:type="dxa"/>
            <w:vAlign w:val="bottom"/>
            <w:shd w:val="clear" w:color="auto" w:fill="CFF0F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FF0FC"/>
            </w:tcBorders>
          </w:tcPr>
          <w:p>
            <w:pPr>
              <w:spacing w:after="0" w:line="20" w:lineRule="exact"/>
              <w:rPr>
                <w:sz w:val="1"/>
                <w:szCs w:val="1"/>
                <w:color w:val="auto"/>
              </w:rPr>
            </w:pPr>
          </w:p>
        </w:tc>
        <w:tc>
          <w:tcPr>
            <w:tcW w:w="22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94"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7"/>
          <w:szCs w:val="17"/>
          <w:color w:val="auto"/>
        </w:rPr>
      </w:pPr>
      <w:r>
        <w:rPr>
          <w:rFonts w:ascii="Arial" w:cs="Arial" w:eastAsia="Arial" w:hAnsi="Arial"/>
          <w:sz w:val="18"/>
          <w:szCs w:val="18"/>
          <w:color w:val="auto"/>
        </w:rPr>
        <w:t>Based on a quoted price of 105.25 at September 30, 2018. These Senior Secured Notes were issued on April 25, 2018.</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Senior Secured Notes valuations are classified as Level 2. The valuations of our other long-term debt agreements are classified as Level 3 and are based on valuation techniques that require inputs that are both unobservable and significant to the overall fair value measurement. The fair value measurements of our other long-term debt agreements are valued using a discounted cash flow model that calculates the present value of future cash flows pursuant to the terms of the debt agreements 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 risk for our debt agreements. The fair value of financial instruments is not indicative of the overall fair value of our assets and liabilities since financial instruments do not include all assets, including intangibles, and all liabilities.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Income Taxes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2017, the President of the United States signed into law the Tax Cuts and Jobs Act of 2017 (the “Act”), making significant changes to the Internal Revenue Code. Changes include, but are not limited to, a federal corporate tax rate of 21%, additional limitations on executive compensation, and limitations on the deductibility of interest.</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FASB issued ASU 2018-05, Income Taxes (Topic 740): "Amendments to SEC Paragraphs Pursuant to SEC Staff Accounting Bulletin No. 118" to address the application of GAAP in situations when a registrant does not have the necessary information available, prepared, or analyzed (including computations) in reasonable detail to complete the accounting for certain income tax effects of the Act.</w:t>
      </w:r>
    </w:p>
    <w:p>
      <w:pPr>
        <w:spacing w:after="0" w:line="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September 30, 2018, the Company has not completed its accounting for all of the tax effects of the Act and has not made an adjustment to the provisional tax benefit recorded under SAB 118 at December 31, 2017. We have estimated our provision for income taxes in accordance with the Act and guidance available as of the date of this filing. Our estimated annual effective tax rate may be adjusted in subsequent interim periods, due to, among other things, additional analysis, changes in interpretations and assumptions we have made, and additional regulatory guidance that may be issued.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Income Taxes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Provision (benefit) for income taxes is as follows: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6"/>
          </w:tcPr>
          <w:p>
            <w:pPr>
              <w:jc w:val="center"/>
              <w:ind w:right="340"/>
              <w:spacing w:after="0"/>
              <w:rPr>
                <w:sz w:val="20"/>
                <w:szCs w:val="20"/>
                <w:color w:val="auto"/>
              </w:rPr>
            </w:pPr>
            <w:r>
              <w:rPr>
                <w:rFonts w:ascii="Arial" w:cs="Arial" w:eastAsia="Arial" w:hAnsi="Arial"/>
                <w:sz w:val="18"/>
                <w:szCs w:val="18"/>
                <w:color w:val="auto"/>
                <w:w w:val="90"/>
              </w:rPr>
              <w:t>Three Months Ended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gridSpan w:val="6"/>
          </w:tcPr>
          <w:p>
            <w:pPr>
              <w:jc w:val="right"/>
              <w:ind w:right="56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6"/>
          </w:tcPr>
          <w:p>
            <w:pPr>
              <w:jc w:val="center"/>
              <w:ind w:right="340"/>
              <w:spacing w:after="0"/>
              <w:rPr>
                <w:sz w:val="20"/>
                <w:szCs w:val="20"/>
                <w:color w:val="auto"/>
              </w:rPr>
            </w:pPr>
            <w:r>
              <w:rPr>
                <w:rFonts w:ascii="Arial" w:cs="Arial" w:eastAsia="Arial" w:hAnsi="Arial"/>
                <w:sz w:val="18"/>
                <w:szCs w:val="18"/>
                <w:color w:val="auto"/>
                <w:w w:val="88"/>
              </w:rPr>
              <w:t>September 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gridSpan w:val="6"/>
          </w:tcPr>
          <w:p>
            <w:pPr>
              <w:jc w:val="right"/>
              <w:ind w:right="78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gridSpan w:val="6"/>
          </w:tcPr>
          <w:p>
            <w:pPr>
              <w:jc w:val="center"/>
              <w:ind w:right="340"/>
              <w:spacing w:after="0"/>
              <w:rPr>
                <w:sz w:val="20"/>
                <w:szCs w:val="20"/>
                <w:color w:val="auto"/>
              </w:rPr>
            </w:pPr>
            <w:r>
              <w:rPr>
                <w:rFonts w:ascii="Arial" w:cs="Arial" w:eastAsia="Arial" w:hAnsi="Arial"/>
                <w:sz w:val="16"/>
                <w:szCs w:val="16"/>
                <w:color w:val="auto"/>
                <w:w w:val="92"/>
              </w:rPr>
              <w:t>(In Thousands)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w:t>
            </w:r>
          </w:p>
        </w:tc>
        <w:tc>
          <w:tcPr>
            <w:tcW w:w="10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ind w:left="220"/>
              <w:spacing w:after="0"/>
              <w:rPr>
                <w:sz w:val="20"/>
                <w:szCs w:val="20"/>
                <w:color w:val="auto"/>
              </w:rPr>
            </w:pPr>
            <w:r>
              <w:rPr>
                <w:rFonts w:ascii="Arial" w:cs="Arial" w:eastAsia="Arial" w:hAnsi="Arial"/>
                <w:sz w:val="18"/>
                <w:szCs w:val="18"/>
                <w:color w:val="auto"/>
              </w:rPr>
              <w:t>Federal</w:t>
            </w:r>
          </w:p>
        </w:tc>
        <w:tc>
          <w:tcPr>
            <w:tcW w:w="12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State</w:t>
            </w:r>
          </w:p>
        </w:tc>
        <w:tc>
          <w:tcPr>
            <w:tcW w:w="12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(39)</w:t>
            </w:r>
          </w:p>
        </w:tc>
        <w:tc>
          <w:tcPr>
            <w:tcW w:w="200" w:type="dxa"/>
            <w:vAlign w:val="bottom"/>
            <w:gridSpan w:val="2"/>
            <w:shd w:val="clear" w:color="auto" w:fill="CFF0FC"/>
          </w:tcPr>
          <w:p>
            <w:pPr>
              <w:jc w:val="right"/>
              <w:ind w:right="7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Current</w:t>
            </w:r>
          </w:p>
        </w:tc>
        <w:tc>
          <w:tcPr>
            <w:tcW w:w="10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Federal</w:t>
            </w:r>
          </w:p>
        </w:tc>
        <w:tc>
          <w:tcPr>
            <w:tcW w:w="12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(2,004)</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(6,021)</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w:t>
            </w:r>
          </w:p>
        </w:tc>
        <w:tc>
          <w:tcPr>
            <w:tcW w:w="2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7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(9,791)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ind w:left="220"/>
              <w:spacing w:after="0"/>
              <w:rPr>
                <w:sz w:val="20"/>
                <w:szCs w:val="20"/>
                <w:color w:val="auto"/>
              </w:rPr>
            </w:pPr>
            <w:r>
              <w:rPr>
                <w:rFonts w:ascii="Arial" w:cs="Arial" w:eastAsia="Arial" w:hAnsi="Arial"/>
                <w:sz w:val="18"/>
                <w:szCs w:val="18"/>
                <w:color w:val="auto"/>
              </w:rPr>
              <w:t>State</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(829)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Deferred</w:t>
            </w:r>
          </w:p>
        </w:tc>
        <w:tc>
          <w:tcPr>
            <w:tcW w:w="10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ind w:left="720"/>
              <w:spacing w:after="0"/>
              <w:rPr>
                <w:sz w:val="20"/>
                <w:szCs w:val="20"/>
                <w:color w:val="auto"/>
              </w:rPr>
            </w:pPr>
            <w:r>
              <w:rPr>
                <w:rFonts w:ascii="Arial" w:cs="Arial" w:eastAsia="Arial" w:hAnsi="Arial"/>
                <w:sz w:val="18"/>
                <w:szCs w:val="18"/>
                <w:color w:val="auto"/>
              </w:rPr>
              <w:t>Provision (benefit) for income taxes</w:t>
            </w:r>
          </w:p>
        </w:tc>
        <w:tc>
          <w:tcPr>
            <w:tcW w:w="100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nine months ended September 30, 2018 and 2017, the current benefit for state income taxes shown above includes regular state income tax and provisions for uncertain state income tax positions.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estimated annual effective rate for 2018 includes the impact of permanent tax differences, limits on deductible compensation, valuation allowances, and other permanent items.</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reduce our deferred tax assets by a valuation allowance if, based upon the weight of available evidence, it is more-likely-than-not that we will not realize some portion or all of the deferred tax assets. We consider relevant evidence, both positive and negative, to determine the need for a valuation allowance. Information evaluated includes our financial position and results of operations for the current and preceding years, the availability of deferred tax liabilities and tax carrybacks, as well as an evaluation of currently available information about future years. We established a valuation allowance on a portion of our federal deferred tax assets. This valuation allowance is reflective of our quarterly analysis of the four sources of taxable income, including the calculation of the reversal of existing tax assets and liabilities, the impact of the recent financing activities and our quarterly results. Based on our analysis, we currently believe that it is more-likely-than-not that a portion of our federal deferred tax assets will not be able to be utilized and we estimate the valuation allowance to be recorded during 2018 to be approximately $11.1 million. We have also determined it was more-likely-than-not that a portion of the state deferred tax assets would not be able to be utilized before expiration and we estimate the valuation allowance associated with these state deferred tax assets to be recorded during 2018 will be approximately $5.2 million.</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will continue to evaluate both the positive and negative evidence on a quarterly basis in determining the need for a valuation allowance with respect to our deferred tax assets. Changes in positive and negative evidence, including differences between estimated and actual results and additional guidance for various provisions of the Act, could result in changes in the valuation of our deferred tax assets that could have a material impact on our consolidated financial statements. Changes in existing tax laws could also affect actual tax results and the realization of deferred tax assets over time.</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tax provision for the nine months ended September 30, 2018 was $1.0 million (2% provision on pre-tax loss) and the tax benefit for the nine months ended September 30, 2017 was $10.7 million (26% benefit on pre-tax loss). For the first nine months of 2018, the effective tax rate is less than the statutory tax rate primarily due to the impact of the valuation allowances.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LSB and certain of its subsidiaries file income tax returns in the U.S. federal jurisdiction and various state jurisdictions. With few exceptions, the 2015-2018 years remain open for all purposes of examination by the U.S. Internal Revenue Service and other major tax jurisdictions. During the third quarter of 2018, the IRS concluded their examination of our 2015 tax return. There are no changes to our financial position, results of operations or cash flow resulting from the audit.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center"/>
        <w:ind w:right="2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Securities Financing Including Redeemable Preferred Stocks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Redeemable Preferred</w:t>
      </w:r>
    </w:p>
    <w:p>
      <w:pPr>
        <w:spacing w:after="0" w:line="117"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In connection with the issuance and sale of the Senior Secured Notes (the “Financing Transaction”) as discussed in Note 6, we entered into a letter agreement with the holder of our Series E Redeemable Preferred. The letter agreement extended the date upon which the holder of the Series E Redeemable Preferred has the right to elect to redeem the Series E Redeemable Preferred shares from August 2, 2019 to October 25, 2023. The letter agreement also provides for the amendment of certain other terms relating to the Series E Redeemable Preferred, including an increase in the per annum dividend rate payable in respect of the Series E Redeemable Preferred (a) by 0.50% on the third anniversary of the Financing Transaction, (b) by an additional 0.50% on the fourth anniversary of the Financing Transaction and (c) by an additional 1.0% on the fifth anniversary of the Financing Transaction.</w:t>
      </w:r>
    </w:p>
    <w:p>
      <w:pPr>
        <w:spacing w:after="0" w:line="57"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transaction associated with the letter agreement was determined to be a non-substantial modification. As a result, and as shown in the table below, a fee paid to the holder was deferred (reduction to the Series E Redeemable Preferred balance) and will be periodically accreted using the interest method through October 25, 2023, the earliest possible redemption date by the holder. In addition, the letter agreement included a contingent redemption feature, which was bifurcated from the Series E Redeemable Preferred based on the estimated fair value during the second quarter of 2018. This redemption feature is included in the embedded derivative, which is marked to fair value on a quarterly basis as presented in Note 8.</w:t>
      </w:r>
    </w:p>
    <w:p>
      <w:pPr>
        <w:spacing w:after="0" w:line="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2018, the Series E Redeemable Preferred has a 14% annual dividend rate and a participating right in dividends and liquidating distributions equal to 303,646 shares of common stock. Dividends accrue semi-annually in arrears and are compounded.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F Redeemable Preferred</w:t>
      </w:r>
    </w:p>
    <w:p>
      <w:pPr>
        <w:spacing w:after="0" w:line="117"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As of September 30, 2018, the Series F Redeemable Preferred has voting rights (the “Series F Voting Rights”) to vote as a single class on all matters which the common stock have the right to vote and is entitled to a number of votes equal to 456,225 shares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Securities Financing Including Redeemable Preferred Stocks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Series E and Series F Redeemable Preferred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500" w:type="dxa"/>
            <w:vAlign w:val="bottom"/>
            <w:gridSpan w:val="5"/>
          </w:tcPr>
          <w:p>
            <w:pPr>
              <w:jc w:val="right"/>
              <w:ind w:right="160"/>
              <w:spacing w:after="0"/>
              <w:rPr>
                <w:sz w:val="20"/>
                <w:szCs w:val="20"/>
                <w:color w:val="auto"/>
              </w:rPr>
            </w:pPr>
            <w:r>
              <w:rPr>
                <w:rFonts w:ascii="Arial" w:cs="Arial" w:eastAsia="Arial" w:hAnsi="Arial"/>
                <w:sz w:val="18"/>
                <w:szCs w:val="18"/>
                <w:color w:val="auto"/>
                <w:w w:val="90"/>
              </w:rPr>
              <w:t>Series E Redeemable Preferred</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80" w:type="dxa"/>
            <w:vAlign w:val="bottom"/>
            <w:tcBorders>
              <w:top w:val="single" w:sz="8" w:color="auto"/>
              <w:bottom w:val="single" w:sz="8" w:color="auto"/>
            </w:tcBorders>
            <w:gridSpan w:val="2"/>
          </w:tcPr>
          <w:p>
            <w:pPr>
              <w:ind w:left="300"/>
              <w:spacing w:after="0"/>
              <w:rPr>
                <w:sz w:val="20"/>
                <w:szCs w:val="20"/>
                <w:color w:val="auto"/>
              </w:rPr>
            </w:pPr>
            <w:r>
              <w:rPr>
                <w:rFonts w:ascii="Arial" w:cs="Arial" w:eastAsia="Arial" w:hAnsi="Arial"/>
                <w:sz w:val="18"/>
                <w:szCs w:val="18"/>
                <w:color w:val="auto"/>
              </w:rPr>
              <w:t>Shares</w:t>
            </w: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500" w:type="dxa"/>
            <w:vAlign w:val="bottom"/>
            <w:gridSpan w:val="5"/>
          </w:tcPr>
          <w:p>
            <w:pPr>
              <w:jc w:val="right"/>
              <w:ind w:right="540"/>
              <w:spacing w:after="0"/>
              <w:rPr>
                <w:sz w:val="20"/>
                <w:szCs w:val="20"/>
                <w:color w:val="auto"/>
              </w:rPr>
            </w:pPr>
            <w:r>
              <w:rPr>
                <w:rFonts w:ascii="Arial" w:cs="Arial" w:eastAsia="Arial" w:hAnsi="Arial"/>
                <w:sz w:val="16"/>
                <w:szCs w:val="16"/>
                <w:color w:val="auto"/>
              </w:rPr>
              <w:t>(Dollars In Thousands)</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720" w:type="dxa"/>
            <w:vAlign w:val="bottom"/>
          </w:tcPr>
          <w:p>
            <w:pPr>
              <w:spacing w:after="0"/>
              <w:rPr>
                <w:sz w:val="20"/>
                <w:szCs w:val="20"/>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2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139,768</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174,959</w:t>
            </w:r>
          </w:p>
        </w:tc>
        <w:tc>
          <w:tcPr>
            <w:tcW w:w="80" w:type="dxa"/>
            <w:vAlign w:val="bottom"/>
            <w:shd w:val="clear" w:color="auto" w:fill="CFF0FC"/>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Fees associated with letter agreement</w:t>
            </w:r>
          </w:p>
        </w:tc>
        <w:tc>
          <w:tcPr>
            <w:tcW w:w="17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(2,776)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Bifurcation of embedded derivative</w:t>
            </w:r>
          </w:p>
        </w:tc>
        <w:tc>
          <w:tcPr>
            <w:tcW w:w="17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w w:val="96"/>
              </w:rPr>
              <w:t>Accretion relating to liquidation preference on</w:t>
            </w: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740" w:type="dxa"/>
            <w:vAlign w:val="bottom"/>
          </w:tcPr>
          <w:p>
            <w:pPr>
              <w:ind w:left="380"/>
              <w:spacing w:after="0"/>
              <w:rPr>
                <w:sz w:val="20"/>
                <w:szCs w:val="20"/>
                <w:color w:val="auto"/>
              </w:rPr>
            </w:pPr>
            <w:r>
              <w:rPr>
                <w:rFonts w:ascii="Arial" w:cs="Arial" w:eastAsia="Arial" w:hAnsi="Arial"/>
                <w:sz w:val="18"/>
                <w:szCs w:val="18"/>
                <w:color w:val="auto"/>
              </w:rPr>
              <w:t>preferred stock</w:t>
            </w:r>
          </w:p>
        </w:tc>
        <w:tc>
          <w:tcPr>
            <w:tcW w:w="174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1,889</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7"/>
              </w:rPr>
              <w:t>Accretion for discount and issuance costs on</w:t>
            </w:r>
          </w:p>
        </w:tc>
        <w:tc>
          <w:tcPr>
            <w:tcW w:w="17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preferred stock</w:t>
            </w:r>
          </w:p>
        </w:tc>
        <w:tc>
          <w:tcPr>
            <w:tcW w:w="17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80" w:type="dxa"/>
            <w:vAlign w:val="bottom"/>
            <w:shd w:val="clear" w:color="auto" w:fill="CFF0FC"/>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Accumulated dividends</w:t>
            </w:r>
          </w:p>
        </w:tc>
        <w:tc>
          <w:tcPr>
            <w:tcW w:w="17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19,748</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2018</w:t>
            </w:r>
          </w:p>
        </w:tc>
        <w:tc>
          <w:tcPr>
            <w:tcW w:w="174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139,768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194,584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740" w:type="dxa"/>
            <w:vAlign w:val="bottom"/>
            <w:vMerge w:val="restart"/>
          </w:tcPr>
          <w:p>
            <w:pPr>
              <w:jc w:val="right"/>
              <w:ind w:right="1310"/>
              <w:spacing w:after="0"/>
              <w:rPr>
                <w:sz w:val="20"/>
                <w:szCs w:val="20"/>
                <w:color w:val="auto"/>
              </w:rPr>
            </w:pPr>
            <w:r>
              <w:rPr>
                <w:rFonts w:ascii="Arial" w:cs="Arial" w:eastAsia="Arial" w:hAnsi="Arial"/>
                <w:sz w:val="18"/>
                <w:szCs w:val="18"/>
                <w:color w:val="auto"/>
              </w:rPr>
              <w:t>23</w:t>
            </w: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Related Party Transactions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dividends were declared during the first nine months of 2018 or 2017. At September 30, 2018, accumulated dividends on the Series B and Series D Preferred totaled approximately $903,000. The Series B Preferred and Series D Preferred are non-redeemable preferred stocks issued in 1986 and 2001, respectively, of which all outstanding shares are owned by the Golsen Holders.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second quarter of 2018, we sold $500,000 principal amount of notes to Daniel D. Greenwell, our Chief Executive Officer, associated with the issuance and sale of the Senior Secured Notes discussed in footnote (B) of Note 6.</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2017, we received $2,300,000 as an advance payment on the sale (which sale closed in October 2017) of our engineered products business (industrial machinery and related components) to Industrial Acquisitions LLC and Industrial Products LLC (both entities are owned by immediate family members of Jack E. Golsen). During the first quarter of 2017, a death benefit agreement with Jack E. Golsen was terminated pursuant to the terms of the agreement that allowed us to terminate at any time and for any reason prior to the death of the employee. As a result, the liability of approximately $1,400,000 for the estimated death benefit associated with this agreement was extinguished and derecognized with the offset classified as operating other income in the first quarter of 2017.</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additional information relating to cash flow activities:</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gridSpan w:val="4"/>
          </w:tcPr>
          <w:p>
            <w:pPr>
              <w:jc w:val="center"/>
              <w:ind w:right="38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jc w:val="center"/>
              <w:ind w:left="471"/>
              <w:spacing w:after="0"/>
              <w:rPr>
                <w:sz w:val="20"/>
                <w:szCs w:val="20"/>
                <w:color w:val="auto"/>
              </w:rPr>
            </w:pPr>
            <w:r>
              <w:rPr>
                <w:rFonts w:ascii="Arial" w:cs="Arial" w:eastAsia="Arial" w:hAnsi="Arial"/>
                <w:sz w:val="18"/>
                <w:szCs w:val="18"/>
                <w:color w:val="auto"/>
                <w:w w:val="88"/>
              </w:rPr>
              <w:t>September 30,</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2018</w:t>
            </w: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9"/>
              </w:rPr>
              <w:t>2017</w:t>
            </w:r>
          </w:p>
        </w:tc>
        <w:tc>
          <w:tcPr>
            <w:tcW w:w="80" w:type="dxa"/>
            <w:vAlign w:val="bottom"/>
          </w:tcPr>
          <w:p>
            <w:pPr>
              <w:spacing w:after="0"/>
              <w:rPr>
                <w:sz w:val="20"/>
                <w:szCs w:val="20"/>
                <w:color w:val="auto"/>
              </w:rPr>
            </w:pPr>
          </w:p>
        </w:tc>
      </w:tr>
      <w:tr>
        <w:trPr>
          <w:trHeight w:val="204"/>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jc w:val="center"/>
              <w:ind w:left="451"/>
              <w:spacing w:after="0"/>
              <w:rPr>
                <w:sz w:val="20"/>
                <w:szCs w:val="20"/>
                <w:color w:val="auto"/>
              </w:rPr>
            </w:pPr>
            <w:r>
              <w:rPr>
                <w:rFonts w:ascii="Arial" w:cs="Arial" w:eastAsia="Arial" w:hAnsi="Arial"/>
                <w:sz w:val="16"/>
                <w:szCs w:val="16"/>
                <w:color w:val="auto"/>
                <w:w w:val="91"/>
              </w:rPr>
              <w:t>(In Thousands)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Cash payments (refunds) for:</w:t>
            </w:r>
          </w:p>
        </w:tc>
        <w:tc>
          <w:tcPr>
            <w:tcW w:w="1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Income taxes, net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(1,141)</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Noncash continuing investing and financing activities:</w:t>
            </w: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Dividends accrued on Series E Redeemable Preferred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19,748</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17,248</w:t>
            </w: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 associated with additions of</w:t>
            </w: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1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property, plant and equipment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14,609</w:t>
            </w:r>
          </w:p>
        </w:tc>
        <w:tc>
          <w:tcPr>
            <w:tcW w:w="50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14,968</w:t>
            </w:r>
          </w:p>
        </w:tc>
        <w:tc>
          <w:tcPr>
            <w:tcW w:w="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Accretion of Series E Redeemable Preferred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2,882</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4,852</w:t>
            </w: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Incentive tax credit receivable associated with</w:t>
            </w: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1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property, plant and equipment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8,125</w:t>
            </w:r>
          </w:p>
        </w:tc>
        <w:tc>
          <w:tcPr>
            <w:tcW w:w="80" w:type="dxa"/>
            <w:vAlign w:val="bottom"/>
            <w:shd w:val="clear" w:color="auto" w:fill="CFF0FC"/>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Subsequent Events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October 11, 2018, LSB entered into a preliminary, binding term sheet to settle </w:t>
      </w:r>
      <w:r>
        <w:rPr>
          <w:rFonts w:ascii="Arial" w:cs="Arial" w:eastAsia="Arial" w:hAnsi="Arial"/>
          <w:sz w:val="18"/>
          <w:szCs w:val="18"/>
          <w:i w:val="1"/>
          <w:iCs w:val="1"/>
          <w:color w:val="auto"/>
        </w:rPr>
        <w:t>Dennis Wilson vs. LSB Industries, Inc</w:t>
      </w:r>
      <w:r>
        <w:rPr>
          <w:rFonts w:ascii="Arial" w:cs="Arial" w:eastAsia="Arial" w:hAnsi="Arial"/>
          <w:sz w:val="18"/>
          <w:szCs w:val="18"/>
          <w:color w:val="auto"/>
        </w:rPr>
        <w:t>., et al., which is subject to approval by the court. Pursuant to the term sheet, the settlement amount of $18,450,000 is to be paid by our insurers on behalf of LSB and certain current and former officers.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this recognized subsequent event, a liability for the settlement amount has been accrued and a receivable for the loss recovery from our insurers for the settlement amount has been recognized as of September 30, 2018.</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should be read in conjunction with a review of the other Items included in this Form 10-Q and our September 30, 2018 condensed consolidated financial statements included elsewhere in this report. A reference to a “Note” relates to a note in the accompanying notes to the condensed consolidated financial statements. This MD&amp;A reflects our operating results, unless otherwise noted. Certain statements contained in this MD&amp;A may be deemed to be forward-looking statements. See “Special Note Regarding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LSB is headquartered in Oklahoma City, Oklahoma and through its subsidiaries, manufactures and sells chemical products for the agricultural, mining, and industrial markets. We own and operate facilities in Cherokee, Alabama, El Dorado, Arkansas and Pryor, Oklahoma, and operate a facility for Covestro in Baytown, Texas. Our products are sold through distributors and directly to end customers throughout the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Initiatives for 2018</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our future results of operations and financial condition will depend significantly on our ability to successfully implement the following key initiatives:</w:t>
      </w:r>
    </w:p>
    <w:p>
      <w:pPr>
        <w:spacing w:after="0" w:line="62" w:lineRule="exact"/>
        <w:rPr>
          <w:sz w:val="20"/>
          <w:szCs w:val="20"/>
          <w:color w:val="auto"/>
        </w:rPr>
      </w:pPr>
    </w:p>
    <w:p>
      <w:pPr>
        <w:jc w:val="both"/>
        <w:ind w:left="760" w:hanging="333"/>
        <w:spacing w:after="0" w:line="271" w:lineRule="auto"/>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Improving the On-Stream Rates of our Chemical Plants. </w:t>
      </w:r>
      <w:r>
        <w:rPr>
          <w:rFonts w:ascii="Arial" w:cs="Arial" w:eastAsia="Arial" w:hAnsi="Arial"/>
          <w:sz w:val="17"/>
          <w:szCs w:val="17"/>
          <w:color w:val="auto"/>
        </w:rPr>
        <w:t>We have several initiatives underway that we believe will assist us in improving the</w:t>
      </w:r>
      <w:r>
        <w:rPr>
          <w:rFonts w:ascii="Arial" w:cs="Arial" w:eastAsia="Arial" w:hAnsi="Arial"/>
          <w:sz w:val="17"/>
          <w:szCs w:val="17"/>
          <w:i w:val="1"/>
          <w:iCs w:val="1"/>
          <w:color w:val="auto"/>
        </w:rPr>
        <w:t xml:space="preserve"> </w:t>
      </w:r>
      <w:r>
        <w:rPr>
          <w:rFonts w:ascii="Arial" w:cs="Arial" w:eastAsia="Arial" w:hAnsi="Arial"/>
          <w:sz w:val="17"/>
          <w:szCs w:val="17"/>
          <w:color w:val="auto"/>
        </w:rPr>
        <w:t>reliability of our plants and allow us to produce more products for sale while lowering our cost of production. In 2017, we made the decision to upgrade our existing maintenance management system through technology enhancements and work processes to improve our predictive and preventative maintenance programs at our facilities. At that time, we also made the decision to engage outside maintenance experts to assist us in expediting its implementation and in its overall use. We have completed the initial implementation. Additionally, beginning in the third quarter of 2018, we engaged outside consultants to do a thorough review of our operating and maintenance procedures and our preventative maintenance programs at all of our facilities in an effort to determine where we may have gaps in procedures and programs and where we may need enhancements. This will be an ongoing effort that we expect to complete by the end of 2019.</w:t>
      </w:r>
    </w:p>
    <w:p>
      <w:pPr>
        <w:spacing w:after="0" w:line="70" w:lineRule="exact"/>
        <w:rPr>
          <w:rFonts w:ascii="Arial" w:cs="Arial" w:eastAsia="Arial" w:hAnsi="Arial"/>
          <w:sz w:val="17"/>
          <w:szCs w:val="17"/>
          <w:color w:val="auto"/>
        </w:rPr>
      </w:pPr>
    </w:p>
    <w:p>
      <w:pPr>
        <w:jc w:val="both"/>
        <w:ind w:left="760" w:hanging="333"/>
        <w:spacing w:after="0" w:line="259"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Focus on the Continued Improvement of Our Safety Performance. </w:t>
      </w:r>
      <w:r>
        <w:rPr>
          <w:rFonts w:ascii="Arial" w:cs="Arial" w:eastAsia="Arial" w:hAnsi="Arial"/>
          <w:sz w:val="18"/>
          <w:szCs w:val="18"/>
          <w:color w:val="auto"/>
        </w:rPr>
        <w:t>We believe that high safety standards are critical to improved plant</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With that in mind, we implemented enhanced safety programs at our facilities that focus on reducing risks and improving our safety culture in 2017. The implementation and training of these programs will be ongoing, and we expect these will benefit our on-stream rates going forward.</w:t>
      </w:r>
    </w:p>
    <w:p>
      <w:pPr>
        <w:spacing w:after="0" w:line="78" w:lineRule="exact"/>
        <w:rPr>
          <w:rFonts w:ascii="Arial" w:cs="Arial" w:eastAsia="Arial" w:hAnsi="Arial"/>
          <w:sz w:val="18"/>
          <w:szCs w:val="18"/>
          <w:color w:val="auto"/>
        </w:rPr>
      </w:pPr>
    </w:p>
    <w:p>
      <w:pPr>
        <w:jc w:val="both"/>
        <w:ind w:left="760" w:hanging="333"/>
        <w:spacing w:after="0" w:line="255"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Continue Broadening of the Distribution of our AN and Nitric Acid Products. </w:t>
      </w:r>
      <w:r>
        <w:rPr>
          <w:rFonts w:ascii="Arial" w:cs="Arial" w:eastAsia="Arial" w:hAnsi="Arial"/>
          <w:sz w:val="18"/>
          <w:szCs w:val="18"/>
          <w:color w:val="auto"/>
        </w:rPr>
        <w:t>We increased our overall sales volume of HDAN in 2017 by</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26% through various marketing initiatives which include: (1) storing and distributing HDAN at our Pryor and Cherokee Facilities which allows us to sell to new markets and customers out of those facilities and; (2) educating growers on the additional applications for HDAN. Throughout 2018, we expect to continue to focus on those initiatives and other initiatives in an effort to continue to grow our annual sales volumes as compared to 2017. We are also focused on expanding the sales of our mining products to leverage our plants current production capacity. As a part of that effort, we have entered into an agreement to have a current customer locate an emulsion plant at our El Dorado Facility. We will begin selling product to this facility in October 2018.</w:t>
      </w:r>
    </w:p>
    <w:p>
      <w:pPr>
        <w:spacing w:after="0" w:line="81" w:lineRule="exact"/>
        <w:rPr>
          <w:rFonts w:ascii="Arial" w:cs="Arial" w:eastAsia="Arial" w:hAnsi="Arial"/>
          <w:sz w:val="18"/>
          <w:szCs w:val="18"/>
          <w:color w:val="auto"/>
        </w:rPr>
      </w:pPr>
    </w:p>
    <w:p>
      <w:pPr>
        <w:ind w:left="760" w:right="20"/>
        <w:spacing w:after="0" w:line="308" w:lineRule="auto"/>
        <w:rPr>
          <w:rFonts w:ascii="Arial" w:cs="Arial" w:eastAsia="Arial" w:hAnsi="Arial"/>
          <w:sz w:val="18"/>
          <w:szCs w:val="18"/>
          <w:color w:val="auto"/>
        </w:rPr>
      </w:pPr>
      <w:r>
        <w:rPr>
          <w:rFonts w:ascii="Arial" w:cs="Arial" w:eastAsia="Arial" w:hAnsi="Arial"/>
          <w:sz w:val="17"/>
          <w:szCs w:val="17"/>
          <w:color w:val="auto"/>
        </w:rPr>
        <w:t>In addition, through increased marketing efforts, we increased our sales volumes of nitric acid by approximately 22% in 2017. We expect to continue to focus on increasing our marketing efforts in order to expand our market for our nitric acid products in North America.</w:t>
      </w:r>
    </w:p>
    <w:p>
      <w:pPr>
        <w:spacing w:after="0" w:line="38" w:lineRule="exact"/>
        <w:rPr>
          <w:rFonts w:ascii="Arial" w:cs="Arial" w:eastAsia="Arial" w:hAnsi="Arial"/>
          <w:sz w:val="18"/>
          <w:szCs w:val="18"/>
          <w:color w:val="auto"/>
        </w:rPr>
      </w:pPr>
    </w:p>
    <w:p>
      <w:pPr>
        <w:jc w:val="both"/>
        <w:ind w:left="760" w:hanging="333"/>
        <w:spacing w:after="0" w:line="259"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Improving the Margins on Sales of Our Products. </w:t>
      </w:r>
      <w:r>
        <w:rPr>
          <w:rFonts w:ascii="Arial" w:cs="Arial" w:eastAsia="Arial" w:hAnsi="Arial"/>
          <w:sz w:val="18"/>
          <w:szCs w:val="18"/>
          <w:color w:val="auto"/>
        </w:rPr>
        <w:t>Over the last several years, we have focused on increasing our sales volumes to produce at</w:t>
      </w:r>
      <w:r>
        <w:rPr>
          <w:rFonts w:ascii="Arial" w:cs="Arial" w:eastAsia="Arial" w:hAnsi="Arial"/>
          <w:sz w:val="18"/>
          <w:szCs w:val="18"/>
          <w:i w:val="1"/>
          <w:iCs w:val="1"/>
          <w:color w:val="auto"/>
        </w:rPr>
        <w:t xml:space="preserve"> </w:t>
      </w:r>
      <w:r>
        <w:rPr>
          <w:rFonts w:ascii="Arial" w:cs="Arial" w:eastAsia="Arial" w:hAnsi="Arial"/>
          <w:sz w:val="18"/>
          <w:szCs w:val="18"/>
          <w:color w:val="auto"/>
        </w:rPr>
        <w:t>optimal on-stream rates and lower our manufacturing costs per ton of product. Beginning in 2018, we undertook a review of all sales to customers to determine if there are opportunities to improve the margins on sales to those customers and to explore if there are further product upgrading opportunities. We have made certain changes that, we believe, will yield improved margins.</w:t>
      </w:r>
    </w:p>
    <w:p>
      <w:pPr>
        <w:spacing w:after="0" w:line="78" w:lineRule="exact"/>
        <w:rPr>
          <w:rFonts w:ascii="Arial" w:cs="Arial" w:eastAsia="Arial" w:hAnsi="Arial"/>
          <w:sz w:val="18"/>
          <w:szCs w:val="18"/>
          <w:color w:val="auto"/>
        </w:rPr>
      </w:pPr>
    </w:p>
    <w:p>
      <w:pPr>
        <w:jc w:val="both"/>
        <w:ind w:left="760" w:hanging="333"/>
        <w:spacing w:after="0" w:line="25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Reducing and Controlling our Cost Structure. </w:t>
      </w:r>
      <w:r>
        <w:rPr>
          <w:rFonts w:ascii="Arial" w:cs="Arial" w:eastAsia="Arial" w:hAnsi="Arial"/>
          <w:sz w:val="18"/>
          <w:szCs w:val="18"/>
          <w:color w:val="auto"/>
        </w:rPr>
        <w:t>We engaged outside experts to assist us in centralizing and expanding our Company-wide</w:t>
      </w:r>
      <w:r>
        <w:rPr>
          <w:rFonts w:ascii="Arial" w:cs="Arial" w:eastAsia="Arial" w:hAnsi="Arial"/>
          <w:sz w:val="18"/>
          <w:szCs w:val="18"/>
          <w:i w:val="1"/>
          <w:iCs w:val="1"/>
          <w:color w:val="auto"/>
        </w:rPr>
        <w:t xml:space="preserve"> </w:t>
      </w:r>
      <w:r>
        <w:rPr>
          <w:rFonts w:ascii="Arial" w:cs="Arial" w:eastAsia="Arial" w:hAnsi="Arial"/>
          <w:sz w:val="18"/>
          <w:szCs w:val="18"/>
          <w:color w:val="auto"/>
        </w:rPr>
        <w:t>procurement efforts. We completed our initial areas of focus during the second quarter of 2018, completed the implementation of changes in those focus areas, and begun the see benefits during the third quarter of 2018. We believe that these efforts along with several additional identified areas of focus, will result in an overall reduction in expenses and capital spend in the aggregate of between $3 million to $5 million on an annualized basis.</w:t>
      </w:r>
    </w:p>
    <w:p>
      <w:pPr>
        <w:spacing w:after="0" w:line="80" w:lineRule="exact"/>
        <w:rPr>
          <w:rFonts w:ascii="Arial" w:cs="Arial" w:eastAsia="Arial" w:hAnsi="Arial"/>
          <w:sz w:val="18"/>
          <w:szCs w:val="18"/>
          <w:color w:val="auto"/>
        </w:rPr>
      </w:pPr>
    </w:p>
    <w:p>
      <w:pPr>
        <w:ind w:left="760"/>
        <w:spacing w:after="0" w:line="277" w:lineRule="auto"/>
        <w:rPr>
          <w:rFonts w:ascii="Arial" w:cs="Arial" w:eastAsia="Arial" w:hAnsi="Arial"/>
          <w:sz w:val="18"/>
          <w:szCs w:val="18"/>
          <w:color w:val="auto"/>
        </w:rPr>
      </w:pPr>
      <w:r>
        <w:rPr>
          <w:rFonts w:ascii="Arial" w:cs="Arial" w:eastAsia="Arial" w:hAnsi="Arial"/>
          <w:sz w:val="18"/>
          <w:szCs w:val="18"/>
          <w:color w:val="auto"/>
        </w:rPr>
        <w:t>Since mid-2016, we have reduced our annual SG&amp;A and plant expenses over $12 million. In addition to the procurement initiative discussed above, we believe there is still an opportunity to further reduce those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 w:name="page26"/>
    <w:bookmarkEnd w:id="25"/>
    <w:p>
      <w:pPr>
        <w:jc w:val="both"/>
        <w:ind w:left="760" w:hanging="333"/>
        <w:spacing w:after="0" w:line="312"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Focus on Improving Our Capital Structure and Overall Cost of Capital. </w:t>
      </w:r>
      <w:r>
        <w:rPr>
          <w:rFonts w:ascii="Arial" w:cs="Arial" w:eastAsia="Arial" w:hAnsi="Arial"/>
          <w:sz w:val="16"/>
          <w:szCs w:val="16"/>
          <w:color w:val="auto"/>
        </w:rPr>
        <w:t>We are actively seeking ways to improve our capital structure and reduce</w:t>
      </w:r>
      <w:r>
        <w:rPr>
          <w:rFonts w:ascii="Arial" w:cs="Arial" w:eastAsia="Arial" w:hAnsi="Arial"/>
          <w:sz w:val="16"/>
          <w:szCs w:val="16"/>
          <w:i w:val="1"/>
          <w:iCs w:val="1"/>
          <w:color w:val="auto"/>
        </w:rPr>
        <w:t xml:space="preserve"> </w:t>
      </w:r>
      <w:r>
        <w:rPr>
          <w:rFonts w:ascii="Arial" w:cs="Arial" w:eastAsia="Arial" w:hAnsi="Arial"/>
          <w:sz w:val="16"/>
          <w:szCs w:val="16"/>
          <w:color w:val="auto"/>
        </w:rPr>
        <w:t>our overall cost of capital. We believe that the improving end markets for our products combined with our improved operating performance will be a benefit in achieving those efforts. As a part of that, in the second quarter of 2018, we refinanced our outstanding Senior Secured Notes.</w:t>
      </w:r>
    </w:p>
    <w:p>
      <w:pPr>
        <w:spacing w:after="0" w:line="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not successfully implement any or all of these initiatives. Even if we successfully implement the initiatives, they may not achieve the results that we expect or desire.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Successful Completion of a Turnaround at Cherokee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third quarter of 2018, we completed a 35-day Turnaround performed on our plants at our Cherokee Facility. The next Turnaround for this facility is scheduled in 2021. See additional discussion below under “Items Affecting Comparability of Results of the Third Quarter.”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 of Certain Non-Core Assets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third quarter of 2018, we sold certain non-core assets (primarily real estate properties) for approximately $6.0 million of net proceeds and recognized a net gain of approximately $2.4 million that is included in other income. We continue to evaluate our assets to determine if there are additional non-core assets that we should monetize.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Industry Factors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Supply and Demand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Agricultural</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of our agricultural products were approximately 45% of our total net sales for the third quarter of 2018. The price at which our agricultural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recent expansions or upgrades of competitors’ facilities, and international and domestic political and economic developments, including tariffs, continue to play an important role in the global nitrogen fertilizer industry economics. These factors can affect, in addition to selling prices, the level of inventories in the market which can cause price volatility and affect product margins.</w:t>
      </w:r>
    </w:p>
    <w:p>
      <w:pPr>
        <w:spacing w:after="0" w:line="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Additionally, changes in corn prices can affect the number of acres of corn planted in a given year, and the number of acres planted will drive the level of nitrogen fertilizer consumption, likely effecting prices. China’s recent tariffs placed on U.S. soybeans is expected to cause a shift of 5 to 6 million acres that will be rotated from soybeans to corn in the next planting season. The following estimates are associated with the corn market: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220" w:type="dxa"/>
            <w:vAlign w:val="bottom"/>
          </w:tcPr>
          <w:p>
            <w:pPr>
              <w:spacing w:after="0"/>
              <w:rPr>
                <w:sz w:val="17"/>
                <w:szCs w:val="17"/>
                <w:color w:val="auto"/>
              </w:rPr>
            </w:pPr>
          </w:p>
        </w:tc>
        <w:tc>
          <w:tcPr>
            <w:tcW w:w="1720" w:type="dxa"/>
            <w:vAlign w:val="bottom"/>
            <w:gridSpan w:val="2"/>
          </w:tcPr>
          <w:p>
            <w:pPr>
              <w:ind w:left="400"/>
              <w:spacing w:after="0"/>
              <w:rPr>
                <w:sz w:val="20"/>
                <w:szCs w:val="20"/>
                <w:color w:val="auto"/>
              </w:rPr>
            </w:pPr>
            <w:r>
              <w:rPr>
                <w:rFonts w:ascii="Arial" w:cs="Arial" w:eastAsia="Arial" w:hAnsi="Arial"/>
                <w:sz w:val="16"/>
                <w:szCs w:val="16"/>
                <w:color w:val="auto"/>
              </w:rPr>
              <w:t>2019 Crop</w:t>
            </w:r>
          </w:p>
        </w:tc>
        <w:tc>
          <w:tcPr>
            <w:tcW w:w="2040" w:type="dxa"/>
            <w:vAlign w:val="bottom"/>
            <w:gridSpan w:val="2"/>
          </w:tcPr>
          <w:p>
            <w:pPr>
              <w:ind w:left="560"/>
              <w:spacing w:after="0"/>
              <w:rPr>
                <w:sz w:val="20"/>
                <w:szCs w:val="20"/>
                <w:color w:val="auto"/>
              </w:rPr>
            </w:pPr>
            <w:r>
              <w:rPr>
                <w:rFonts w:ascii="Arial" w:cs="Arial" w:eastAsia="Arial" w:hAnsi="Arial"/>
                <w:sz w:val="16"/>
                <w:szCs w:val="16"/>
                <w:color w:val="auto"/>
              </w:rPr>
              <w:t>2019 Crop</w:t>
            </w:r>
          </w:p>
        </w:tc>
        <w:tc>
          <w:tcPr>
            <w:tcW w:w="2040" w:type="dxa"/>
            <w:vAlign w:val="bottom"/>
            <w:gridSpan w:val="2"/>
          </w:tcPr>
          <w:p>
            <w:pPr>
              <w:ind w:left="560"/>
              <w:spacing w:after="0"/>
              <w:rPr>
                <w:sz w:val="20"/>
                <w:szCs w:val="20"/>
                <w:color w:val="auto"/>
              </w:rPr>
            </w:pPr>
            <w:r>
              <w:rPr>
                <w:rFonts w:ascii="Arial" w:cs="Arial" w:eastAsia="Arial" w:hAnsi="Arial"/>
                <w:sz w:val="16"/>
                <w:szCs w:val="16"/>
                <w:color w:val="auto"/>
              </w:rPr>
              <w:t>2018 Crop</w:t>
            </w:r>
          </w:p>
        </w:tc>
        <w:tc>
          <w:tcPr>
            <w:tcW w:w="1220" w:type="dxa"/>
            <w:vAlign w:val="bottom"/>
            <w:gridSpan w:val="2"/>
          </w:tcPr>
          <w:p>
            <w:pPr>
              <w:jc w:val="right"/>
              <w:ind w:right="400"/>
              <w:spacing w:after="0"/>
              <w:rPr>
                <w:sz w:val="20"/>
                <w:szCs w:val="20"/>
                <w:color w:val="auto"/>
              </w:rPr>
            </w:pPr>
            <w:r>
              <w:rPr>
                <w:rFonts w:ascii="Arial" w:cs="Arial" w:eastAsia="Arial" w:hAnsi="Arial"/>
                <w:sz w:val="16"/>
                <w:szCs w:val="16"/>
                <w:color w:val="auto"/>
                <w:w w:val="97"/>
              </w:rPr>
              <w:t>Percentage</w:t>
            </w: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w w:val="97"/>
              </w:rPr>
              <w:t>Percentage</w:t>
            </w:r>
          </w:p>
        </w:tc>
      </w:tr>
      <w:tr>
        <w:trPr>
          <w:trHeight w:val="246"/>
        </w:trPr>
        <w:tc>
          <w:tcPr>
            <w:tcW w:w="3220" w:type="dxa"/>
            <w:vAlign w:val="bottom"/>
            <w:tcBorders>
              <w:bottom w:val="single" w:sz="8" w:color="CFF0FC"/>
            </w:tcBorders>
          </w:tcPr>
          <w:p>
            <w:pPr>
              <w:spacing w:after="0"/>
              <w:rPr>
                <w:sz w:val="21"/>
                <w:szCs w:val="21"/>
                <w:color w:val="auto"/>
              </w:rPr>
            </w:pPr>
          </w:p>
        </w:tc>
        <w:tc>
          <w:tcPr>
            <w:tcW w:w="150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color w:val="auto"/>
              </w:rPr>
              <w:t xml:space="preserve">October Report </w:t>
            </w:r>
            <w:r>
              <w:rPr>
                <w:rFonts w:ascii="Arial" w:cs="Arial" w:eastAsia="Arial" w:hAnsi="Arial"/>
                <w:sz w:val="14"/>
                <w:szCs w:val="14"/>
                <w:color w:val="auto"/>
              </w:rPr>
              <w:t>(1)</w:t>
            </w:r>
          </w:p>
        </w:tc>
        <w:tc>
          <w:tcPr>
            <w:tcW w:w="220" w:type="dxa"/>
            <w:vAlign w:val="bottom"/>
            <w:tcBorders>
              <w:bottom w:val="single" w:sz="8" w:color="CFF0FC"/>
            </w:tcBorders>
          </w:tcPr>
          <w:p>
            <w:pPr>
              <w:spacing w:after="0"/>
              <w:rPr>
                <w:sz w:val="21"/>
                <w:szCs w:val="21"/>
                <w:color w:val="auto"/>
              </w:rPr>
            </w:pPr>
          </w:p>
        </w:tc>
        <w:tc>
          <w:tcPr>
            <w:tcW w:w="18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color w:val="auto"/>
              </w:rPr>
              <w:t xml:space="preserve">July Report </w:t>
            </w:r>
            <w:r>
              <w:rPr>
                <w:rFonts w:ascii="Arial" w:cs="Arial" w:eastAsia="Arial" w:hAnsi="Arial"/>
                <w:sz w:val="14"/>
                <w:szCs w:val="14"/>
                <w:color w:val="auto"/>
              </w:rPr>
              <w:t>(1)</w:t>
            </w:r>
          </w:p>
        </w:tc>
        <w:tc>
          <w:tcPr>
            <w:tcW w:w="220" w:type="dxa"/>
            <w:vAlign w:val="bottom"/>
            <w:tcBorders>
              <w:bottom w:val="single" w:sz="8" w:color="CFF0FC"/>
            </w:tcBorders>
          </w:tcPr>
          <w:p>
            <w:pPr>
              <w:spacing w:after="0"/>
              <w:rPr>
                <w:sz w:val="21"/>
                <w:szCs w:val="21"/>
                <w:color w:val="auto"/>
              </w:rPr>
            </w:pPr>
          </w:p>
        </w:tc>
        <w:tc>
          <w:tcPr>
            <w:tcW w:w="182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color w:val="auto"/>
              </w:rPr>
              <w:t xml:space="preserve">October Report </w:t>
            </w:r>
            <w:r>
              <w:rPr>
                <w:rFonts w:ascii="Arial" w:cs="Arial" w:eastAsia="Arial" w:hAnsi="Arial"/>
                <w:sz w:val="14"/>
                <w:szCs w:val="14"/>
                <w:color w:val="auto"/>
              </w:rPr>
              <w:t>(1)</w:t>
            </w:r>
          </w:p>
        </w:tc>
        <w:tc>
          <w:tcPr>
            <w:tcW w:w="220" w:type="dxa"/>
            <w:vAlign w:val="bottom"/>
            <w:tcBorders>
              <w:bottom w:val="single" w:sz="8" w:color="CFF0FC"/>
            </w:tcBorders>
          </w:tcPr>
          <w:p>
            <w:pPr>
              <w:spacing w:after="0"/>
              <w:rPr>
                <w:sz w:val="21"/>
                <w:szCs w:val="21"/>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color w:val="auto"/>
              </w:rPr>
              <w:t xml:space="preserve">Change </w:t>
            </w:r>
            <w:r>
              <w:rPr>
                <w:rFonts w:ascii="Arial" w:cs="Arial" w:eastAsia="Arial" w:hAnsi="Arial"/>
                <w:sz w:val="14"/>
                <w:szCs w:val="14"/>
                <w:color w:val="auto"/>
              </w:rPr>
              <w:t>(2)</w:t>
            </w:r>
          </w:p>
        </w:tc>
        <w:tc>
          <w:tcPr>
            <w:tcW w:w="280" w:type="dxa"/>
            <w:vAlign w:val="bottom"/>
            <w:tcBorders>
              <w:bottom w:val="single" w:sz="8" w:color="CFF0FC"/>
            </w:tcBorders>
          </w:tcPr>
          <w:p>
            <w:pPr>
              <w:spacing w:after="0"/>
              <w:rPr>
                <w:sz w:val="21"/>
                <w:szCs w:val="21"/>
                <w:color w:val="auto"/>
              </w:rPr>
            </w:pP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color w:val="auto"/>
              </w:rPr>
              <w:t xml:space="preserve">Change </w:t>
            </w:r>
            <w:r>
              <w:rPr>
                <w:rFonts w:ascii="Arial" w:cs="Arial" w:eastAsia="Arial" w:hAnsi="Arial"/>
                <w:sz w:val="14"/>
                <w:szCs w:val="14"/>
                <w:color w:val="auto"/>
              </w:rPr>
              <w:t>(3)</w:t>
            </w:r>
          </w:p>
        </w:tc>
        <w:tc>
          <w:tcPr>
            <w:tcW w:w="220" w:type="dxa"/>
            <w:vAlign w:val="bottom"/>
            <w:tcBorders>
              <w:bottom w:val="single" w:sz="8" w:color="CFF0FC"/>
            </w:tcBorders>
          </w:tcPr>
          <w:p>
            <w:pPr>
              <w:spacing w:after="0"/>
              <w:rPr>
                <w:sz w:val="21"/>
                <w:szCs w:val="21"/>
                <w:color w:val="auto"/>
              </w:rPr>
            </w:pPr>
          </w:p>
        </w:tc>
      </w:tr>
      <w:tr>
        <w:trPr>
          <w:trHeight w:val="226"/>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 Area Planted </w:t>
            </w:r>
            <w:r>
              <w:rPr>
                <w:rFonts w:ascii="Arial" w:cs="Arial" w:eastAsia="Arial" w:hAnsi="Arial"/>
                <w:sz w:val="14"/>
                <w:szCs w:val="14"/>
                <w:i w:val="1"/>
                <w:iCs w:val="1"/>
                <w:color w:val="auto"/>
              </w:rPr>
              <w:t>(Million acres)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22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22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 xml:space="preserve">U.S. Yield per Acre </w:t>
            </w:r>
            <w:r>
              <w:rPr>
                <w:rFonts w:ascii="Arial" w:cs="Arial" w:eastAsia="Arial" w:hAnsi="Arial"/>
                <w:sz w:val="14"/>
                <w:szCs w:val="14"/>
                <w:i w:val="1"/>
                <w:iCs w:val="1"/>
                <w:color w:val="auto"/>
              </w:rPr>
              <w:t>(Bushels)</w:t>
            </w:r>
          </w:p>
        </w:tc>
        <w:tc>
          <w:tcPr>
            <w:tcW w:w="1500" w:type="dxa"/>
            <w:vAlign w:val="bottom"/>
          </w:tcPr>
          <w:p>
            <w:pPr>
              <w:jc w:val="right"/>
              <w:spacing w:after="0"/>
              <w:rPr>
                <w:sz w:val="20"/>
                <w:szCs w:val="20"/>
                <w:color w:val="auto"/>
              </w:rPr>
            </w:pPr>
            <w:r>
              <w:rPr>
                <w:rFonts w:ascii="Arial" w:cs="Arial" w:eastAsia="Arial" w:hAnsi="Arial"/>
                <w:sz w:val="18"/>
                <w:szCs w:val="18"/>
                <w:color w:val="auto"/>
              </w:rPr>
              <w:t>180.7</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174.0</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176.6</w:t>
            </w: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r>
      <w:tr>
        <w:trPr>
          <w:trHeight w:val="23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 Production </w:t>
            </w:r>
            <w:r>
              <w:rPr>
                <w:rFonts w:ascii="Arial" w:cs="Arial" w:eastAsia="Arial" w:hAnsi="Arial"/>
                <w:sz w:val="14"/>
                <w:szCs w:val="14"/>
                <w:i w:val="1"/>
                <w:iCs w:val="1"/>
                <w:color w:val="auto"/>
              </w:rPr>
              <w:t>(Million bushels)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14,788</w:t>
            </w:r>
          </w:p>
        </w:tc>
        <w:tc>
          <w:tcPr>
            <w:tcW w:w="22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14,230</w:t>
            </w:r>
          </w:p>
        </w:tc>
        <w:tc>
          <w:tcPr>
            <w:tcW w:w="22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14,604</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3.9%</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 xml:space="preserve">U.S. Ending Stocks </w:t>
            </w:r>
            <w:r>
              <w:rPr>
                <w:rFonts w:ascii="Arial" w:cs="Arial" w:eastAsia="Arial" w:hAnsi="Arial"/>
                <w:sz w:val="14"/>
                <w:szCs w:val="14"/>
                <w:i w:val="1"/>
                <w:iCs w:val="1"/>
                <w:color w:val="auto"/>
              </w:rPr>
              <w:t>(Million bushels)</w:t>
            </w:r>
          </w:p>
        </w:tc>
        <w:tc>
          <w:tcPr>
            <w:tcW w:w="1500" w:type="dxa"/>
            <w:vAlign w:val="bottom"/>
          </w:tcPr>
          <w:p>
            <w:pPr>
              <w:jc w:val="right"/>
              <w:spacing w:after="0"/>
              <w:rPr>
                <w:sz w:val="20"/>
                <w:szCs w:val="20"/>
                <w:color w:val="auto"/>
              </w:rPr>
            </w:pPr>
            <w:r>
              <w:rPr>
                <w:rFonts w:ascii="Arial" w:cs="Arial" w:eastAsia="Arial" w:hAnsi="Arial"/>
                <w:sz w:val="18"/>
                <w:szCs w:val="18"/>
                <w:color w:val="auto"/>
              </w:rPr>
              <w:t>46.1</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39.4</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54.4</w:t>
            </w: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17.0%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r>
      <w:tr>
        <w:trPr>
          <w:trHeight w:val="23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World Ending Stocks </w:t>
            </w:r>
            <w:r>
              <w:rPr>
                <w:rFonts w:ascii="Arial" w:cs="Arial" w:eastAsia="Arial" w:hAnsi="Arial"/>
                <w:sz w:val="14"/>
                <w:szCs w:val="14"/>
                <w:i w:val="1"/>
                <w:iCs w:val="1"/>
                <w:color w:val="auto"/>
              </w:rPr>
              <w:t>(Million bushels)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w:t>
            </w:r>
          </w:p>
        </w:tc>
        <w:tc>
          <w:tcPr>
            <w:tcW w:w="22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w:t>
            </w:r>
          </w:p>
        </w:tc>
        <w:tc>
          <w:tcPr>
            <w:tcW w:w="22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(19.6%)</w:t>
            </w:r>
          </w:p>
        </w:tc>
      </w:tr>
    </w:tbl>
    <w:p>
      <w:pPr>
        <w:spacing w:after="0" w:line="94" w:lineRule="exact"/>
        <w:rPr>
          <w:sz w:val="20"/>
          <w:szCs w:val="20"/>
          <w:color w:val="auto"/>
        </w:rPr>
      </w:pPr>
    </w:p>
    <w:p>
      <w:pPr>
        <w:ind w:left="760" w:hanging="374"/>
        <w:spacing w:after="0" w:line="258"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Information obtained from WASDE reports dated October 11, 2018 (October Report) and July 12, 2018 (July Report) for the 2018/2019 (“2019 Crop”) and 2017/2018 (“2018 Crop”) corn marketing years.</w:t>
      </w:r>
    </w:p>
    <w:p>
      <w:pPr>
        <w:spacing w:after="0" w:line="1" w:lineRule="exact"/>
        <w:rPr>
          <w:rFonts w:ascii="Arial" w:cs="Arial" w:eastAsia="Arial" w:hAnsi="Arial"/>
          <w:sz w:val="18"/>
          <w:szCs w:val="18"/>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percentage change between the 2019 Crop amounts from the October Report compared to the July Report.</w:t>
      </w:r>
    </w:p>
    <w:p>
      <w:pPr>
        <w:spacing w:after="0" w:line="9" w:lineRule="exact"/>
        <w:rPr>
          <w:rFonts w:ascii="Arial" w:cs="Arial" w:eastAsia="Arial" w:hAnsi="Arial"/>
          <w:sz w:val="18"/>
          <w:szCs w:val="18"/>
          <w:color w:val="auto"/>
        </w:rPr>
      </w:pPr>
    </w:p>
    <w:p>
      <w:pPr>
        <w:ind w:left="760" w:hanging="374"/>
        <w:spacing w:after="0" w:line="261"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percentage change between the 2019 Crop amounts from the October Report compared to the 2018 Crop amounts from the October Report.</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the supply side, given the low price of natural gas in North America over the last several years, North American fertilizer producers have become the global low-cost producers for delivered fertilizer products to the Midwest U.S. Several years ago, the market believed that low natural gas prices would continue. That belief, combined with favorable fertilizer pricing, stimulated investment in numerous expansions of existing nitrogen chemical facilities and the construction of new nitrogen chemical facilities. Since those announcements, global nitrogen fertilizer supply has outpaced global nitrogen fertilizer demand causing oversupply in the global and North American markets. The increased fertilizer supply led to lower nitrogen fertilizer sale prices during most of 2017. Also, additional domestic supply of ammonia and other fertilizer products changed the physical flow of ammonia in North America placing pressure on ammonia and other fertilizer prices until the distribution system accepted the new supply. Beginning in the fourth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6" w:name="page27"/>
    <w:bookmarkEnd w:id="26"/>
    <w:p>
      <w:pPr>
        <w:jc w:val="both"/>
        <w:spacing w:after="0" w:line="264" w:lineRule="auto"/>
        <w:rPr>
          <w:sz w:val="20"/>
          <w:szCs w:val="20"/>
          <w:color w:val="auto"/>
        </w:rPr>
      </w:pPr>
      <w:r>
        <w:rPr>
          <w:rFonts w:ascii="Arial" w:cs="Arial" w:eastAsia="Arial" w:hAnsi="Arial"/>
          <w:sz w:val="18"/>
          <w:szCs w:val="18"/>
          <w:color w:val="auto"/>
        </w:rPr>
        <w:t>quarter of 2017 and through the first nine months of 2018, we have seen an increase in fertilizer prices as imports of fertilizers have decreased significantly and the distribution of the new domestic supply of fertilizer has been established. We expect this trend to continue into the fourth quarter of 2018 and into the first half of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Industrial</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of our industrial products were approximately 44% of our total net sales for the third quarter of 2018. Our industrial products sales volumes are dependent upon general economic conditions primarily in the housing, automotive, and paper industries. According to the American Chemistry Council, the U.S. economic indicators continue to be mostly positive for these sectors domestically. However, trade tension with China over recent import tariffs could lead to negative effects in these sectors. Our sales prices generally vary with the market price of our feedstock (ammonia or natural gas, as applicable) in our pricing arrangements with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Mining</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Sales of our mining products were approximately 11% of our total net sales for the third quarter of 2018. </w:t>
      </w:r>
      <w:r>
        <w:rPr>
          <w:rFonts w:ascii="Arial" w:cs="Arial" w:eastAsia="Arial" w:hAnsi="Arial"/>
          <w:sz w:val="17"/>
          <w:szCs w:val="17"/>
          <w:color w:val="2E2E2E"/>
        </w:rPr>
        <w:t>Our mining products are LDAN and AN Solutions,</w:t>
      </w:r>
      <w:r>
        <w:rPr>
          <w:rFonts w:ascii="Arial" w:cs="Arial" w:eastAsia="Arial" w:hAnsi="Arial"/>
          <w:sz w:val="17"/>
          <w:szCs w:val="17"/>
          <w:color w:val="auto"/>
        </w:rPr>
        <w:t xml:space="preserve"> </w:t>
      </w:r>
      <w:r>
        <w:rPr>
          <w:rFonts w:ascii="Arial" w:cs="Arial" w:eastAsia="Arial" w:hAnsi="Arial"/>
          <w:sz w:val="17"/>
          <w:szCs w:val="17"/>
          <w:color w:val="2E2E2E"/>
        </w:rPr>
        <w:t xml:space="preserve">which are primary used as AN </w:t>
      </w:r>
      <w:r>
        <w:rPr>
          <w:rFonts w:ascii="Arial" w:cs="Arial" w:eastAsia="Arial" w:hAnsi="Arial"/>
          <w:sz w:val="17"/>
          <w:szCs w:val="17"/>
          <w:color w:val="000000"/>
        </w:rPr>
        <w:t>fuel oil and specialty emulsions for surface mining of coal and for usage in quarries and the construction industry. EIA is</w:t>
      </w:r>
      <w:r>
        <w:rPr>
          <w:rFonts w:ascii="Arial" w:cs="Arial" w:eastAsia="Arial" w:hAnsi="Arial"/>
          <w:sz w:val="17"/>
          <w:szCs w:val="17"/>
          <w:color w:val="2E2E2E"/>
        </w:rPr>
        <w:t xml:space="preserve"> </w:t>
      </w:r>
      <w:r>
        <w:rPr>
          <w:rFonts w:ascii="Arial" w:cs="Arial" w:eastAsia="Arial" w:hAnsi="Arial"/>
          <w:sz w:val="17"/>
          <w:szCs w:val="17"/>
          <w:color w:val="000000"/>
        </w:rPr>
        <w:t>forecasting U.S. coal production in 2018 will decrease by 2.4% from 2017 followed by a 1.7% decrease in 2019. U.S. coal consumption is also expected to decline due to low natural gas prices and alternate renewable energy sources and recent closure of coal-fired power plants is reducing demand for coal for coal-fired electricity generation (down 4% in 2018 and 5% in 2019). EIA also expects U.S. coal domestic and export demand to decline in 2018 and 2019. Despite year over year growth in sales volumes, we believe that coal production in the U.S. continues to face significant challenges from competition from natural gas and renewable sources of energy. While we believe our plants are well-located to support the more stable coal-producing regions in the upcoming years, our current mining sales volumes are being affected by overall lower customer demand for LDAN. We do not expect a significant increase in our mining business in the near term.</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Farmer Economics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Natural Gas Prices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Natural gas is the primary feedstock used to produce nitrogen fertilizers at our manufacturing facilities.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historically have purchased natural gas in the spot market, using forward purchase contracts, or through a combination of both, and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The following table shows the volume of natural gas we purchased and the average cost per MMBtu:</w:t>
      </w:r>
    </w:p>
    <w:p>
      <w:pPr>
        <w:spacing w:after="0" w:line="215"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Three Months Ended</w:t>
      </w:r>
    </w:p>
    <w:p>
      <w:pPr>
        <w:spacing w:after="0" w:line="36"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September 30,</w:t>
      </w:r>
    </w:p>
    <w:p>
      <w:pPr>
        <w:spacing w:after="0" w:line="23" w:lineRule="exact"/>
        <w:rPr>
          <w:sz w:val="20"/>
          <w:szCs w:val="20"/>
          <w:color w:val="auto"/>
        </w:rPr>
      </w:pPr>
    </w:p>
    <w:p>
      <w:pPr>
        <w:ind w:left="7560"/>
        <w:spacing w:after="0"/>
        <w:tabs>
          <w:tab w:leader="none" w:pos="8860" w:val="left"/>
        </w:tabs>
        <w:rPr>
          <w:sz w:val="20"/>
          <w:szCs w:val="20"/>
          <w:color w:val="auto"/>
        </w:rPr>
      </w:pPr>
      <w:r>
        <w:rPr>
          <w:rFonts w:ascii="Arial" w:cs="Arial" w:eastAsia="Arial" w:hAnsi="Arial"/>
          <w:sz w:val="18"/>
          <w:szCs w:val="18"/>
          <w:color w:val="auto"/>
        </w:rPr>
        <w:t>2018</w:t>
      </w:r>
      <w:r>
        <w:rPr>
          <w:sz w:val="20"/>
          <w:szCs w:val="20"/>
          <w:color w:val="auto"/>
        </w:rPr>
        <w:tab/>
      </w:r>
      <w:r>
        <w:rPr>
          <w:rFonts w:ascii="Arial" w:cs="Arial" w:eastAsia="Arial" w:hAnsi="Arial"/>
          <w:sz w:val="18"/>
          <w:szCs w:val="18"/>
          <w:color w:val="auto"/>
        </w:rPr>
        <w:t>2017</w:t>
      </w:r>
    </w:p>
    <w:p>
      <w:pPr>
        <w:spacing w:after="0" w:line="21" w:lineRule="exact"/>
        <w:rPr>
          <w:sz w:val="20"/>
          <w:szCs w:val="20"/>
          <w:color w:val="auto"/>
        </w:rPr>
      </w:pPr>
    </w:p>
    <w:tbl>
      <w:tblPr>
        <w:tblLayout w:type="fixed"/>
        <w:tblInd w:w="1720" w:type="dxa"/>
        <w:tblCellMar>
          <w:top w:w="0" w:type="dxa"/>
          <w:left w:w="0" w:type="dxa"/>
          <w:bottom w:w="0" w:type="dxa"/>
          <w:right w:w="0" w:type="dxa"/>
        </w:tblCellMar>
      </w:tblPr>
      <w:tr>
        <w:trPr>
          <w:trHeight w:val="225"/>
        </w:trPr>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Natural gas volumes (MMBtu in millions)</w:t>
            </w: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Natural gas average cost per MMBtu</w:t>
            </w: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Transportation Costs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Costs for transporting nitrogen-based products can be significant relative to their selling price. For example, ammonia is a hazardous gas at ambient temperatures and must be transported in specialized equipment, which is more expensive than other forms of nitrogen fertilizers. In recent years, a significant amount of the ammonia consumed annually in the U.S was imported. Therefore, nitrogen fertilizers prices in the U.S. are influenced by the cost to transport product from exporting countries, giving domestic producers who transport shorter distances an advantage.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7" w:name="page28"/>
    <w:bookmarkEnd w:id="27"/>
    <w:p>
      <w:pPr>
        <w:jc w:val="center"/>
        <w:ind w:right="9500"/>
        <w:spacing w:after="0"/>
        <w:rPr>
          <w:sz w:val="20"/>
          <w:szCs w:val="20"/>
          <w:color w:val="auto"/>
        </w:rPr>
      </w:pPr>
      <w:r>
        <w:rPr>
          <w:rFonts w:ascii="Arial" w:cs="Arial" w:eastAsia="Arial" w:hAnsi="Arial"/>
          <w:sz w:val="16"/>
          <w:szCs w:val="16"/>
          <w:b w:val="1"/>
          <w:bCs w:val="1"/>
          <w:color w:val="auto"/>
        </w:rPr>
        <w:t>Key Operational Factors</w:t>
      </w:r>
    </w:p>
    <w:p>
      <w:pPr>
        <w:spacing w:after="0" w:line="144" w:lineRule="exact"/>
        <w:rPr>
          <w:sz w:val="20"/>
          <w:szCs w:val="20"/>
          <w:color w:val="auto"/>
        </w:rPr>
      </w:pPr>
    </w:p>
    <w:p>
      <w:pPr>
        <w:jc w:val="center"/>
        <w:ind w:right="9520"/>
        <w:spacing w:after="0"/>
        <w:rPr>
          <w:sz w:val="20"/>
          <w:szCs w:val="20"/>
          <w:color w:val="auto"/>
        </w:rPr>
      </w:pPr>
      <w:r>
        <w:rPr>
          <w:rFonts w:ascii="Arial" w:cs="Arial" w:eastAsia="Arial" w:hAnsi="Arial"/>
          <w:sz w:val="18"/>
          <w:szCs w:val="18"/>
          <w:b w:val="1"/>
          <w:bCs w:val="1"/>
          <w:i w:val="1"/>
          <w:iCs w:val="1"/>
          <w:color w:val="auto"/>
        </w:rPr>
        <w:t>Facility Reliability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Consistent, reliable and safe operations at our chemical plants are critical to our financial performance and results of operations. The financial effects of planned downtime at our plants, including Turnarounds, are mitigated through a diligent planning process that considers the availability of resources to perform the needed maintenance, feedstock logistics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 from lost sales of our products, lost fixed cost absorption from lower production of our products, and increased costs related to repairs and maintenance, which repair, and maintenance costs are expensed as incurred. We have no Turnarounds scheduled for the fourth quarter of 2018.</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Prepay Contracts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are agreed upon which dates are usually within 12 months.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the Third Quarter of 2018</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consolidated net sales for the third quarter of 2018 were $79.8 million compared to $92.4 million for the same period in 2017. Our consolidated operating loss was $16.6 million compared to $15.4 million for the same period in 2017. The items impacting our operating results are discussed in more detail below and under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Results of the Third Quarter</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Turnaround Expense – Cherokee and El Dorado Facilities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third quarter of 2018, we incurred Turnaround costs totaling approximately $7.9 million associated with a 35-day Turnaround performed on our plants at our Cherokee Facility and a 5-day Turnaround performed on our ammonia plant at our El Dorado Facility. For the third quarter of 2017, we incurred Turnaround costs of approximately $1.1 million relating to a 17-day Turnaround at our Pryor Facility. Turnaround costs are included in cost of sales. The Turnaround costs noted above do not include the impact on operating results relating to lost absorption of fixed costs or the reduced margins due to the lost production and subsequent sales of product from our plants being shut down during the Turnaround.</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On-Stream Rates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on-stream rates of our plants affect our production, the absorption of fixed costs of each plant and sales of our products. It is a key operating metric that we use to manage our business. In particular, we closely monitor the on-stream rates of our ammonia plants as that is the basic product used to produce all upgraded products. The on-stream rates noted below exclude turnaround days, when applicable.</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our Pryor Facility, the on-stream rate for the third quarter of 2018 for our ammonia plant was 98% compared to 85% for the same period of 2017. During the third quarter of 2017, the Pryor Facility experienced some unplanned downtime.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At our Cherokee Facility, the ammonia plant on-stream rate for the third quarter of 2018 was 97% and 99% for the same period of 2017.</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At our El Dorado Facility, the ammonia plant’s on-stream rate for the third quarter of 2018 was 89% compared to 91% for the same period of 2017.</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We expect on-stream rates for our Pryor, Cherokee, and El Dorado Facilities to average approximately 94% for the fourth quarter of 2018.</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Prices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third quarter of 2018, average agricultural selling prices for our ammonia, UAN and HDAN increased 36%, 25% and 13% respectively, compared to 2017 average selling prices for the same period reflecting a more favorable alignment of demand with market capacity for these products. We expect that trend to continue in the fourth quarter of 2018.</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average industrial selling prices for our ammonia also improved compared to the same period of 2017 with the improvement in Tampa Ammonia pricing compared to 2017 as many of our industrial contracts are indexed to the Tampa Ammonia price.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8" w:name="page29"/>
    <w:bookmarkEnd w:id="28"/>
    <w:p>
      <w:pPr>
        <w:ind w:left="260"/>
        <w:spacing w:after="0"/>
        <w:rPr>
          <w:sz w:val="20"/>
          <w:szCs w:val="20"/>
          <w:color w:val="auto"/>
        </w:rPr>
      </w:pPr>
      <w:r>
        <w:rPr>
          <w:rFonts w:ascii="Arial" w:cs="Arial" w:eastAsia="Arial" w:hAnsi="Arial"/>
          <w:sz w:val="18"/>
          <w:szCs w:val="18"/>
          <w:b w:val="1"/>
          <w:bCs w:val="1"/>
          <w:i w:val="1"/>
          <w:iCs w:val="1"/>
          <w:color w:val="auto"/>
        </w:rPr>
        <w:t>Adoption of ASC 606 in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concerning the impact from the adoption of ASC 606 in Note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Results of Operations should be read in conjunction with our condensed consolidated financial statements for the three months ended September 30, 2018 and 2017 and accompanying notes and the discussions under “Overview” and “Liquidity and Capital Resources” included in this MD&amp;A.</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present the following information about our results of operations. Net sales to unaffiliated customers are reported in the condensed consolidated financial statements and gross profit represents net sales less cost of sales. Net sales are reported on a gross basis with the cost of freight being recorded in cost of sales.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Three Months Ended September 30, 2018 Compared to Three Months Ended September 30, 2017</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The following table contains certain financial information:</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5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6"/>
          </w:tcPr>
          <w:p>
            <w:pPr>
              <w:jc w:val="right"/>
              <w:ind w:right="84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6"/>
          </w:tcPr>
          <w:p>
            <w:pPr>
              <w:jc w:val="right"/>
              <w:ind w:right="1080"/>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Percentage</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9"/>
              </w:rPr>
              <w:t xml:space="preserve">2018 </w:t>
            </w:r>
            <w:r>
              <w:rPr>
                <w:rFonts w:ascii="Arial" w:cs="Arial" w:eastAsia="Arial" w:hAnsi="Arial"/>
                <w:sz w:val="14"/>
                <w:szCs w:val="14"/>
                <w:color w:val="auto"/>
                <w:w w:val="99"/>
              </w:rPr>
              <w:t>(1)</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Change</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4"/>
          </w:tcPr>
          <w:p>
            <w:pPr>
              <w:jc w:val="right"/>
              <w:ind w:right="180"/>
              <w:spacing w:after="0"/>
              <w:rPr>
                <w:sz w:val="20"/>
                <w:szCs w:val="20"/>
                <w:color w:val="auto"/>
              </w:rPr>
            </w:pPr>
            <w:r>
              <w:rPr>
                <w:rFonts w:ascii="Arial" w:cs="Arial" w:eastAsia="Arial" w:hAnsi="Arial"/>
                <w:sz w:val="16"/>
                <w:szCs w:val="16"/>
                <w:color w:val="auto"/>
                <w:w w:val="92"/>
              </w:rPr>
              <w:t>(Dollars In Thousands)</w:t>
            </w: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6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00" w:type="dxa"/>
            <w:vAlign w:val="bottom"/>
          </w:tcPr>
          <w:p>
            <w:pPr>
              <w:ind w:left="240"/>
              <w:spacing w:after="0"/>
              <w:rPr>
                <w:sz w:val="20"/>
                <w:szCs w:val="20"/>
                <w:color w:val="auto"/>
              </w:rPr>
            </w:pPr>
            <w:r>
              <w:rPr>
                <w:rFonts w:ascii="Arial" w:cs="Arial" w:eastAsia="Arial" w:hAnsi="Arial"/>
                <w:sz w:val="18"/>
                <w:szCs w:val="18"/>
                <w:color w:val="auto"/>
              </w:rPr>
              <w:t>Agricultural products</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35,998</w:t>
            </w:r>
          </w:p>
        </w:tc>
        <w:tc>
          <w:tcPr>
            <w:tcW w:w="60" w:type="dxa"/>
            <w:vAlign w:val="bottom"/>
          </w:tcPr>
          <w:p>
            <w:pPr>
              <w:spacing w:after="0"/>
              <w:rPr>
                <w:sz w:val="19"/>
                <w:szCs w:val="19"/>
                <w:color w:val="auto"/>
              </w:rPr>
            </w:pP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31,154</w:t>
            </w: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4,844</w:t>
            </w:r>
          </w:p>
        </w:tc>
        <w:tc>
          <w:tcPr>
            <w:tcW w:w="3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acids and other chemical products</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34,788</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47,450</w:t>
            </w:r>
          </w:p>
        </w:tc>
        <w:tc>
          <w:tcPr>
            <w:tcW w:w="3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(12,662)</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00" w:type="dxa"/>
            <w:vAlign w:val="bottom"/>
          </w:tcPr>
          <w:p>
            <w:pPr>
              <w:ind w:left="240"/>
              <w:spacing w:after="0"/>
              <w:rPr>
                <w:sz w:val="20"/>
                <w:szCs w:val="20"/>
                <w:color w:val="auto"/>
              </w:rPr>
            </w:pPr>
            <w:r>
              <w:rPr>
                <w:rFonts w:ascii="Arial" w:cs="Arial" w:eastAsia="Arial" w:hAnsi="Arial"/>
                <w:sz w:val="18"/>
                <w:szCs w:val="18"/>
                <w:color w:val="auto"/>
              </w:rPr>
              <w:t>Mining products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8,995</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10,861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(1,866)</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products</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2,925</w:t>
            </w:r>
          </w:p>
        </w:tc>
        <w:tc>
          <w:tcPr>
            <w:tcW w:w="3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(2,925)</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6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net sales</w:t>
            </w:r>
          </w:p>
        </w:tc>
        <w:tc>
          <w:tcPr>
            <w:tcW w:w="3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79,781</w:t>
            </w:r>
          </w:p>
        </w:tc>
        <w:tc>
          <w:tcPr>
            <w:tcW w:w="60" w:type="dxa"/>
            <w:vAlign w:val="bottom"/>
            <w:tcBorders>
              <w:bottom w:val="single" w:sz="8" w:color="CFF0FC"/>
            </w:tcBorders>
          </w:tcPr>
          <w:p>
            <w:pPr>
              <w:spacing w:after="0"/>
              <w:rPr>
                <w:sz w:val="22"/>
                <w:szCs w:val="22"/>
                <w:color w:val="auto"/>
              </w:rPr>
            </w:pPr>
          </w:p>
        </w:tc>
        <w:tc>
          <w:tcPr>
            <w:tcW w:w="3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92,390</w:t>
            </w:r>
          </w:p>
        </w:tc>
        <w:tc>
          <w:tcPr>
            <w:tcW w:w="3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(12,609</w:t>
            </w:r>
          </w:p>
        </w:tc>
        <w:tc>
          <w:tcPr>
            <w:tcW w:w="360" w:type="dxa"/>
            <w:vAlign w:val="bottom"/>
            <w:tcBorders>
              <w:bottom w:val="single" w:sz="8" w:color="CFF0FC"/>
            </w:tcBorders>
          </w:tcPr>
          <w:p>
            <w:pPr>
              <w:jc w:val="right"/>
              <w:ind w:right="220"/>
              <w:spacing w:after="0"/>
              <w:rPr>
                <w:sz w:val="20"/>
                <w:szCs w:val="20"/>
                <w:color w:val="auto"/>
              </w:rPr>
            </w:pPr>
            <w:r>
              <w:rPr>
                <w:rFonts w:ascii="Arial" w:cs="Arial" w:eastAsia="Arial" w:hAnsi="Arial"/>
                <w:sz w:val="16"/>
                <w:szCs w:val="16"/>
                <w:color w:val="auto"/>
                <w:w w:val="74"/>
              </w:rPr>
              <w:t>)</w:t>
            </w:r>
          </w:p>
        </w:tc>
        <w:tc>
          <w:tcPr>
            <w:tcW w:w="120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46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vMerge w:val="continue"/>
          </w:tcPr>
          <w:p>
            <w:pPr>
              <w:spacing w:after="0"/>
              <w:rPr>
                <w:sz w:val="21"/>
                <w:szCs w:val="21"/>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Gross loss</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(9,742)</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(7,285)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(2,457)</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 xml:space="preserve">Gross loss percentage </w:t>
            </w:r>
            <w:r>
              <w:rPr>
                <w:rFonts w:ascii="Arial" w:cs="Arial" w:eastAsia="Arial" w:hAnsi="Arial"/>
                <w:sz w:val="14"/>
                <w:szCs w:val="14"/>
                <w:color w:val="auto"/>
              </w:rPr>
              <w:t>(2)</w:t>
            </w: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gridSpan w:val="2"/>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600" w:type="dxa"/>
            <w:vAlign w:val="bottom"/>
            <w:vMerge w:val="continue"/>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72"/>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FF0FC"/>
          </w:tcPr>
          <w:p>
            <w:pPr>
              <w:spacing w:after="0"/>
              <w:rPr>
                <w:sz w:val="18"/>
                <w:szCs w:val="18"/>
                <w:color w:val="auto"/>
              </w:rPr>
            </w:pPr>
          </w:p>
        </w:tc>
        <w:tc>
          <w:tcPr>
            <w:tcW w:w="12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w:t>
            </w: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46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Selling, general and administrative expense</w:t>
            </w:r>
          </w:p>
        </w:tc>
        <w:tc>
          <w:tcPr>
            <w:tcW w:w="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bottom w:val="single" w:sz="8" w:color="CFF0FC"/>
            </w:tcBorders>
            <w:gridSpan w:val="2"/>
            <w:vMerge w:val="restart"/>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line="20" w:lineRule="exact"/>
              <w:rPr>
                <w:sz w:val="1"/>
                <w:szCs w:val="1"/>
                <w:color w:val="auto"/>
              </w:rPr>
            </w:pPr>
          </w:p>
        </w:tc>
      </w:tr>
      <w:tr>
        <w:trPr>
          <w:trHeight w:val="210"/>
        </w:trPr>
        <w:tc>
          <w:tcPr>
            <w:tcW w:w="580" w:type="dxa"/>
            <w:vAlign w:val="bottom"/>
            <w:vMerge w:val="continue"/>
          </w:tcPr>
          <w:p>
            <w:pPr>
              <w:spacing w:after="0"/>
              <w:rPr>
                <w:sz w:val="18"/>
                <w:szCs w:val="18"/>
                <w:color w:val="auto"/>
              </w:rPr>
            </w:pPr>
          </w:p>
        </w:tc>
        <w:tc>
          <w:tcPr>
            <w:tcW w:w="46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9,080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7,975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1,105</w:t>
            </w:r>
          </w:p>
        </w:tc>
        <w:tc>
          <w:tcPr>
            <w:tcW w:w="3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(2,265)</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3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(2,368)</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ind w:left="580"/>
              <w:spacing w:after="0"/>
              <w:rPr>
                <w:sz w:val="20"/>
                <w:szCs w:val="20"/>
                <w:color w:val="auto"/>
              </w:rPr>
            </w:pPr>
            <w:r>
              <w:rPr>
                <w:rFonts w:ascii="Arial" w:cs="Arial" w:eastAsia="Arial" w:hAnsi="Arial"/>
                <w:sz w:val="18"/>
                <w:szCs w:val="18"/>
                <w:color w:val="auto"/>
              </w:rPr>
              <w:t>Operating loss</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(16,557)</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(15,363)</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3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11,009</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9,291</w:t>
            </w:r>
          </w:p>
        </w:tc>
        <w:tc>
          <w:tcPr>
            <w:tcW w:w="3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1,718</w:t>
            </w: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Non-operating other expense (income), net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944</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1,788</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Benefit for income taxes</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(2,426)</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(6,698)</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4,272</w:t>
            </w: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63"/>
        </w:trPr>
        <w:tc>
          <w:tcPr>
            <w:tcW w:w="5180" w:type="dxa"/>
            <w:vAlign w:val="bottom"/>
            <w:gridSpan w:val="2"/>
          </w:tcPr>
          <w:p>
            <w:pPr>
              <w:ind w:left="580"/>
              <w:spacing w:after="0"/>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(26,084)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(17,112)</w:t>
            </w:r>
          </w:p>
        </w:tc>
        <w:tc>
          <w:tcPr>
            <w:tcW w:w="36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(8,972)</w:t>
            </w:r>
          </w:p>
        </w:tc>
        <w:tc>
          <w:tcPr>
            <w:tcW w:w="360" w:type="dxa"/>
            <w:vAlign w:val="bottom"/>
          </w:tcPr>
          <w:p>
            <w:pPr>
              <w:spacing w:after="0"/>
              <w:rPr>
                <w:sz w:val="22"/>
                <w:szCs w:val="22"/>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46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0" w:type="dxa"/>
            <w:vAlign w:val="bottom"/>
            <w:vMerge w:val="continue"/>
          </w:tcPr>
          <w:p>
            <w:pPr>
              <w:spacing w:after="0"/>
              <w:rPr>
                <w:sz w:val="23"/>
                <w:szCs w:val="23"/>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 xml:space="preserve">Property, plant and equipment improvements </w:t>
            </w:r>
            <w:r>
              <w:rPr>
                <w:rFonts w:ascii="Arial" w:cs="Arial" w:eastAsia="Arial" w:hAnsi="Arial"/>
                <w:sz w:val="14"/>
                <w:szCs w:val="14"/>
                <w:color w:val="auto"/>
              </w:rPr>
              <w:t>(3)</w:t>
            </w:r>
            <w:r>
              <w:rPr>
                <w:rFonts w:ascii="Arial" w:cs="Arial" w:eastAsia="Arial" w:hAnsi="Arial"/>
                <w:sz w:val="18"/>
                <w:szCs w:val="18"/>
                <w:color w:val="auto"/>
              </w:rPr>
              <w:t>:</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13,272</w:t>
            </w:r>
          </w:p>
        </w:tc>
        <w:tc>
          <w:tcPr>
            <w:tcW w:w="60" w:type="dxa"/>
            <w:vAlign w:val="bottom"/>
          </w:tcPr>
          <w:p>
            <w:pPr>
              <w:spacing w:after="0"/>
              <w:rPr>
                <w:sz w:val="23"/>
                <w:szCs w:val="23"/>
                <w:color w:val="auto"/>
              </w:rPr>
            </w:pP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1,673</w:t>
            </w:r>
          </w:p>
        </w:tc>
        <w:tc>
          <w:tcPr>
            <w:tcW w:w="3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11,599</w:t>
            </w:r>
          </w:p>
        </w:tc>
        <w:tc>
          <w:tcPr>
            <w:tcW w:w="360" w:type="dxa"/>
            <w:vAlign w:val="bottom"/>
          </w:tcPr>
          <w:p>
            <w:pPr>
              <w:spacing w:after="0"/>
              <w:rPr>
                <w:sz w:val="23"/>
                <w:szCs w:val="2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46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w w:val="99"/>
              </w:rPr>
              <w:t>Depreciation, depletion and amortization of property, plant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 xml:space="preserve">and equipment </w:t>
            </w:r>
            <w:r>
              <w:rPr>
                <w:rFonts w:ascii="Arial" w:cs="Arial" w:eastAsia="Arial" w:hAnsi="Arial"/>
                <w:sz w:val="14"/>
                <w:szCs w:val="14"/>
                <w:color w:val="auto"/>
              </w:rPr>
              <w:t>(3)</w:t>
            </w:r>
            <w:r>
              <w:rPr>
                <w:rFonts w:ascii="Arial" w:cs="Arial" w:eastAsia="Arial" w:hAnsi="Arial"/>
                <w:sz w:val="18"/>
                <w:szCs w:val="18"/>
                <w:color w:val="auto"/>
              </w:rPr>
              <w:t>:</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16,848</w:t>
            </w:r>
          </w:p>
        </w:tc>
        <w:tc>
          <w:tcPr>
            <w:tcW w:w="60" w:type="dxa"/>
            <w:vAlign w:val="bottom"/>
          </w:tcPr>
          <w:p>
            <w:pPr>
              <w:spacing w:after="0"/>
              <w:rPr>
                <w:sz w:val="20"/>
                <w:szCs w:val="20"/>
                <w:color w:val="auto"/>
              </w:rPr>
            </w:pP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16,179</w:t>
            </w:r>
          </w:p>
        </w:tc>
        <w:tc>
          <w:tcPr>
            <w:tcW w:w="3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669</w:t>
            </w:r>
          </w:p>
        </w:tc>
        <w:tc>
          <w:tcPr>
            <w:tcW w:w="3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discussion concerning the impact from the adoption of ASC 606 in Note 2</w:t>
      </w:r>
    </w:p>
    <w:p>
      <w:pPr>
        <w:spacing w:after="0" w:line="23" w:lineRule="exact"/>
        <w:rPr>
          <w:rFonts w:ascii="Arial" w:cs="Arial" w:eastAsia="Arial" w:hAnsi="Arial"/>
          <w:sz w:val="18"/>
          <w:szCs w:val="18"/>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a percentage of net sales</w:t>
      </w:r>
    </w:p>
    <w:p>
      <w:pPr>
        <w:spacing w:after="0" w:line="9" w:lineRule="exact"/>
        <w:rPr>
          <w:rFonts w:ascii="Arial" w:cs="Arial" w:eastAsia="Arial" w:hAnsi="Arial"/>
          <w:sz w:val="18"/>
          <w:szCs w:val="18"/>
          <w:color w:val="auto"/>
        </w:rPr>
      </w:pPr>
    </w:p>
    <w:p>
      <w:pPr>
        <w:ind w:left="760" w:hanging="374"/>
        <w:spacing w:after="0" w:line="261"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Third quarter 2017 additions to PP&amp;E and DD&amp;A are net of approximately $8.1 million and approximately $0.7 million respectively, associated with the incentive tax credit recognized during the third quarter of 2017.</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The following tables provide key operating metrics for the Agricultural Products: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6"/>
          </w:tcPr>
          <w:p>
            <w:pPr>
              <w:jc w:val="center"/>
              <w:ind w:right="130"/>
              <w:spacing w:after="0"/>
              <w:rPr>
                <w:sz w:val="20"/>
                <w:szCs w:val="20"/>
                <w:color w:val="auto"/>
              </w:rPr>
            </w:pPr>
            <w:r>
              <w:rPr>
                <w:rFonts w:ascii="Arial" w:cs="Arial" w:eastAsia="Arial" w:hAnsi="Arial"/>
                <w:sz w:val="18"/>
                <w:szCs w:val="18"/>
                <w:color w:val="auto"/>
                <w:w w:val="90"/>
              </w:rPr>
              <w:t>Three Months Ended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gridSpan w:val="6"/>
          </w:tcPr>
          <w:p>
            <w:pPr>
              <w:jc w:val="center"/>
              <w:ind w:right="13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Percentage</w:t>
            </w:r>
          </w:p>
        </w:tc>
        <w:tc>
          <w:tcPr>
            <w:tcW w:w="280" w:type="dxa"/>
            <w:vAlign w:val="bottom"/>
          </w:tcPr>
          <w:p>
            <w:pPr>
              <w:spacing w:after="0"/>
              <w:rPr>
                <w:sz w:val="19"/>
                <w:szCs w:val="19"/>
                <w:color w:val="auto"/>
              </w:rPr>
            </w:pPr>
          </w:p>
        </w:tc>
      </w:tr>
      <w:tr>
        <w:trPr>
          <w:trHeight w:val="237"/>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Product (tons sold)</w:t>
            </w:r>
          </w:p>
        </w:tc>
        <w:tc>
          <w:tcPr>
            <w:tcW w:w="2800" w:type="dxa"/>
            <w:vAlign w:val="bottom"/>
            <w:gridSpan w:val="2"/>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Change</w:t>
            </w:r>
          </w:p>
        </w:tc>
        <w:tc>
          <w:tcPr>
            <w:tcW w:w="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Change</w:t>
            </w:r>
          </w:p>
        </w:tc>
        <w:tc>
          <w:tcPr>
            <w:tcW w:w="280" w:type="dxa"/>
            <w:vAlign w:val="bottom"/>
          </w:tcPr>
          <w:p>
            <w:pPr>
              <w:spacing w:after="0"/>
              <w:rPr>
                <w:sz w:val="20"/>
                <w:szCs w:val="20"/>
                <w:color w:val="auto"/>
              </w:rPr>
            </w:pPr>
          </w:p>
        </w:tc>
      </w:tr>
      <w:tr>
        <w:trPr>
          <w:trHeight w:val="217"/>
        </w:trPr>
        <w:tc>
          <w:tcPr>
            <w:tcW w:w="3900" w:type="dxa"/>
            <w:vAlign w:val="bottom"/>
            <w:tcBorders>
              <w:top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3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83,898</w:t>
            </w:r>
          </w:p>
        </w:tc>
        <w:tc>
          <w:tcPr>
            <w:tcW w:w="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114,670</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(30,772)</w:t>
            </w: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51,944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34,721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17,223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23,899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(6,335)</w:t>
            </w:r>
          </w:p>
        </w:tc>
        <w:tc>
          <w:tcPr>
            <w:tcW w:w="1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390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4,394</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41</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900" w:type="dxa"/>
            <w:vAlign w:val="bottom"/>
            <w:tcBorders>
              <w:bottom w:val="single" w:sz="8" w:color="CFF0FC"/>
            </w:tcBorders>
            <w:gridSpan w:val="3"/>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157,800</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176,413</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(18,613)</w:t>
            </w: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(11) %</w:t>
            </w:r>
          </w:p>
        </w:tc>
      </w:tr>
      <w:tr>
        <w:trPr>
          <w:trHeight w:val="20"/>
        </w:trPr>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6"/>
          </w:tcPr>
          <w:p>
            <w:pPr>
              <w:jc w:val="center"/>
              <w:ind w:right="170"/>
              <w:spacing w:after="0"/>
              <w:rPr>
                <w:sz w:val="20"/>
                <w:szCs w:val="20"/>
                <w:color w:val="auto"/>
              </w:rPr>
            </w:pPr>
            <w:r>
              <w:rPr>
                <w:rFonts w:ascii="Arial" w:cs="Arial" w:eastAsia="Arial" w:hAnsi="Arial"/>
                <w:sz w:val="18"/>
                <w:szCs w:val="18"/>
                <w:color w:val="auto"/>
                <w:w w:val="90"/>
              </w:rPr>
              <w:t>Three Months Ended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30"/>
        </w:trPr>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gridSpan w:val="6"/>
          </w:tcPr>
          <w:p>
            <w:pPr>
              <w:jc w:val="center"/>
              <w:ind w:right="17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4"/>
              </w:rPr>
              <w:t>Percentage</w:t>
            </w:r>
          </w:p>
        </w:tc>
        <w:tc>
          <w:tcPr>
            <w:tcW w:w="280" w:type="dxa"/>
            <w:vAlign w:val="bottom"/>
          </w:tcPr>
          <w:p>
            <w:pPr>
              <w:spacing w:after="0"/>
              <w:rPr>
                <w:sz w:val="19"/>
                <w:szCs w:val="19"/>
                <w:color w:val="auto"/>
              </w:rPr>
            </w:pPr>
          </w:p>
        </w:tc>
      </w:tr>
      <w:tr>
        <w:trPr>
          <w:trHeight w:val="237"/>
        </w:trPr>
        <w:tc>
          <w:tcPr>
            <w:tcW w:w="3900" w:type="dxa"/>
            <w:vAlign w:val="bottom"/>
            <w:gridSpan w:val="3"/>
          </w:tcPr>
          <w:p>
            <w:pPr>
              <w:spacing w:after="0"/>
              <w:rPr>
                <w:sz w:val="20"/>
                <w:szCs w:val="20"/>
                <w:color w:val="auto"/>
              </w:rPr>
            </w:pPr>
            <w:r>
              <w:rPr>
                <w:rFonts w:ascii="Arial" w:cs="Arial" w:eastAsia="Arial" w:hAnsi="Arial"/>
                <w:sz w:val="14"/>
                <w:szCs w:val="14"/>
                <w:color w:val="auto"/>
              </w:rPr>
              <w:t>Gross Average Selling Prices (price per ton)</w:t>
            </w: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Change</w:t>
            </w:r>
          </w:p>
        </w:tc>
        <w:tc>
          <w:tcPr>
            <w:tcW w:w="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5"/>
              </w:rPr>
              <w:t>Change</w:t>
            </w:r>
          </w:p>
        </w:tc>
        <w:tc>
          <w:tcPr>
            <w:tcW w:w="280" w:type="dxa"/>
            <w:vAlign w:val="bottom"/>
          </w:tcPr>
          <w:p>
            <w:pPr>
              <w:spacing w:after="0"/>
              <w:rPr>
                <w:sz w:val="20"/>
                <w:szCs w:val="20"/>
                <w:color w:val="auto"/>
              </w:rPr>
            </w:pPr>
          </w:p>
        </w:tc>
      </w:tr>
      <w:tr>
        <w:trPr>
          <w:trHeight w:val="217"/>
        </w:trPr>
        <w:tc>
          <w:tcPr>
            <w:tcW w:w="2540" w:type="dxa"/>
            <w:vAlign w:val="bottom"/>
            <w:tcBorders>
              <w:top w:val="single" w:sz="8" w:color="auto"/>
            </w:tcBorders>
            <w:gridSpan w:val="2"/>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3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9"/>
                <w:szCs w:val="19"/>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230</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5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2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3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sales of Industrial Products, the following table indicates the volumes sold of our major products: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460" w:type="dxa"/>
            <w:vAlign w:val="bottom"/>
            <w:gridSpan w:val="4"/>
          </w:tcPr>
          <w:p>
            <w:pPr>
              <w:jc w:val="center"/>
              <w:ind w:right="220"/>
              <w:spacing w:after="0"/>
              <w:rPr>
                <w:sz w:val="20"/>
                <w:szCs w:val="20"/>
                <w:color w:val="auto"/>
              </w:rPr>
            </w:pPr>
            <w:r>
              <w:rPr>
                <w:rFonts w:ascii="Arial" w:cs="Arial" w:eastAsia="Arial" w:hAnsi="Arial"/>
                <w:sz w:val="18"/>
                <w:szCs w:val="18"/>
                <w:color w:val="auto"/>
                <w:w w:val="90"/>
              </w:rPr>
              <w:t>Three Months Ended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0"/>
        </w:trPr>
        <w:tc>
          <w:tcPr>
            <w:tcW w:w="11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460" w:type="dxa"/>
            <w:vAlign w:val="bottom"/>
            <w:gridSpan w:val="4"/>
          </w:tcPr>
          <w:p>
            <w:pPr>
              <w:jc w:val="center"/>
              <w:ind w:right="220"/>
              <w:spacing w:after="0"/>
              <w:rPr>
                <w:sz w:val="20"/>
                <w:szCs w:val="20"/>
                <w:color w:val="auto"/>
              </w:rPr>
            </w:pPr>
            <w:r>
              <w:rPr>
                <w:rFonts w:ascii="Arial" w:cs="Arial" w:eastAsia="Arial" w:hAnsi="Arial"/>
                <w:sz w:val="18"/>
                <w:szCs w:val="18"/>
                <w:color w:val="auto"/>
                <w:w w:val="88"/>
              </w:rPr>
              <w:t>September 30,</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330"/>
              <w:spacing w:after="0"/>
              <w:rPr>
                <w:sz w:val="20"/>
                <w:szCs w:val="20"/>
                <w:color w:val="auto"/>
              </w:rPr>
            </w:pPr>
            <w:r>
              <w:rPr>
                <w:rFonts w:ascii="Arial" w:cs="Arial" w:eastAsia="Arial" w:hAnsi="Arial"/>
                <w:sz w:val="18"/>
                <w:szCs w:val="18"/>
                <w:color w:val="auto"/>
                <w:w w:val="97"/>
              </w:rPr>
              <w:t>Percentage</w:t>
            </w:r>
          </w:p>
        </w:tc>
      </w:tr>
      <w:tr>
        <w:trPr>
          <w:trHeight w:val="237"/>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Product (tons sold)</w:t>
            </w:r>
          </w:p>
        </w:tc>
        <w:tc>
          <w:tcPr>
            <w:tcW w:w="416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Change</w:t>
            </w:r>
          </w:p>
        </w:tc>
        <w:tc>
          <w:tcPr>
            <w:tcW w:w="1340" w:type="dxa"/>
            <w:vAlign w:val="bottom"/>
            <w:gridSpan w:val="2"/>
          </w:tcPr>
          <w:p>
            <w:pPr>
              <w:jc w:val="right"/>
              <w:ind w:right="450"/>
              <w:spacing w:after="0"/>
              <w:rPr>
                <w:sz w:val="20"/>
                <w:szCs w:val="20"/>
                <w:color w:val="auto"/>
              </w:rPr>
            </w:pPr>
            <w:r>
              <w:rPr>
                <w:rFonts w:ascii="Arial" w:cs="Arial" w:eastAsia="Arial" w:hAnsi="Arial"/>
                <w:sz w:val="18"/>
                <w:szCs w:val="18"/>
                <w:color w:val="auto"/>
              </w:rPr>
              <w:t>Change</w:t>
            </w:r>
          </w:p>
        </w:tc>
      </w:tr>
      <w:tr>
        <w:trPr>
          <w:trHeight w:val="217"/>
        </w:trPr>
        <w:tc>
          <w:tcPr>
            <w:tcW w:w="526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61,308</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67,040</w:t>
            </w: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(5,732)</w:t>
            </w: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gridSpan w:val="2"/>
          </w:tcPr>
          <w:p>
            <w:pPr>
              <w:ind w:left="240"/>
              <w:spacing w:after="0"/>
              <w:rPr>
                <w:sz w:val="20"/>
                <w:szCs w:val="20"/>
                <w:color w:val="auto"/>
              </w:rPr>
            </w:pPr>
            <w:r>
              <w:rPr>
                <w:rFonts w:ascii="Arial" w:cs="Arial" w:eastAsia="Arial" w:hAnsi="Arial"/>
                <w:sz w:val="18"/>
                <w:szCs w:val="18"/>
                <w:color w:val="auto"/>
              </w:rPr>
              <w:t>Nitric Acid, excluding Baytown</w:t>
            </w:r>
          </w:p>
        </w:tc>
        <w:tc>
          <w:tcPr>
            <w:tcW w:w="1020" w:type="dxa"/>
            <w:vAlign w:val="bottom"/>
          </w:tcPr>
          <w:p>
            <w:pPr>
              <w:jc w:val="right"/>
              <w:spacing w:after="0"/>
              <w:rPr>
                <w:sz w:val="20"/>
                <w:szCs w:val="20"/>
                <w:color w:val="auto"/>
              </w:rPr>
            </w:pPr>
            <w:r>
              <w:rPr>
                <w:rFonts w:ascii="Arial" w:cs="Arial" w:eastAsia="Arial" w:hAnsi="Arial"/>
                <w:sz w:val="18"/>
                <w:szCs w:val="18"/>
                <w:color w:val="auto"/>
              </w:rPr>
              <w:t>21,388</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21,319</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Industrial Products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6,721</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7,403</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(682)</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 %</w:t>
            </w:r>
          </w:p>
        </w:tc>
      </w:tr>
      <w:tr>
        <w:trPr>
          <w:trHeight w:val="223"/>
        </w:trPr>
        <w:tc>
          <w:tcPr>
            <w:tcW w:w="526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89,417</w:t>
            </w: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95,762</w:t>
            </w:r>
          </w:p>
        </w:tc>
        <w:tc>
          <w:tcPr>
            <w:tcW w:w="2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(6,345)</w:t>
            </w:r>
          </w:p>
        </w:tc>
        <w:tc>
          <w:tcPr>
            <w:tcW w:w="2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 %</w:t>
            </w:r>
          </w:p>
        </w:tc>
      </w:tr>
      <w:tr>
        <w:trPr>
          <w:trHeight w:val="20"/>
        </w:trPr>
        <w:tc>
          <w:tcPr>
            <w:tcW w:w="1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sales of Mining Products, the following table indicates the volumes sold of our major products: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460" w:type="dxa"/>
            <w:vAlign w:val="bottom"/>
            <w:gridSpan w:val="4"/>
          </w:tcPr>
          <w:p>
            <w:pPr>
              <w:jc w:val="center"/>
              <w:ind w:right="220"/>
              <w:spacing w:after="0"/>
              <w:rPr>
                <w:sz w:val="20"/>
                <w:szCs w:val="20"/>
                <w:color w:val="auto"/>
              </w:rPr>
            </w:pPr>
            <w:r>
              <w:rPr>
                <w:rFonts w:ascii="Arial" w:cs="Arial" w:eastAsia="Arial" w:hAnsi="Arial"/>
                <w:sz w:val="18"/>
                <w:szCs w:val="18"/>
                <w:color w:val="auto"/>
                <w:w w:val="90"/>
              </w:rPr>
              <w:t>Three Months Ended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0"/>
        </w:trPr>
        <w:tc>
          <w:tcPr>
            <w:tcW w:w="11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460" w:type="dxa"/>
            <w:vAlign w:val="bottom"/>
            <w:gridSpan w:val="4"/>
          </w:tcPr>
          <w:p>
            <w:pPr>
              <w:jc w:val="center"/>
              <w:ind w:right="220"/>
              <w:spacing w:after="0"/>
              <w:rPr>
                <w:sz w:val="20"/>
                <w:szCs w:val="20"/>
                <w:color w:val="auto"/>
              </w:rPr>
            </w:pPr>
            <w:r>
              <w:rPr>
                <w:rFonts w:ascii="Arial" w:cs="Arial" w:eastAsia="Arial" w:hAnsi="Arial"/>
                <w:sz w:val="18"/>
                <w:szCs w:val="18"/>
                <w:color w:val="auto"/>
                <w:w w:val="88"/>
              </w:rPr>
              <w:t>September 30,</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210"/>
              <w:spacing w:after="0"/>
              <w:rPr>
                <w:sz w:val="20"/>
                <w:szCs w:val="20"/>
                <w:color w:val="auto"/>
              </w:rPr>
            </w:pPr>
            <w:r>
              <w:rPr>
                <w:rFonts w:ascii="Arial" w:cs="Arial" w:eastAsia="Arial" w:hAnsi="Arial"/>
                <w:sz w:val="18"/>
                <w:szCs w:val="18"/>
                <w:color w:val="auto"/>
                <w:w w:val="86"/>
              </w:rPr>
              <w:t>Percentage</w:t>
            </w:r>
          </w:p>
        </w:tc>
      </w:tr>
      <w:tr>
        <w:trPr>
          <w:trHeight w:val="237"/>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Product (tons sold)</w:t>
            </w:r>
          </w:p>
        </w:tc>
        <w:tc>
          <w:tcPr>
            <w:tcW w:w="416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Change</w:t>
            </w:r>
          </w:p>
        </w:tc>
        <w:tc>
          <w:tcPr>
            <w:tcW w:w="1340" w:type="dxa"/>
            <w:vAlign w:val="bottom"/>
            <w:gridSpan w:val="2"/>
          </w:tcPr>
          <w:p>
            <w:pPr>
              <w:jc w:val="center"/>
              <w:ind w:right="210"/>
              <w:spacing w:after="0"/>
              <w:rPr>
                <w:sz w:val="20"/>
                <w:szCs w:val="20"/>
                <w:color w:val="auto"/>
              </w:rPr>
            </w:pPr>
            <w:r>
              <w:rPr>
                <w:rFonts w:ascii="Arial" w:cs="Arial" w:eastAsia="Arial" w:hAnsi="Arial"/>
                <w:sz w:val="18"/>
                <w:szCs w:val="18"/>
                <w:color w:val="auto"/>
                <w:w w:val="88"/>
              </w:rPr>
              <w:t>Change</w:t>
            </w:r>
          </w:p>
        </w:tc>
      </w:tr>
      <w:tr>
        <w:trPr>
          <w:trHeight w:val="217"/>
        </w:trPr>
        <w:tc>
          <w:tcPr>
            <w:tcW w:w="526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LDAN/HDAN/AN Solution</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34,852</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41,796</w:t>
            </w: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(6,944)</w:t>
            </w: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ind w:left="1040" w:hanging="519"/>
        <w:spacing w:after="0" w:line="289" w:lineRule="auto"/>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Agricultural products sales increased from higher average sales prices of our major products as a result of a steepening of the cost curve resulting in higher product costs and higher product selling prices outside the U.S. which has led to lower overall imported product into the U.S. from high cost non-U.S. production facilities operating at lower production rates and the embargoes imposed on Iranian urea. Additionally, strong cattle prices sparked higher HDAN volume as ranchers applied fertilizer to ensure enough forage for the winter months. This increase was partially offset by lower sales volume of UAN and ammonia primarily relating to the lost production at our Cherokee Facility from the Turnaround performed during the third quarter of 2018. Additionally, sales volumes for UAN out of our Cherokee Facility were higher in the third quarter of 2017 due to the timing of several delivered UAN barges at the end of September 2017, which we did not have in the third quarter of 2018. Agricultural ammonia was lower in the third quarter of 2018 as we have experienced a late corn harvest which has delayed the fall application of ammonia and a portion of ammonia was sold into industrial markets.</w:t>
      </w:r>
    </w:p>
    <w:p>
      <w:pPr>
        <w:spacing w:after="0" w:line="58" w:lineRule="exact"/>
        <w:rPr>
          <w:rFonts w:ascii="Arial" w:cs="Arial" w:eastAsia="Arial" w:hAnsi="Arial"/>
          <w:sz w:val="16"/>
          <w:szCs w:val="16"/>
          <w:color w:val="auto"/>
        </w:rPr>
      </w:pPr>
    </w:p>
    <w:p>
      <w:pPr>
        <w:jc w:val="both"/>
        <w:ind w:left="1040" w:hanging="519"/>
        <w:spacing w:after="0" w:line="272"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Industrial acids and other industrial chemical products sales decreased approximately 27%, due to the impact from adopting ASC 606 as discussed in Note 2. Since we adopted ASC 606 using the “modified retrospective” method, the prior periods were not restated. If we had applied ASC 606 to these specific arrangements during the third quarter of 2017, net sales for these products would have been reduced by approximately $15.4 million to $32.1 million representing a $2.7 million or 8.5% increase for the third quarter of 2018 compared to the same period of 2017. Excluding this impact, sales increased due to increased selling prices for our industrial ammonia, which is indexed to Tampa Ammonia pricing. This increase is primarily due to tighter ammonia supply resulting from a decline in volume of imports into the U.S. market combined with several competitor outages and scheduled turnarounds. Industrial pricing gains were slightly offset by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ind w:left="1040"/>
        <w:spacing w:after="0" w:line="277" w:lineRule="auto"/>
        <w:rPr>
          <w:sz w:val="20"/>
          <w:szCs w:val="20"/>
          <w:color w:val="auto"/>
        </w:rPr>
      </w:pPr>
      <w:r>
        <w:rPr>
          <w:rFonts w:ascii="Arial" w:cs="Arial" w:eastAsia="Arial" w:hAnsi="Arial"/>
          <w:sz w:val="18"/>
          <w:szCs w:val="18"/>
          <w:color w:val="auto"/>
        </w:rPr>
        <w:t>lower industrial ammonia sales volumes resulting from a change in product mix as more ammonia was upgraded to HDAN compared to the same quarter of 2017.</w:t>
      </w:r>
    </w:p>
    <w:p>
      <w:pPr>
        <w:spacing w:after="0" w:line="62"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Mining product sales decreased due to timing of LDAN sales volume which we expect to substantially make up in the fourth quarter.</w:t>
      </w:r>
    </w:p>
    <w:p>
      <w:pPr>
        <w:spacing w:after="0" w:line="128"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products consisted of sales from our former business that sold industrial machinery and related components, which business was sold in October 2017.</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Gross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noted in the table above, our gross loss increased $2.5 million compared to the third quarter of 2017, which primarily relates to:</w:t>
      </w:r>
    </w:p>
    <w:p>
      <w:pPr>
        <w:spacing w:after="0" w:line="117" w:lineRule="exact"/>
        <w:rPr>
          <w:sz w:val="20"/>
          <w:szCs w:val="20"/>
          <w:color w:val="auto"/>
        </w:rPr>
      </w:pPr>
    </w:p>
    <w:p>
      <w:pPr>
        <w:ind w:left="10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from the Cherokee Facility Turnaround which resulted in increased Turnaround and other repair expenses, lost absorption of fixed costs due to lower production and lost sales from lower production;</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expenses incurred relating to certain key initiatives associated with improving the reliability of our plants, our overall procurement processes, our operating and maintenance procedures, and our preventative maintenance programs partially offset by;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average natural gas prices.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third quarter of 2017 included gross profit of approximately $0.9 million associated with our former industrial machinery business sold in 2017 as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SG&amp;A expenses were $9.1 million for the third quarter of 2018, an increase of $1.1 million compared to the same period in 2017. The increase was primarily driven by an increase of $0.9 million in professional fees and $0.6 million in compensation-related costs partially offset by the reduction of $0.5 million in expenses related to our former business that was sold in October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Expense (Income), net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for the third quarter of 2018 was $2.3 million (minimal for the same period of 2017) that includes a net gain from the sales of certain non-core assets (primarily consisting of real estate).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for the third quarter of 2018 was $11.0 million compared to $9.3 million for the same period in 2017. The increase relates primarily to the issuance of the Senior Secured Notes as discussed in Note 6.</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Other Expense (Income), net</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Non-operating other expense for the third quarter of 2018 was $0.9 million compared to non-operating income of $0.8 million for the same period in 2017 or a change of $1.7 million. This variance primarily relates to the change in fair value of the embedded derivative included in the Series E Preferred.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 for Income Taxes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benefit for income taxes for the third quarter of 2018 was $2.4 million compared to $6.7 million for the same period in 2017. The resulting effective tax rate for the third quarters of 2018 and 2017 was 9% (benefit on pre-tax loss) and 28% (benefit on pre-tax loss), respectively. For the third quarter of 2018, the effective tax rate was impacted by adjustments made to our valuation allowances. Also see discussion in Note 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9020" w:type="dxa"/>
            <w:vAlign w:val="bottom"/>
            <w:gridSpan w:val="14"/>
          </w:tcPr>
          <w:p>
            <w:pPr>
              <w:ind w:left="1500"/>
              <w:spacing w:after="0"/>
              <w:rPr>
                <w:sz w:val="20"/>
                <w:szCs w:val="20"/>
                <w:color w:val="auto"/>
              </w:rPr>
            </w:pPr>
            <w:r>
              <w:rPr>
                <w:rFonts w:ascii="Arial" w:cs="Arial" w:eastAsia="Arial" w:hAnsi="Arial"/>
                <w:sz w:val="18"/>
                <w:szCs w:val="18"/>
                <w:b w:val="1"/>
                <w:bCs w:val="1"/>
                <w:color w:val="auto"/>
                <w:w w:val="93"/>
              </w:rPr>
              <w:t>Nine Months Ended September 30, 2018 Compared to Nine Months Ended September 30, 2017</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80" w:type="dxa"/>
            <w:vAlign w:val="bottom"/>
            <w:gridSpan w:val="2"/>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200" w:type="dxa"/>
            <w:vAlign w:val="bottom"/>
            <w:gridSpan w:val="3"/>
          </w:tcPr>
          <w:p>
            <w:pPr>
              <w:spacing w:after="0"/>
              <w:rPr>
                <w:sz w:val="20"/>
                <w:szCs w:val="20"/>
                <w:color w:val="auto"/>
              </w:rPr>
            </w:pPr>
            <w:r>
              <w:rPr>
                <w:rFonts w:ascii="Arial" w:cs="Arial" w:eastAsia="Arial" w:hAnsi="Arial"/>
                <w:sz w:val="18"/>
                <w:szCs w:val="18"/>
                <w:color w:val="auto"/>
              </w:rPr>
              <w:t>The following table contains certain financial information:</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6"/>
          </w:tcPr>
          <w:p>
            <w:pPr>
              <w:jc w:val="right"/>
              <w:ind w:right="780"/>
              <w:spacing w:after="0"/>
              <w:rPr>
                <w:sz w:val="20"/>
                <w:szCs w:val="20"/>
                <w:color w:val="auto"/>
              </w:rPr>
            </w:pPr>
            <w:r>
              <w:rPr>
                <w:rFonts w:ascii="Arial" w:cs="Arial" w:eastAsia="Arial" w:hAnsi="Arial"/>
                <w:sz w:val="18"/>
                <w:szCs w:val="18"/>
                <w:color w:val="auto"/>
              </w:rPr>
              <w:t>Nine Months Ended</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6"/>
          </w:tcPr>
          <w:p>
            <w:pPr>
              <w:jc w:val="right"/>
              <w:ind w:right="98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Percentage</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9"/>
              </w:rPr>
              <w:t xml:space="preserve">2018 </w:t>
            </w:r>
            <w:r>
              <w:rPr>
                <w:rFonts w:ascii="Arial" w:cs="Arial" w:eastAsia="Arial" w:hAnsi="Arial"/>
                <w:sz w:val="14"/>
                <w:szCs w:val="14"/>
                <w:color w:val="auto"/>
                <w:w w:val="99"/>
              </w:rPr>
              <w:t>(1)</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3"/>
          </w:tcPr>
          <w:p>
            <w:pPr>
              <w:jc w:val="right"/>
              <w:ind w:right="580"/>
              <w:spacing w:after="0"/>
              <w:rPr>
                <w:sz w:val="20"/>
                <w:szCs w:val="20"/>
                <w:color w:val="auto"/>
              </w:rPr>
            </w:pPr>
            <w:r>
              <w:rPr>
                <w:rFonts w:ascii="Arial" w:cs="Arial" w:eastAsia="Arial" w:hAnsi="Arial"/>
                <w:sz w:val="18"/>
                <w:szCs w:val="18"/>
                <w:color w:val="auto"/>
                <w:w w:val="95"/>
              </w:rPr>
              <w:t>Change</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4"/>
          </w:tcPr>
          <w:p>
            <w:pPr>
              <w:jc w:val="right"/>
              <w:ind w:right="80"/>
              <w:spacing w:after="0"/>
              <w:rPr>
                <w:sz w:val="20"/>
                <w:szCs w:val="20"/>
                <w:color w:val="auto"/>
              </w:rPr>
            </w:pPr>
            <w:r>
              <w:rPr>
                <w:rFonts w:ascii="Arial" w:cs="Arial" w:eastAsia="Arial" w:hAnsi="Arial"/>
                <w:sz w:val="16"/>
                <w:szCs w:val="16"/>
                <w:color w:val="auto"/>
                <w:w w:val="91"/>
              </w:rPr>
              <w:t>(Dollars In Thousands)</w:t>
            </w: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sales:</w:t>
            </w:r>
          </w:p>
        </w:tc>
        <w:tc>
          <w:tcPr>
            <w:tcW w:w="3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0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gridSpan w:val="2"/>
          </w:tcPr>
          <w:p>
            <w:pPr>
              <w:ind w:left="240"/>
              <w:spacing w:after="0"/>
              <w:rPr>
                <w:sz w:val="20"/>
                <w:szCs w:val="20"/>
                <w:color w:val="auto"/>
              </w:rPr>
            </w:pPr>
            <w:r>
              <w:rPr>
                <w:rFonts w:ascii="Arial" w:cs="Arial" w:eastAsia="Arial" w:hAnsi="Arial"/>
                <w:sz w:val="18"/>
                <w:szCs w:val="18"/>
                <w:color w:val="auto"/>
              </w:rPr>
              <w:t>Agricultural products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146,291</w:t>
            </w:r>
          </w:p>
        </w:tc>
        <w:tc>
          <w:tcPr>
            <w:tcW w:w="60" w:type="dxa"/>
            <w:vAlign w:val="bottom"/>
          </w:tcPr>
          <w:p>
            <w:pPr>
              <w:spacing w:after="0"/>
              <w:rPr>
                <w:sz w:val="19"/>
                <w:szCs w:val="19"/>
                <w:color w:val="auto"/>
              </w:rPr>
            </w:pP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151,653</w:t>
            </w:r>
          </w:p>
        </w:tc>
        <w:tc>
          <w:tcPr>
            <w:tcW w:w="30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(5,362)</w:t>
            </w:r>
          </w:p>
        </w:tc>
        <w:tc>
          <w:tcPr>
            <w:tcW w:w="2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Industrial acids and other chemical products</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105,700</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149,546</w:t>
            </w:r>
          </w:p>
        </w:tc>
        <w:tc>
          <w:tcPr>
            <w:tcW w:w="3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(43,846)</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gridSpan w:val="2"/>
          </w:tcPr>
          <w:p>
            <w:pPr>
              <w:ind w:left="240"/>
              <w:spacing w:after="0"/>
              <w:rPr>
                <w:sz w:val="20"/>
                <w:szCs w:val="20"/>
                <w:color w:val="auto"/>
              </w:rPr>
            </w:pPr>
            <w:r>
              <w:rPr>
                <w:rFonts w:ascii="Arial" w:cs="Arial" w:eastAsia="Arial" w:hAnsi="Arial"/>
                <w:sz w:val="18"/>
                <w:szCs w:val="18"/>
                <w:color w:val="auto"/>
              </w:rPr>
              <w:t>Mining products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31,439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28,821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products</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8,567</w:t>
            </w:r>
          </w:p>
        </w:tc>
        <w:tc>
          <w:tcPr>
            <w:tcW w:w="3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(8,567)</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62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net sales</w:t>
            </w:r>
          </w:p>
        </w:tc>
        <w:tc>
          <w:tcPr>
            <w:tcW w:w="3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283,430</w:t>
            </w:r>
          </w:p>
        </w:tc>
        <w:tc>
          <w:tcPr>
            <w:tcW w:w="6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338,587</w:t>
            </w:r>
          </w:p>
        </w:tc>
        <w:tc>
          <w:tcPr>
            <w:tcW w:w="3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(55,157)</w:t>
            </w: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126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vMerge w:val="continue"/>
          </w:tcPr>
          <w:p>
            <w:pPr>
              <w:spacing w:after="0"/>
              <w:rPr>
                <w:sz w:val="21"/>
                <w:szCs w:val="21"/>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3,424</w:t>
            </w:r>
          </w:p>
        </w:tc>
        <w:tc>
          <w:tcPr>
            <w:tcW w:w="60" w:type="dxa"/>
            <w:vAlign w:val="bottom"/>
          </w:tcPr>
          <w:p>
            <w:pPr>
              <w:spacing w:after="0"/>
              <w:rPr>
                <w:sz w:val="21"/>
                <w:szCs w:val="21"/>
                <w:color w:val="auto"/>
              </w:rPr>
            </w:pP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15,670</w:t>
            </w:r>
          </w:p>
        </w:tc>
        <w:tc>
          <w:tcPr>
            <w:tcW w:w="300" w:type="dxa"/>
            <w:vAlign w:val="bottom"/>
          </w:tcPr>
          <w:p>
            <w:pPr>
              <w:spacing w:after="0"/>
              <w:rPr>
                <w:sz w:val="21"/>
                <w:szCs w:val="21"/>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(12,246)</w:t>
            </w:r>
          </w:p>
        </w:tc>
        <w:tc>
          <w:tcPr>
            <w:tcW w:w="24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20" w:type="dxa"/>
            <w:vAlign w:val="bottom"/>
            <w:tcBorders>
              <w:top w:val="single" w:sz="8" w:color="CFF0FC"/>
            </w:tcBorders>
            <w:gridSpan w:val="2"/>
            <w:vMerge w:val="restart"/>
            <w:shd w:val="clear" w:color="auto" w:fill="CFF0FC"/>
          </w:tcPr>
          <w:p>
            <w:pPr>
              <w:spacing w:after="0"/>
              <w:rPr>
                <w:sz w:val="20"/>
                <w:szCs w:val="20"/>
                <w:color w:val="auto"/>
              </w:rPr>
            </w:pPr>
            <w:r>
              <w:rPr>
                <w:rFonts w:ascii="Arial" w:cs="Arial" w:eastAsia="Arial" w:hAnsi="Arial"/>
                <w:sz w:val="18"/>
                <w:szCs w:val="18"/>
                <w:color w:val="auto"/>
              </w:rPr>
              <w:t xml:space="preserve">Gross profit percentage </w:t>
            </w:r>
            <w:r>
              <w:rPr>
                <w:rFonts w:ascii="Arial" w:cs="Arial" w:eastAsia="Arial" w:hAnsi="Arial"/>
                <w:sz w:val="14"/>
                <w:szCs w:val="14"/>
                <w:color w:val="auto"/>
              </w:rPr>
              <w:t>(2)</w:t>
            </w: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gridSpan w:val="2"/>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620" w:type="dxa"/>
            <w:vAlign w:val="bottom"/>
            <w:gridSpan w:val="2"/>
            <w:vMerge w:val="continue"/>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72"/>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(3.4)%</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46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Selling, general and administrative expense</w:t>
            </w:r>
          </w:p>
        </w:tc>
        <w:tc>
          <w:tcPr>
            <w:tcW w:w="3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bottom w:val="single" w:sz="8" w:color="CFF0FC"/>
            </w:tcBorders>
            <w:gridSpan w:val="2"/>
            <w:vMerge w:val="restart"/>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210"/>
        </w:trPr>
        <w:tc>
          <w:tcPr>
            <w:tcW w:w="580" w:type="dxa"/>
            <w:vAlign w:val="bottom"/>
            <w:vMerge w:val="continue"/>
          </w:tcPr>
          <w:p>
            <w:pPr>
              <w:spacing w:after="0"/>
              <w:rPr>
                <w:sz w:val="18"/>
                <w:szCs w:val="18"/>
                <w:color w:val="auto"/>
              </w:rPr>
            </w:pPr>
          </w:p>
        </w:tc>
        <w:tc>
          <w:tcPr>
            <w:tcW w:w="46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25,780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26,752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(1,814)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2,258</w:t>
            </w:r>
          </w:p>
        </w:tc>
        <w:tc>
          <w:tcPr>
            <w:tcW w:w="3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(4,072)</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3"/>
          </w:tcPr>
          <w:p>
            <w:pPr>
              <w:ind w:left="580"/>
              <w:spacing w:after="0"/>
              <w:rPr>
                <w:sz w:val="20"/>
                <w:szCs w:val="20"/>
                <w:color w:val="auto"/>
              </w:rPr>
            </w:pPr>
            <w:r>
              <w:rPr>
                <w:rFonts w:ascii="Arial" w:cs="Arial" w:eastAsia="Arial" w:hAnsi="Arial"/>
                <w:sz w:val="18"/>
                <w:szCs w:val="18"/>
                <w:color w:val="auto"/>
              </w:rPr>
              <w:t>Operating loss</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(20,542)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(13,340)</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32,008</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27,941</w:t>
            </w:r>
          </w:p>
        </w:tc>
        <w:tc>
          <w:tcPr>
            <w:tcW w:w="3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5,951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Non-operating other income, net</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(409)</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 xml:space="preserve">Provision (benefit) for income taxes </w:t>
            </w:r>
            <w:r>
              <w:rPr>
                <w:rFonts w:ascii="Arial" w:cs="Arial" w:eastAsia="Arial" w:hAnsi="Arial"/>
                <w:sz w:val="14"/>
                <w:szCs w:val="14"/>
                <w:color w:val="auto"/>
              </w:rPr>
              <w:t>(3)</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(10,741)</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(59,181)</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(30,131)</w:t>
            </w:r>
          </w:p>
        </w:tc>
        <w:tc>
          <w:tcPr>
            <w:tcW w:w="30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(29,050)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plant and equipment improvements (4):</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24,691</w:t>
            </w:r>
          </w:p>
        </w:tc>
        <w:tc>
          <w:tcPr>
            <w:tcW w:w="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16,889</w:t>
            </w:r>
          </w:p>
        </w:tc>
        <w:tc>
          <w:tcPr>
            <w:tcW w:w="3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3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vMerge w:val="continue"/>
          </w:tcPr>
          <w:p>
            <w:pPr>
              <w:spacing w:after="0"/>
              <w:rPr>
                <w:sz w:val="18"/>
                <w:szCs w:val="18"/>
                <w:color w:val="auto"/>
              </w:rPr>
            </w:pPr>
          </w:p>
        </w:tc>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Depreciation, depletion and amortization of property, plant</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6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and equipment (4):</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53,514</w:t>
            </w:r>
          </w:p>
        </w:tc>
        <w:tc>
          <w:tcPr>
            <w:tcW w:w="6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50,341</w:t>
            </w:r>
          </w:p>
        </w:tc>
        <w:tc>
          <w:tcPr>
            <w:tcW w:w="30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3,173</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3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800" w:hanging="522"/>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discussion concerning the impact from the adoption of ASC 606 in Note 2</w:t>
      </w:r>
    </w:p>
    <w:p>
      <w:pPr>
        <w:spacing w:after="0" w:line="23" w:lineRule="exact"/>
        <w:rPr>
          <w:rFonts w:ascii="Arial" w:cs="Arial" w:eastAsia="Arial" w:hAnsi="Arial"/>
          <w:sz w:val="18"/>
          <w:szCs w:val="18"/>
          <w:color w:val="auto"/>
        </w:rPr>
      </w:pPr>
    </w:p>
    <w:p>
      <w:pPr>
        <w:ind w:left="800" w:hanging="522"/>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a percentage of net sales</w:t>
      </w:r>
    </w:p>
    <w:p>
      <w:pPr>
        <w:spacing w:after="0" w:line="9" w:lineRule="exact"/>
        <w:rPr>
          <w:rFonts w:ascii="Arial" w:cs="Arial" w:eastAsia="Arial" w:hAnsi="Arial"/>
          <w:sz w:val="18"/>
          <w:szCs w:val="18"/>
          <w:color w:val="auto"/>
        </w:rPr>
      </w:pPr>
    </w:p>
    <w:p>
      <w:pPr>
        <w:ind w:left="800" w:hanging="522"/>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discussion in Note 9</w:t>
      </w:r>
    </w:p>
    <w:p>
      <w:pPr>
        <w:spacing w:after="0" w:line="9" w:lineRule="exact"/>
        <w:rPr>
          <w:rFonts w:ascii="Arial" w:cs="Arial" w:eastAsia="Arial" w:hAnsi="Arial"/>
          <w:sz w:val="18"/>
          <w:szCs w:val="18"/>
          <w:color w:val="auto"/>
        </w:rPr>
      </w:pPr>
    </w:p>
    <w:p>
      <w:pPr>
        <w:ind w:left="800" w:right="20" w:hanging="522"/>
        <w:spacing w:after="0" w:line="261"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Nine months of 2017 additions to PP&amp;E and DD&amp;A are net of approximately $8.1 million and approximately $0.7 million respectively associated with the incentive tax credit recognized during the third quarter of 2017.</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tables provide key sales metrics for the agricultural products: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7"/>
          </w:tcPr>
          <w:p>
            <w:pPr>
              <w:jc w:val="center"/>
              <w:ind w:right="200"/>
              <w:spacing w:after="0"/>
              <w:rPr>
                <w:sz w:val="20"/>
                <w:szCs w:val="20"/>
                <w:color w:val="auto"/>
              </w:rPr>
            </w:pPr>
            <w:r>
              <w:rPr>
                <w:rFonts w:ascii="Arial" w:cs="Arial" w:eastAsia="Arial" w:hAnsi="Arial"/>
                <w:sz w:val="18"/>
                <w:szCs w:val="18"/>
                <w:color w:val="auto"/>
                <w:w w:val="91"/>
              </w:rPr>
              <w:t>Nine Months Ended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7"/>
          </w:tcPr>
          <w:p>
            <w:pPr>
              <w:jc w:val="center"/>
              <w:ind w:right="200"/>
              <w:spacing w:after="0"/>
              <w:rPr>
                <w:sz w:val="20"/>
                <w:szCs w:val="20"/>
                <w:color w:val="auto"/>
              </w:rPr>
            </w:pPr>
            <w:r>
              <w:rPr>
                <w:rFonts w:ascii="Arial" w:cs="Arial" w:eastAsia="Arial" w:hAnsi="Arial"/>
                <w:sz w:val="18"/>
                <w:szCs w:val="18"/>
                <w:color w:val="auto"/>
                <w:w w:val="88"/>
              </w:rPr>
              <w:t>September 30,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Percentage</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7"/>
        </w:trPr>
        <w:tc>
          <w:tcPr>
            <w:tcW w:w="5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Product (tons sold)</w:t>
            </w:r>
          </w:p>
        </w:tc>
        <w:tc>
          <w:tcPr>
            <w:tcW w:w="2700" w:type="dxa"/>
            <w:vAlign w:val="bottom"/>
            <w:gridSpan w:val="2"/>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Change</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Change</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7"/>
        </w:trPr>
        <w:tc>
          <w:tcPr>
            <w:tcW w:w="580" w:type="dxa"/>
            <w:vAlign w:val="bottom"/>
          </w:tcPr>
          <w:p>
            <w:pPr>
              <w:spacing w:after="0"/>
              <w:rPr>
                <w:sz w:val="18"/>
                <w:szCs w:val="18"/>
                <w:color w:val="auto"/>
              </w:rPr>
            </w:pPr>
          </w:p>
        </w:tc>
        <w:tc>
          <w:tcPr>
            <w:tcW w:w="3800" w:type="dxa"/>
            <w:vAlign w:val="bottom"/>
            <w:tcBorders>
              <w:top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4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296,436</w:t>
            </w:r>
          </w:p>
        </w:tc>
        <w:tc>
          <w:tcPr>
            <w:tcW w:w="1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390,942</w:t>
            </w:r>
          </w:p>
        </w:tc>
        <w:tc>
          <w:tcPr>
            <w:tcW w:w="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(94,506)</w:t>
            </w: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380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237,783</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231,007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6,776</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4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63,516</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80,389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(16,873)</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 %</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0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Other</w:t>
            </w:r>
          </w:p>
        </w:tc>
        <w:tc>
          <w:tcPr>
            <w:tcW w:w="14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21,399</w:t>
            </w: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20,863</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2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800" w:type="dxa"/>
            <w:vAlign w:val="bottom"/>
            <w:tcBorders>
              <w:bottom w:val="single" w:sz="8" w:color="CFF0FC"/>
            </w:tcBorders>
            <w:gridSpan w:val="3"/>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619,134</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723,201</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(104,067)</w:t>
            </w:r>
          </w:p>
        </w:tc>
        <w:tc>
          <w:tcPr>
            <w:tcW w:w="20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(14) %</w:t>
            </w: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7"/>
          </w:tcPr>
          <w:p>
            <w:pPr>
              <w:jc w:val="center"/>
              <w:ind w:right="240"/>
              <w:spacing w:after="0"/>
              <w:rPr>
                <w:sz w:val="20"/>
                <w:szCs w:val="20"/>
                <w:color w:val="auto"/>
              </w:rPr>
            </w:pPr>
            <w:r>
              <w:rPr>
                <w:rFonts w:ascii="Arial" w:cs="Arial" w:eastAsia="Arial" w:hAnsi="Arial"/>
                <w:sz w:val="18"/>
                <w:szCs w:val="18"/>
                <w:color w:val="auto"/>
                <w:w w:val="91"/>
              </w:rPr>
              <w:t>Nine Months Ended</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0"/>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7"/>
          </w:tcPr>
          <w:p>
            <w:pPr>
              <w:jc w:val="center"/>
              <w:ind w:right="240"/>
              <w:spacing w:after="0"/>
              <w:rPr>
                <w:sz w:val="20"/>
                <w:szCs w:val="20"/>
                <w:color w:val="auto"/>
              </w:rPr>
            </w:pPr>
            <w:r>
              <w:rPr>
                <w:rFonts w:ascii="Arial" w:cs="Arial" w:eastAsia="Arial" w:hAnsi="Arial"/>
                <w:sz w:val="18"/>
                <w:szCs w:val="18"/>
                <w:color w:val="auto"/>
                <w:w w:val="88"/>
              </w:rPr>
              <w:t>September 30,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Percentage</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7"/>
        </w:trPr>
        <w:tc>
          <w:tcPr>
            <w:tcW w:w="580" w:type="dxa"/>
            <w:vAlign w:val="bottom"/>
          </w:tcPr>
          <w:p>
            <w:pPr>
              <w:spacing w:after="0"/>
              <w:rPr>
                <w:sz w:val="20"/>
                <w:szCs w:val="20"/>
                <w:color w:val="auto"/>
              </w:rPr>
            </w:pPr>
          </w:p>
        </w:tc>
        <w:tc>
          <w:tcPr>
            <w:tcW w:w="3800" w:type="dxa"/>
            <w:vAlign w:val="bottom"/>
            <w:gridSpan w:val="3"/>
          </w:tcPr>
          <w:p>
            <w:pPr>
              <w:spacing w:after="0"/>
              <w:rPr>
                <w:sz w:val="20"/>
                <w:szCs w:val="20"/>
                <w:color w:val="auto"/>
              </w:rPr>
            </w:pPr>
            <w:r>
              <w:rPr>
                <w:rFonts w:ascii="Arial" w:cs="Arial" w:eastAsia="Arial" w:hAnsi="Arial"/>
                <w:sz w:val="14"/>
                <w:szCs w:val="14"/>
                <w:color w:val="auto"/>
              </w:rPr>
              <w:t>Gross Average Selling Prices (price per ton)</w:t>
            </w: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Change</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Change</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7"/>
        </w:trPr>
        <w:tc>
          <w:tcPr>
            <w:tcW w:w="580" w:type="dxa"/>
            <w:vAlign w:val="bottom"/>
          </w:tcPr>
          <w:p>
            <w:pPr>
              <w:spacing w:after="0"/>
              <w:rPr>
                <w:sz w:val="18"/>
                <w:szCs w:val="18"/>
                <w:color w:val="auto"/>
              </w:rPr>
            </w:pPr>
          </w:p>
        </w:tc>
        <w:tc>
          <w:tcPr>
            <w:tcW w:w="2540" w:type="dxa"/>
            <w:vAlign w:val="bottom"/>
            <w:tcBorders>
              <w:top w:val="single" w:sz="8" w:color="auto"/>
            </w:tcBorders>
            <w:gridSpan w:val="2"/>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26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380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9"/>
                <w:szCs w:val="19"/>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19"/>
                <w:szCs w:val="19"/>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6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2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648"/>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32" w:right="21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With respect to sales of Industrial Products, the following table indicates the volumes sold of our major products: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460" w:type="dxa"/>
            <w:vAlign w:val="bottom"/>
            <w:gridSpan w:val="4"/>
          </w:tcPr>
          <w:p>
            <w:pPr>
              <w:jc w:val="center"/>
              <w:ind w:right="220"/>
              <w:spacing w:after="0"/>
              <w:rPr>
                <w:sz w:val="20"/>
                <w:szCs w:val="20"/>
                <w:color w:val="auto"/>
              </w:rPr>
            </w:pPr>
            <w:r>
              <w:rPr>
                <w:rFonts w:ascii="Arial" w:cs="Arial" w:eastAsia="Arial" w:hAnsi="Arial"/>
                <w:sz w:val="18"/>
                <w:szCs w:val="18"/>
                <w:color w:val="auto"/>
                <w:w w:val="91"/>
              </w:rPr>
              <w:t>Nine Months Ended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0"/>
        </w:trPr>
        <w:tc>
          <w:tcPr>
            <w:tcW w:w="11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460" w:type="dxa"/>
            <w:vAlign w:val="bottom"/>
            <w:gridSpan w:val="4"/>
          </w:tcPr>
          <w:p>
            <w:pPr>
              <w:jc w:val="center"/>
              <w:ind w:right="220"/>
              <w:spacing w:after="0"/>
              <w:rPr>
                <w:sz w:val="20"/>
                <w:szCs w:val="20"/>
                <w:color w:val="auto"/>
              </w:rPr>
            </w:pPr>
            <w:r>
              <w:rPr>
                <w:rFonts w:ascii="Arial" w:cs="Arial" w:eastAsia="Arial" w:hAnsi="Arial"/>
                <w:sz w:val="18"/>
                <w:szCs w:val="18"/>
                <w:color w:val="auto"/>
                <w:w w:val="88"/>
              </w:rPr>
              <w:t>September 30,</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7"/>
              </w:rPr>
              <w:t>Percentage</w:t>
            </w:r>
          </w:p>
        </w:tc>
        <w:tc>
          <w:tcPr>
            <w:tcW w:w="300" w:type="dxa"/>
            <w:vAlign w:val="bottom"/>
          </w:tcPr>
          <w:p>
            <w:pPr>
              <w:spacing w:after="0"/>
              <w:rPr>
                <w:sz w:val="19"/>
                <w:szCs w:val="19"/>
                <w:color w:val="auto"/>
              </w:rPr>
            </w:pPr>
          </w:p>
        </w:tc>
      </w:tr>
      <w:tr>
        <w:trPr>
          <w:trHeight w:val="237"/>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Product (tons sold)</w:t>
            </w:r>
          </w:p>
        </w:tc>
        <w:tc>
          <w:tcPr>
            <w:tcW w:w="416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Change</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Change</w:t>
            </w:r>
          </w:p>
        </w:tc>
        <w:tc>
          <w:tcPr>
            <w:tcW w:w="300" w:type="dxa"/>
            <w:vAlign w:val="bottom"/>
          </w:tcPr>
          <w:p>
            <w:pPr>
              <w:spacing w:after="0"/>
              <w:rPr>
                <w:sz w:val="20"/>
                <w:szCs w:val="20"/>
                <w:color w:val="auto"/>
              </w:rPr>
            </w:pPr>
          </w:p>
        </w:tc>
      </w:tr>
      <w:tr>
        <w:trPr>
          <w:trHeight w:val="217"/>
        </w:trPr>
        <w:tc>
          <w:tcPr>
            <w:tcW w:w="526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170,600</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177,277</w:t>
            </w: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(6,677)</w:t>
            </w: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gridSpan w:val="2"/>
          </w:tcPr>
          <w:p>
            <w:pPr>
              <w:ind w:left="240"/>
              <w:spacing w:after="0"/>
              <w:rPr>
                <w:sz w:val="20"/>
                <w:szCs w:val="20"/>
                <w:color w:val="auto"/>
              </w:rPr>
            </w:pPr>
            <w:r>
              <w:rPr>
                <w:rFonts w:ascii="Arial" w:cs="Arial" w:eastAsia="Arial" w:hAnsi="Arial"/>
                <w:sz w:val="18"/>
                <w:szCs w:val="18"/>
                <w:color w:val="auto"/>
              </w:rPr>
              <w:t>Nitric Acid, excluding Baytown</w:t>
            </w:r>
          </w:p>
        </w:tc>
        <w:tc>
          <w:tcPr>
            <w:tcW w:w="1020" w:type="dxa"/>
            <w:vAlign w:val="bottom"/>
          </w:tcPr>
          <w:p>
            <w:pPr>
              <w:jc w:val="right"/>
              <w:spacing w:after="0"/>
              <w:rPr>
                <w:sz w:val="20"/>
                <w:szCs w:val="20"/>
                <w:color w:val="auto"/>
              </w:rPr>
            </w:pPr>
            <w:r>
              <w:rPr>
                <w:rFonts w:ascii="Arial" w:cs="Arial" w:eastAsia="Arial" w:hAnsi="Arial"/>
                <w:sz w:val="18"/>
                <w:szCs w:val="18"/>
                <w:color w:val="auto"/>
              </w:rPr>
              <w:t>75,105</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75,253</w:t>
            </w: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(148)</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Industrial Products</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24,557</w:t>
            </w:r>
          </w:p>
        </w:tc>
        <w:tc>
          <w:tcPr>
            <w:tcW w:w="2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22,820</w:t>
            </w:r>
          </w:p>
        </w:tc>
        <w:tc>
          <w:tcPr>
            <w:tcW w:w="2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1,737</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6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270,262</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275,350</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(5,088)</w:t>
            </w:r>
          </w:p>
        </w:tc>
        <w:tc>
          <w:tcPr>
            <w:tcW w:w="2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0"/>
        </w:trPr>
        <w:tc>
          <w:tcPr>
            <w:tcW w:w="1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sales of Mining Products, the following table indicates the volumes sold of our major products: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460" w:type="dxa"/>
            <w:vAlign w:val="bottom"/>
            <w:gridSpan w:val="4"/>
          </w:tcPr>
          <w:p>
            <w:pPr>
              <w:jc w:val="center"/>
              <w:ind w:right="220"/>
              <w:spacing w:after="0"/>
              <w:rPr>
                <w:sz w:val="20"/>
                <w:szCs w:val="20"/>
                <w:color w:val="auto"/>
              </w:rPr>
            </w:pPr>
            <w:r>
              <w:rPr>
                <w:rFonts w:ascii="Arial" w:cs="Arial" w:eastAsia="Arial" w:hAnsi="Arial"/>
                <w:sz w:val="18"/>
                <w:szCs w:val="18"/>
                <w:color w:val="auto"/>
                <w:w w:val="91"/>
              </w:rPr>
              <w:t>Nine Months Ended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0"/>
        </w:trPr>
        <w:tc>
          <w:tcPr>
            <w:tcW w:w="11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460" w:type="dxa"/>
            <w:vAlign w:val="bottom"/>
            <w:gridSpan w:val="4"/>
          </w:tcPr>
          <w:p>
            <w:pPr>
              <w:jc w:val="center"/>
              <w:ind w:right="220"/>
              <w:spacing w:after="0"/>
              <w:rPr>
                <w:sz w:val="20"/>
                <w:szCs w:val="20"/>
                <w:color w:val="auto"/>
              </w:rPr>
            </w:pPr>
            <w:r>
              <w:rPr>
                <w:rFonts w:ascii="Arial" w:cs="Arial" w:eastAsia="Arial" w:hAnsi="Arial"/>
                <w:sz w:val="18"/>
                <w:szCs w:val="18"/>
                <w:color w:val="auto"/>
                <w:w w:val="88"/>
              </w:rPr>
              <w:t>September 30,</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210"/>
              <w:spacing w:after="0"/>
              <w:rPr>
                <w:sz w:val="20"/>
                <w:szCs w:val="20"/>
                <w:color w:val="auto"/>
              </w:rPr>
            </w:pPr>
            <w:r>
              <w:rPr>
                <w:rFonts w:ascii="Arial" w:cs="Arial" w:eastAsia="Arial" w:hAnsi="Arial"/>
                <w:sz w:val="18"/>
                <w:szCs w:val="18"/>
                <w:color w:val="auto"/>
                <w:w w:val="86"/>
              </w:rPr>
              <w:t>Percentage</w:t>
            </w:r>
          </w:p>
        </w:tc>
      </w:tr>
      <w:tr>
        <w:trPr>
          <w:trHeight w:val="237"/>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Product (tons sold)</w:t>
            </w:r>
          </w:p>
        </w:tc>
        <w:tc>
          <w:tcPr>
            <w:tcW w:w="416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Change</w:t>
            </w:r>
          </w:p>
        </w:tc>
        <w:tc>
          <w:tcPr>
            <w:tcW w:w="1340" w:type="dxa"/>
            <w:vAlign w:val="bottom"/>
            <w:gridSpan w:val="2"/>
          </w:tcPr>
          <w:p>
            <w:pPr>
              <w:jc w:val="center"/>
              <w:ind w:right="210"/>
              <w:spacing w:after="0"/>
              <w:rPr>
                <w:sz w:val="20"/>
                <w:szCs w:val="20"/>
                <w:color w:val="auto"/>
              </w:rPr>
            </w:pPr>
            <w:r>
              <w:rPr>
                <w:rFonts w:ascii="Arial" w:cs="Arial" w:eastAsia="Arial" w:hAnsi="Arial"/>
                <w:sz w:val="18"/>
                <w:szCs w:val="18"/>
                <w:color w:val="auto"/>
                <w:w w:val="88"/>
              </w:rPr>
              <w:t>Change</w:t>
            </w:r>
          </w:p>
        </w:tc>
      </w:tr>
      <w:tr>
        <w:trPr>
          <w:trHeight w:val="217"/>
        </w:trPr>
        <w:tc>
          <w:tcPr>
            <w:tcW w:w="526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LDAN/HDAN/AN Solution</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121,032</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110,355</w:t>
            </w: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10,677</w:t>
            </w: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ind w:left="1040" w:hanging="519"/>
        <w:spacing w:after="0" w:line="255"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Agricultural products sales decreased primarily from lower sales volume for UAN and ammonia partially offset by increased sales volume of HDAN. The decrease in sales volume primarily relates to the timing of barge shipments of UAN (3,000 tons and 24,000 tons in first nine months of 2018 and 2017, respectively), weather-driven planting delays for the spring application season, rail and truck transportation shortages, lower on-stream rates experienced at our three facilities, and the lost production at our Cherokee Facility resulting from a Turnaround performed during the third quarter of 2018. Sales volume of HDAN increased as a result of various marketing initiatives and improved demand during the first nine months of 2018. This decrease was also partially offset by higher overall average sales prices primarily relating to ammonia, HDAN and UAN as the result of improved commodity pricing.</w:t>
      </w:r>
    </w:p>
    <w:p>
      <w:pPr>
        <w:spacing w:after="0" w:line="81" w:lineRule="exact"/>
        <w:rPr>
          <w:rFonts w:ascii="Arial" w:cs="Arial" w:eastAsia="Arial" w:hAnsi="Arial"/>
          <w:sz w:val="18"/>
          <w:szCs w:val="18"/>
          <w:color w:val="auto"/>
        </w:rPr>
      </w:pPr>
    </w:p>
    <w:p>
      <w:pPr>
        <w:jc w:val="both"/>
        <w:ind w:left="1040" w:hanging="519"/>
        <w:spacing w:after="0" w:line="255"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Industrial acids and other industrial chemical products sales decreased approximately 29%, primarily due to the impact from adopting ASC 606 as discussed in Note 2. Since we adopted ASC 606 using the “modified retrospective” method, the prior periods were not restated. If we had applied ASC 606 to these specific arrangements during the first nine months of 2017, net sales for these products would have been reduced by approximately $48.7 million to $100.8 million or a 4.8% increase for the nine months ended 2018 compared to the same period of 2017. Excluding this impact, sales increased due primarily to improved average selling prices for our products partially offset by lower sales volume of ammonia.</w:t>
      </w:r>
    </w:p>
    <w:p>
      <w:pPr>
        <w:spacing w:after="0" w:line="85"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Mining products sales increased primarily as a result of higher sales volume of LDAN related to new contract awards partially offset by lower sales volume of AN Solution.</w:t>
      </w:r>
    </w:p>
    <w:p>
      <w:pPr>
        <w:spacing w:after="0" w:line="62"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products consisted of sales from our former business that sold industrial machinery and related components, which business was sold in October 2017, and minimal natural gas sales from our former working interests in certain natural gas properties that were sold during the second quarter of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noted in the table above, we recognized a gross profit of $3.4 million for the first nine months of 2018 compared to a $15.7 million for the same period of 2017, or a decrease of $12.2 million which primarily relates to:</w:t>
      </w:r>
    </w:p>
    <w:p>
      <w:pPr>
        <w:spacing w:after="0" w:line="62" w:lineRule="exact"/>
        <w:rPr>
          <w:sz w:val="20"/>
          <w:szCs w:val="20"/>
          <w:color w:val="auto"/>
        </w:rPr>
      </w:pPr>
    </w:p>
    <w:p>
      <w:pPr>
        <w:ind w:left="104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associated with lower on-stream rates, including lost absorption of fixed costs, increased Turnaround and other repair expenses, and costs to purchase ammonia used to upgrade to other downstream products;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recovery of precious metals of $2.9 million in the second quarter of 2017, which metals had accumulated over time within certain manufacturing equipment;</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expenses incurred relating to certain key initiatives associated with improving the reliability of our plants, our overall procurement processes, our operating and maintenance procedures, and our preventative maintenance programs, partially offset by;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average natural gas prices.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the first nine months of 2017 included gross profit of approximately $3.3 million associated with our former industrial machinery business and working interests in certain natural gas properties, both sold in 2017 as previously discussed.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Selling General and Administrative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SG&amp;A expenses were $25.8 million for the first nine months of 2018, a decrease of $1.0 million compared to the same period in 2017. The decrease was primarily driven by a $1.2 million reduction in compensation-related costs, $0.9 million reduction in insurance and other miscellaneous costs partially offset by an increase of $0.9 million in professional fees and the impact from $1.6 million of SG&amp;A expenses related to two former businesses that were sold in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Expense (Income), net</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net other income for the first nine months of 2018 was $1.8 million compared to net other expense of $2.3 million for the first nine months of 2017. During the first nine months of 2018, other income primarily relates to a total net gain from the sales of certain non-core assets. For the same period in 2017, we incurred a total net loss of $4.4 million primarily relating to the sales of non-core assets partially offset by the extinguishment and derecognition of a liability of approximately $1.4 million associated with a death benefit agreement and approximately $0.3 million of miscellaneous other income.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for the first nine months of 2018 was $32.0 million compared to $27.9 million for the same period in 2017. The increase relates primarily to the issuance of the Senior Secured Notes and approximately $0.9 million related to debt modification fees associated with this financing as discussed in Note 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on Extinguishment of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first nine months of 2018, we incurred a loss on extinguishment of debt of approximately $6.0 million as discussed in Note 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(Benefit) for Income Taxes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provision for income taxes from continuing operations for the first nine months of 2018 was $1.0 million compared to a benefit of $10.7 million for the same period in 2017. The resulting effective tax rate for the first nine months of 2018 and 2017 was 2% (provision on pre-tax loss) and 26% (benefit on pre-tax loss), respectively. The effective tax rate was impacted by adjustments made to our valuation allowances during 2018. Also see discussion in Note 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continuing cash flow activities for the first nine months of 2018 and 2017:</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54"/>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4"/>
                <w:szCs w:val="14"/>
                <w:color w:val="auto"/>
                <w:w w:val="95"/>
              </w:rPr>
              <w:t>(In Thousands)</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continuing operating activities</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38,780</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19,329</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4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continuing investing activities</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(16,160)</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(2,196)</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(13,964)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continuing financing activities</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(13,493)</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(21,714)</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Cash Flow from Continuing Operating Activities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continuing operating activities was $38.8 million for the first nine months of 2018 compared to $19.3 million for the first nine months of 2017, a change of $19.5 million.</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first nine months of 2018, the net cash provided is the result of a net loss of $59.2 million plus adjustments of $53.5 million for depreciation and amortization of PP&amp;E, $6.0 million for a loss on extinguishment of debt, $1.0 million for deferred taxes and other adjustments of $6.9 million and net cash provided of approximately $30.6 million primarily from our working capital.</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nine months of 2017, the net cash provided is the result of a net loss of $30.1 million plus an adjustment of $50.3 million relating to depreciation, depletion and amortization of PP&amp;E, less other adjustments of $0.9 million.</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Cash Flow from Continuing Investing Activities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by continuing investing activities was $16.2 million for the first nine months of 2018 compared to net cash used of $2.2 million in the prior period, a change of $14.0 million.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nine months of 2018, the net cash used is the result of $27.2 million for expenditures for PP&amp;E partially offset by $6.7 million from net proceeds from the sale of PP&amp;E, $2.7 million representing the remaining proceeds from an indemnity escrow account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associated with the sale of the Climate Control business in 2016 and approximately $1.6 million relating to a recovery from a property insurance claim and other investing activities.</w:t>
      </w:r>
    </w:p>
    <w:p>
      <w:pPr>
        <w:spacing w:after="0" w:line="6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For the first nine months of 2017, the net cash used is the result of expenditures for PP&amp;E of $25.2 million partially offset by net proceeds of $22.6 million from the sale of our former working interests in certain natural gas properties and other property and equipment which included an advance payment on the sale of our engineered products business (industrial machinery and related components) and $0.4 million of other investing activities.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Cash Flow from Continuing Financing Activities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used by continuing financing activities was $13.5 million for the first nine months of 2018 compared to $21.7 million for the first nine months of 2017, a change of $8.2 million.</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first nine months of 2018, the net cash used consists of $375 million repayment of the senior secured notes due 2019, payments of $15.2 million on other long-term debt and short-term financing, payments of $10.8 million for debt related costs, payments of $2.7 million of fees associated with the modification of terms of our Series E Redeemable Preferred and approximately $0.3 million of other financing activities partially offset by net proceeds of $390.5 million from the Senior Secured Notes.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For the first nine months of 2017, the net cash used consists primarily of payments of $21.6 million on long-term debt and short-term financing.</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Capitalization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total current cash, long-term debt, redeemable preferred stock and stockholders’ equity:</w:t>
      </w:r>
    </w:p>
    <w:p>
      <w:pPr>
        <w:spacing w:after="0" w:line="347"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September 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5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60" w:type="dxa"/>
            <w:vAlign w:val="bottom"/>
            <w:gridSpan w:val="6"/>
          </w:tcPr>
          <w:p>
            <w:pPr>
              <w:jc w:val="right"/>
              <w:ind w:right="1240"/>
              <w:spacing w:after="0"/>
              <w:rPr>
                <w:sz w:val="20"/>
                <w:szCs w:val="20"/>
                <w:color w:val="auto"/>
              </w:rPr>
            </w:pPr>
            <w:r>
              <w:rPr>
                <w:rFonts w:ascii="Arial" w:cs="Arial" w:eastAsia="Arial" w:hAnsi="Arial"/>
                <w:sz w:val="16"/>
                <w:szCs w:val="16"/>
                <w:color w:val="auto"/>
              </w:rPr>
              <w:t>(In Millions)</w:t>
            </w:r>
          </w:p>
        </w:tc>
        <w:tc>
          <w:tcPr>
            <w:tcW w:w="0" w:type="dxa"/>
            <w:vAlign w:val="bottom"/>
          </w:tcPr>
          <w:p>
            <w:pPr>
              <w:spacing w:after="0"/>
              <w:rPr>
                <w:sz w:val="1"/>
                <w:szCs w:val="1"/>
                <w:color w:val="auto"/>
              </w:rPr>
            </w:pPr>
          </w:p>
        </w:tc>
      </w:tr>
      <w:tr>
        <w:trPr>
          <w:trHeight w:val="236"/>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16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Long-term debt:</w:t>
            </w:r>
          </w:p>
        </w:tc>
        <w:tc>
          <w:tcPr>
            <w:tcW w:w="17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Working Capital Revolver Loan</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 xml:space="preserve">Senior Secured Notes due 2023 </w:t>
            </w:r>
            <w:r>
              <w:rPr>
                <w:rFonts w:ascii="Arial" w:cs="Arial" w:eastAsia="Arial" w:hAnsi="Arial"/>
                <w:sz w:val="14"/>
                <w:szCs w:val="14"/>
                <w:color w:val="auto"/>
              </w:rPr>
              <w:t>(1)</w:t>
            </w: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Senior Secured Notes due 2019 </w:t>
            </w:r>
            <w:r>
              <w:rPr>
                <w:rFonts w:ascii="Arial" w:cs="Arial" w:eastAsia="Arial" w:hAnsi="Arial"/>
                <w:sz w:val="14"/>
                <w:szCs w:val="14"/>
                <w:color w:val="auto"/>
              </w:rPr>
              <w:t>(1)</w:t>
            </w:r>
          </w:p>
        </w:tc>
        <w:tc>
          <w:tcPr>
            <w:tcW w:w="1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Secured Promissory Note due 2019</w:t>
            </w: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Promissory Note due 2021</w:t>
            </w:r>
          </w:p>
        </w:tc>
        <w:tc>
          <w:tcPr>
            <w:tcW w:w="1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Secured Promissory Note due 2023</w:t>
            </w: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Unamortized discount and debt issuance costs</w:t>
            </w: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debt, including current portion, net</w:t>
            </w:r>
          </w:p>
        </w:tc>
        <w:tc>
          <w:tcPr>
            <w:tcW w:w="17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 xml:space="preserve">Series E and F redeemable preferred stock </w:t>
            </w:r>
            <w:r>
              <w:rPr>
                <w:rFonts w:ascii="Arial" w:cs="Arial" w:eastAsia="Arial" w:hAnsi="Arial"/>
                <w:sz w:val="14"/>
                <w:szCs w:val="14"/>
                <w:color w:val="auto"/>
              </w:rPr>
              <w:t>(2)</w:t>
            </w:r>
          </w:p>
        </w:tc>
        <w:tc>
          <w:tcPr>
            <w:tcW w:w="18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FF0FC"/>
            </w:tcBorders>
            <w:vMerge w:val="continue"/>
          </w:tcPr>
          <w:p>
            <w:pPr>
              <w:spacing w:after="0"/>
              <w:rPr>
                <w:sz w:val="21"/>
                <w:szCs w:val="21"/>
                <w:color w:val="auto"/>
              </w:rPr>
            </w:pPr>
          </w:p>
        </w:tc>
        <w:tc>
          <w:tcPr>
            <w:tcW w:w="170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194.6</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7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760" w:hanging="374"/>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 discussion contained in Note 6.</w:t>
      </w:r>
    </w:p>
    <w:p>
      <w:pPr>
        <w:spacing w:after="0" w:line="23" w:lineRule="exact"/>
        <w:rPr>
          <w:rFonts w:ascii="Arial" w:cs="Arial" w:eastAsia="Arial" w:hAnsi="Arial"/>
          <w:sz w:val="18"/>
          <w:szCs w:val="18"/>
          <w:color w:val="auto"/>
        </w:rPr>
      </w:pPr>
    </w:p>
    <w:p>
      <w:pPr>
        <w:ind w:left="760" w:hanging="374"/>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Liquidation preference of $205 million as of September 30, 2018.</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currently have a revolving credit facility, our Working Capital Revolver Loan, with a borrowing base of $50 million. As of September 30, 2018, our Working Capital Revolver Loan was undrawn and had approximately $39.1 million of availability.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planned capital expenditures of approximately $6.8 million for the remainder of 2018 for a total in 2018 of approximately $34.0 million. They do not include any capital spending to increase capacity.</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above under “Overview-Recent Developments” and Note 6, on April 25, 2018, most of the net proceeds from the Senior Secured Notes were used to repurchase all of our senior secured notes due 2019. Also, from the net proceeds, we paid or will pay related transaction fees, expenses and redemption premiums. Any remaining net proceeds will be used for general corporate purposes.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combination of our cash on hand, the availability on our revolving credit facility, and our cash flow from operations will be sufficient to fund our anticipated liquidity needs for the next twelve months.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5" w:name="page36"/>
    <w:bookmarkEnd w:id="35"/>
    <w:p>
      <w:pPr>
        <w:ind w:left="260"/>
        <w:spacing w:after="0"/>
        <w:rPr>
          <w:sz w:val="20"/>
          <w:szCs w:val="20"/>
          <w:color w:val="auto"/>
        </w:rPr>
      </w:pPr>
      <w:r>
        <w:rPr>
          <w:rFonts w:ascii="Arial" w:cs="Arial" w:eastAsia="Arial" w:hAnsi="Arial"/>
          <w:sz w:val="18"/>
          <w:szCs w:val="18"/>
          <w:b w:val="1"/>
          <w:bCs w:val="1"/>
          <w:color w:val="auto"/>
        </w:rPr>
        <w:t>Compliance with Long - Term Debt Covenants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below in Notes 6, the Working Capital Revolver Loan requires, among other things, that we meet certain financial covenants. The Working Capital Revolver Loan does not include financial covenant requirements unless a defined covenant trigger event has occurred and is continuing. As of September 30, 2018, no trigger event had occurred.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 Agreements and Redeemable Preferred Stock</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Senior Secured Notes due 2019 and 2023 </w:t>
      </w:r>
      <w:r>
        <w:rPr>
          <w:rFonts w:ascii="Arial" w:cs="Arial" w:eastAsia="Arial" w:hAnsi="Arial"/>
          <w:sz w:val="18"/>
          <w:szCs w:val="18"/>
          <w:color w:val="auto"/>
        </w:rPr>
        <w:t>- See discussion contained in Note 6. As a result of the financing transactions, our interest expense has increased and is</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to increase compared to 2017.</w:t>
      </w:r>
    </w:p>
    <w:p>
      <w:pPr>
        <w:spacing w:after="0" w:line="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Secured Promissory Note due 2019 </w:t>
      </w:r>
      <w:r>
        <w:rPr>
          <w:rFonts w:ascii="Arial" w:cs="Arial" w:eastAsia="Arial" w:hAnsi="Arial"/>
          <w:sz w:val="18"/>
          <w:szCs w:val="18"/>
          <w:color w:val="auto"/>
        </w:rPr>
        <w:t>- EDC is party to a secured promissory note due June 29, 2019. This promissory note bears interest at the annual rate of</w:t>
      </w:r>
      <w:r>
        <w:rPr>
          <w:rFonts w:ascii="Arial" w:cs="Arial" w:eastAsia="Arial" w:hAnsi="Arial"/>
          <w:sz w:val="18"/>
          <w:szCs w:val="18"/>
          <w:b w:val="1"/>
          <w:bCs w:val="1"/>
          <w:color w:val="auto"/>
        </w:rPr>
        <w:t xml:space="preserve"> </w:t>
      </w:r>
      <w:r>
        <w:rPr>
          <w:rFonts w:ascii="Arial" w:cs="Arial" w:eastAsia="Arial" w:hAnsi="Arial"/>
          <w:sz w:val="18"/>
          <w:szCs w:val="18"/>
          <w:color w:val="auto"/>
        </w:rPr>
        <w:t>5.73%. Principal and interest are payable in equal monthly installments with a final balloon payment of approximately $6.7 million. This promissory note is secured by the cogeneration facility equipment and is guaranteed by LSB.</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Secured Promissory Note due 2021 </w:t>
      </w:r>
      <w:r>
        <w:rPr>
          <w:rFonts w:ascii="Arial" w:cs="Arial" w:eastAsia="Arial" w:hAnsi="Arial"/>
          <w:sz w:val="18"/>
          <w:szCs w:val="18"/>
          <w:color w:val="auto"/>
        </w:rPr>
        <w:t>- EDC is party to a secured promissory note due March 26, 2021. This promissory note bears interest at the annual rate</w:t>
      </w:r>
      <w:r>
        <w:rPr>
          <w:rFonts w:ascii="Arial" w:cs="Arial" w:eastAsia="Arial" w:hAnsi="Arial"/>
          <w:sz w:val="18"/>
          <w:szCs w:val="18"/>
          <w:b w:val="1"/>
          <w:bCs w:val="1"/>
          <w:color w:val="auto"/>
        </w:rPr>
        <w:t xml:space="preserve"> </w:t>
      </w:r>
      <w:r>
        <w:rPr>
          <w:rFonts w:ascii="Arial" w:cs="Arial" w:eastAsia="Arial" w:hAnsi="Arial"/>
          <w:sz w:val="18"/>
          <w:szCs w:val="18"/>
          <w:color w:val="auto"/>
        </w:rPr>
        <w:t>of 5.25%. Principal and interest are payable in monthly installments. This promissory note is secured by a natural gas pipeline at the El Dorado Facility and is guaranteed by LSB.</w:t>
      </w:r>
    </w:p>
    <w:p>
      <w:pPr>
        <w:spacing w:after="0" w:line="6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Secured Promissory Note due 2023 </w:t>
      </w:r>
      <w:r>
        <w:rPr>
          <w:rFonts w:ascii="Arial" w:cs="Arial" w:eastAsia="Arial" w:hAnsi="Arial"/>
          <w:sz w:val="16"/>
          <w:szCs w:val="16"/>
          <w:color w:val="auto"/>
        </w:rPr>
        <w:t>- EDA is party to a secured promissory note due May 10, 2023. Principal and interest are payable in equal monthly</w:t>
      </w:r>
      <w:r>
        <w:rPr>
          <w:rFonts w:ascii="Arial" w:cs="Arial" w:eastAsia="Arial" w:hAnsi="Arial"/>
          <w:sz w:val="16"/>
          <w:szCs w:val="16"/>
          <w:b w:val="1"/>
          <w:bCs w:val="1"/>
          <w:color w:val="auto"/>
        </w:rPr>
        <w:t xml:space="preserve"> </w:t>
      </w:r>
      <w:r>
        <w:rPr>
          <w:rFonts w:ascii="Arial" w:cs="Arial" w:eastAsia="Arial" w:hAnsi="Arial"/>
          <w:sz w:val="16"/>
          <w:szCs w:val="16"/>
          <w:color w:val="auto"/>
        </w:rPr>
        <w:t>installments with a final balloon payment of approximately $6.1 million. This promissory note bears interest at a rate that is based on the monthly LIBOR rate plus a base rate for a total of 6.35%. This promissory note is secured by the ammonia storage tank and related systems and is guaranteed by LSB.</w:t>
      </w:r>
    </w:p>
    <w:p>
      <w:pPr>
        <w:spacing w:after="0" w:line="3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Working Capital Revolver Loan - </w:t>
      </w:r>
      <w:r>
        <w:rPr>
          <w:rFonts w:ascii="Arial" w:cs="Arial" w:eastAsia="Arial" w:hAnsi="Arial"/>
          <w:sz w:val="18"/>
          <w:szCs w:val="18"/>
          <w:color w:val="auto"/>
        </w:rPr>
        <w:t>At September 30, 2018, there were no outstanding borrowings under the Working Capital Revolver Loan and the net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for borrowings under our Working Capital Revolver Loan was approximately $39.1 million, based on our eligible collateral, less outstanding letters of credit as of that date. Also see discussion above under “Compliance with Long-Term Debt Covenants.</w:t>
      </w:r>
    </w:p>
    <w:p>
      <w:pPr>
        <w:spacing w:after="0" w:line="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Redemption of Series E Redeemable Preferred </w:t>
      </w:r>
      <w:r>
        <w:rPr>
          <w:rFonts w:ascii="Arial" w:cs="Arial" w:eastAsia="Arial" w:hAnsi="Arial"/>
          <w:sz w:val="18"/>
          <w:szCs w:val="18"/>
          <w:color w:val="auto"/>
        </w:rPr>
        <w:t>– At September 30, 2018, there were 139,768 outstanding shares of Series E Redeemable Preferred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liquidation preference (par value plus accrued dividends) was $205 million.</w:t>
      </w:r>
    </w:p>
    <w:p>
      <w:pPr>
        <w:spacing w:after="0" w:line="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any time on or after October 25, 2023, each Series E holder has the right to elect to have such holder’s shares redeemed by us at a redemption price per share equal to the liquidation preference per share of $1,000 plus accrued and unpaid dividends plus the participation rights value (the “Liquidation Preference”). Additionally, at our option, we may redeem the Series E Redeemable Preferred at any time at a redemption price per share equal to the Liquidation Preference of such share as of the redemption date. Lastly, with receipt of (i) prior consent of the electing Series E holder or a majority of shares of Series E Redeemable Preferred and (ii) all other required approvals, including under any principal U.S. securities exchange on which our common stock is then listed for trading, we can redeem the Series E Redeemable Preferred by the issuance of shares of common stock having an aggregate common stock price equal to the amount of the aggregate Liquidation Preference of such shares being redeemed in shares of common stock in lieu of cash at the redemption date.</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of liquidation, the Series E Redeemable Preferred is entitled to receive its Liquidation Preference before any such distribution of assets or proceeds is made to or set aside for the holders of our common stock and any other junior stock. In the event of a change of control, we must make an offer to purchase all of the shares of Series E Redeemable Preferred outstanding at the Liquidation Preference.</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Capital Improvements – First Nine Months of 2018</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first nine months of 2018, capital improvements relating to PP&amp;E were $24.7 million, which improvements include approximately $0.9 million associated with maintaining compliance with environmental laws, regulations and guidelines. The capital improvements were funded primarily from cash and working capital.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“Capitalization” for our expected capital improvements for the remainder of 2018.</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specific federal and state environmental compliance laws, regulations and guidelines. As a result, we incurred expenses of $2.4 million during the first nine months of 2018 in connection with environmental projects. For the remainder of 2018, we expect to incur expenses ranging from $0.9 million to $1.2 million in connection with additional environmental projects. However, it is possible that the actual costs could be significantly different than our estimates.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paid cash dividends on our outstanding common stock in many years, and we do not currently anticipate paying cash dividends on our outstanding common stock in the near future.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6" w:name="page37"/>
    <w:bookmarkEnd w:id="36"/>
    <w:p>
      <w:pPr>
        <w:jc w:val="both"/>
        <w:spacing w:after="0" w:line="270" w:lineRule="auto"/>
        <w:rPr>
          <w:sz w:val="20"/>
          <w:szCs w:val="20"/>
          <w:color w:val="auto"/>
        </w:rPr>
      </w:pPr>
      <w:r>
        <w:rPr>
          <w:rFonts w:ascii="Arial" w:cs="Arial" w:eastAsia="Arial" w:hAnsi="Arial"/>
          <w:sz w:val="17"/>
          <w:szCs w:val="17"/>
          <w:color w:val="auto"/>
        </w:rPr>
        <w:t>Dividends on the Series E Redeemable Preferred are cumulative and payable semi-annually (May 1 and November 1) in arrears at the current annual rate of 14% of the liquidation value of $1,000 per share, but such annual rate will increase beginning on April 25, 2021 as discussed in Note 10. Each share of Series E Redeemable Preferred is entitled to receive a semi-annual dividend, only when declared by our Board. In addition, dividends in arrears at the dividend date, until paid, shall compound additional dividends at the current annual rate of 14%, but such annual rate will increase beginning on April 25, 2021. The current semi-annual compounded dividend is approximately $97.04 per share for the current aggregate semi-annual dividend of $13.6 million. We also must declare a dividend on the Series E Redeemable Preferred on a pro rata basis with our common stock. As long as the Purchaser holds at least 10% of the Series E Redeemable Preferred, we may not declare dividends on our common stock and other preferred stocks unless and until dividends have been declared and paid on the Series E Redeemable Preferred for the then current dividend period in cash. As of September 30, 2018, the amount of accumulated dividends on the Series E Redeemable Preferred was approximately $65.2 million.</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Dividends on the Series D 6% cumulative convertible Class C preferred stock (the “Series D Preferred”) and Series B 12% cumulative convertible Class C Preferred Stock (the “Series B Preferred”) are payable annually, only when declared by our Board, as follows:</w:t>
      </w:r>
    </w:p>
    <w:p>
      <w:pPr>
        <w:spacing w:after="0" w:line="62"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$0.06 per share on our outstanding non-redeemable Series D Preferred for an aggregate dividend of $60,000,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$12.00 per share on our outstanding non-redeemable Series B Preferred for an aggregate dividend of $240,000.</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2018, the amount of accumulated dividends on the Series D Preferred and Series B Preferred totaled approximately $0.9 million. All shares of the Series D Preferred and Series B Preferred are owned by the Golsen Holders. There are no optional or mandatory redemption rights with respect to the Series B Preferred or Series D Preferred.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fertilizer products sold to the agricultural industry are seasonal while sales into the industrial and mining sectors generally are less susceptible. The selling seasons for agricultural products are primarily during the spring and fall planting seasons, which typically extend from March through June and from September through November in the geographical markets we distribute the majority of our agricultural products. As a result, we typically increase our inventory of fertilizer products prior to the beginning of each planting season in order to meet the demand for our products. In addition, the amount and timing of sales to the agricultural markets depend upon weather conditions and other circumstances beyond our control.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September 30, 2018, we have agreed to indemnify the sureties for payments, up to $10 million, made by them in respect of such bonds. These insurance bonds are expected to expire or be renewed in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Notes 1 and 2 for recently adopted and issued accounting standards.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See “Critical Accounting Policies and Estimates,” Item 7 of our 2017 Form 10-K. In addition, the preparation of financial statements requires us to make estimates and assumptions that affect the reported amount of assets, liabilities, revenues and expenses, and disclosures of contingencies and fair values, including, but not limited to, various environmental and legal matters that require us to make estimates and assumptions, including costs relating to a corrective action study work plan approved by the KDHE discussed under footnote 2 – Other Environmental Matters of Note 7 included in this Form 10-Q and the lawsuits styled </w:t>
      </w:r>
      <w:r>
        <w:rPr>
          <w:rFonts w:ascii="Arial" w:cs="Arial" w:eastAsia="Arial" w:hAnsi="Arial"/>
          <w:sz w:val="16"/>
          <w:szCs w:val="16"/>
          <w:i w:val="1"/>
          <w:iCs w:val="1"/>
          <w:color w:val="auto"/>
        </w:rPr>
        <w:t>City of West, Texas vs. CF Industries, Inc., et al.,</w:t>
      </w:r>
      <w:r>
        <w:rPr>
          <w:rFonts w:ascii="Arial" w:cs="Arial" w:eastAsia="Arial" w:hAnsi="Arial"/>
          <w:sz w:val="16"/>
          <w:szCs w:val="16"/>
          <w:color w:val="auto"/>
        </w:rPr>
        <w:t xml:space="preserve"> discussed under “Other Pending, Threatened or Settled Litigation” of Note 7.</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in Note 9, during the second quarter of 2018, we established a valuation allowance on a portion of our federal deferred tax assets. This valuation allowance is reflective of our quarterly analysis of the four sources of taxable income, including the calculation of the reversal of existing tax assets and liabilities, the impact of the recent financing activities and our 2018 second quarter results. Based on our analysis, we now believe that it is more-likely-than-not that a portion of our federal deferred tax assets will not be able to be utilized and we estimate the valuation allowance to be recorded during 2018 to be approximately $11 million.</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under “Series E Redeemable Preferred” in Note 10, the amended terms associated with the letter agreement was determined to be a non-substantial modification, which determination included estimates regarding the probability, timing and amount of shares redeemed prior to October 25, 2023, the earliest possible redemption date by the holder.</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carrying values of the redeemable preferred stocks are being increased by periodic accretions (recorded to retained earnings and included in determining income or loss per share) using the interest method so that the carrying amount will equal the redemption value as of October 25, 2023.</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It is also reasonably possible that the estimates and assumptions utilized as of September 30, 2018 could change in the near term.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 as defined in Item 303(a)(4)(ii) of Regulation S-K under the Exchange Act.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Aggregate Contractual Obligations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operation of our businesses, we enter into contracts, leases and borrowing arrangements. As discussed in our 2017 Form 10-K, we had certain contractual obligations as of December 31, 2017, with various maturity dates, showing payments due for the next five years and thereafter related to the following:</w:t>
      </w:r>
    </w:p>
    <w:p>
      <w:pPr>
        <w:spacing w:after="0" w:line="73"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long-term debt,</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Series E Redeemable Preferred,</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dividends accrued on Series E Redeemable Preferred,</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payments on long-term debt,</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capital expenditures,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leases,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gas pipeline commitment,</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firm purchase commitments and,</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contractual obligations.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“Overview-Recent Developments and Notes 6 and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results of operations and operating cash flows are impacted by changes in market prices of ammonia and natural gas and changes in market interest rates.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Periodically, we enter into forward firm sales commitments for products to be delivered in future periods. As a result, we could be exposed to embedded losses should our product costs exceed the firm sales prices. At September 30, 2018, we had no embedded losses associated with sales commitments with firm sales prices.</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substantial portion of our products and raw materials are commodities whose prices fluctuate as market supply and demand fundamentals change. We are exposed to commodity price risk as we generally do not use derivative financial instruments to manage risks related to changes in prices of commodities. We periodically enter into contracts to purchase natural gas for anticipated production needs. Generally, these contracts are considered normal purchases because they provide for the purchase of natural gas that will be delivered in quantities expected to be used over a reasonable period of time in the normal course of business, these contracts are exempt from the accounting and reporting requirements relating to derivatives. At September 30, 2018, we did not have any natural gas derivatives not meeting the definition of a normal purchase and sale.</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Generally, we are exposed to variable interest rate risk with respect to our revolving credit facility. As of September 30, 2018, we did not have any outstanding borrowings on this credit facility. We are also exposed to interest rate risk on variable rate borrowings for certain commercial loans in the amount of approximately $15.2 million. We currently do not hedge our interest rate risk associated with these variable interest loans.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maintains disclosure controls and procedures as defined in Rule 13a-15 under the Exchange Act designed to provide reasonable assurance that the information required to be disclosed by the Company in the reports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September 30, 2018. Based on this evaluation, the Company's Chief Executive Officer and Chief Financial Officer have concluded that the Company's disclosure controls and procedures were effective as of September 30, 2018, at the reasonable assurance level.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u w:val="single" w:color="auto"/>
          <w:color w:val="auto"/>
        </w:rPr>
        <w:t>SPECIAL NOTE REGARDING</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97"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Certain statements contained within this report may be deemed “Forward-Looking Statements” within the meaning of Section 27A of the Securities Act of 1933 (as amended, the “Securities Act”) and Section 21E of the Securities Exchange Act.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and similar expressions identify Forward-Looking Statements. Forward-Looking Statements contained herein include, but are not limited to, the following:</w:t>
      </w:r>
    </w:p>
    <w:p>
      <w:pPr>
        <w:spacing w:after="0" w:line="68"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invest in projects that will generate best returns for our stockholders;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future liquidity outlook;</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outlook our chemical products and related markets;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timing and effect on the nitrogen market from the current nitrogen expansion projects;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from the lack of non-seasonal volume;</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belief that competition is based upon service, price, location of production and distribution sites, and product quality and performance;</w:t>
      </w:r>
    </w:p>
    <w:p>
      <w:pPr>
        <w:spacing w:after="0" w:line="101" w:lineRule="exact"/>
        <w:rPr>
          <w:rFonts w:ascii="Arial" w:cs="Arial" w:eastAsia="Arial" w:hAnsi="Arial"/>
          <w:sz w:val="17"/>
          <w:szCs w:val="17"/>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outlook for the coal industry;</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raw materials;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result of our product and market diversification strategy;</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domestic fertilizer production;</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on-stream rates at our production facilities;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moderate risk inherent in agricultural markets;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sources to fund our cash needs and how this cash will be used;</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enter into additional borrowings;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anticipated cost and timing of our capital projects;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costs covered under warranty provisions;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pass to our customers cost increases in the form of higher prices;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 natural gas requirements;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by the El Dorado Facility of the terms of its permits;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compliance with environmental laws, health laws, security regulations and transportation regulations;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belief as to when Turnarounds will be performed and completed;</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expenses in connection with environmental projects;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litigation and other contingencies;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increase in interest expense;</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benefits from the El Dorado expansion project;</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comply with debt servicing and covenants;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meet debt maturities or redemption obligations when due; and</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beliefs as to whether we can meet all required covenant tests for the next twelve months.</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67"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material reductions in revenues;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 w:name="page40"/>
    <w:bookmarkEnd w:id="39"/>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collect in a timely manner a material amount of receivables;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effects on increases in prices of raw materials;</w:t>
      </w:r>
    </w:p>
    <w:p>
      <w:pPr>
        <w:spacing w:after="0" w:line="90" w:lineRule="exact"/>
        <w:rPr>
          <w:rFonts w:ascii="Arial" w:cs="Arial" w:eastAsia="Arial" w:hAnsi="Arial"/>
          <w:sz w:val="18"/>
          <w:szCs w:val="18"/>
          <w:color w:val="auto"/>
        </w:rPr>
      </w:pPr>
    </w:p>
    <w:p>
      <w:pPr>
        <w:ind w:left="520" w:hanging="519"/>
        <w:spacing w:after="0" w:line="246"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especially environmental regulations or the American Reinvestment and Recovery Act, or in the interpretation of such;</w:t>
      </w:r>
    </w:p>
    <w:p>
      <w:pPr>
        <w:spacing w:after="0" w:line="61"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 by us;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secure additional financing for planned capital expenditures or financing obligations due in the near future;</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substantial existing indebtedness;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 changes in the cost of certain precious metals, natural gas, and ammonia;</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due to financial covenants;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cost to maintain internal controls over financial reporting;</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inability to fund the working capital and expansion of our businesses;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unplanned downtime at one or more of our chemical facilities;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production rates at any of our chemical plants;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inability to obtain necessary raw materials and purchased components;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 increases in cost of raw materials;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 changes in our accounting estimates;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problems within our production equipment;</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inability to obtain or retain our insurance coverage;</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obtaining necessary permits;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obtaining third-party financing;</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associated with proxy contests initiated by dissident stockholders;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fertilizer production;</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reduction in acres planted for crops requiring fertilizer;</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decreases in duties for products we sell resulting in an increase in imported products into the U.S.;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volatility of natural gas prices;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imported agricultural products; and</w:t>
      </w:r>
    </w:p>
    <w:p>
      <w:pPr>
        <w:spacing w:after="0" w:line="90" w:lineRule="exact"/>
        <w:rPr>
          <w:rFonts w:ascii="Arial" w:cs="Arial" w:eastAsia="Arial" w:hAnsi="Arial"/>
          <w:sz w:val="18"/>
          <w:szCs w:val="18"/>
          <w:color w:val="auto"/>
        </w:rPr>
      </w:pPr>
    </w:p>
    <w:p>
      <w:pPr>
        <w:ind w:left="520" w:hanging="519"/>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factors described in “Risk Factors” in our Form 10-K for the year ended December 31, 2017.</w:t>
      </w:r>
    </w:p>
    <w:p>
      <w:pPr>
        <w:spacing w:after="0" w:line="21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436" w:right="239" w:bottom="1440" w:gutter="0" w:footer="0" w:header="0"/>
        </w:sectPr>
      </w:pPr>
    </w:p>
    <w:bookmarkStart w:id="40" w:name="page41"/>
    <w:bookmarkEnd w:id="40"/>
    <w:p>
      <w:pPr>
        <w:jc w:val="both"/>
        <w:ind w:right="20"/>
        <w:spacing w:after="0" w:line="235"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terms used in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r>
              <w:rPr>
                <w:rFonts w:ascii="Arial" w:cs="Arial" w:eastAsia="Arial" w:hAnsi="Arial"/>
                <w:sz w:val="18"/>
                <w:szCs w:val="18"/>
                <w:b w:val="1"/>
                <w:bCs w:val="1"/>
                <w:color w:val="auto"/>
              </w:rPr>
              <w:t>Act</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The Tax Cuts and Jobs Act of 2017.</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ADEQ</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The Arkansas Department of Environmental Quality.</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AN</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8360" w:type="dxa"/>
            <w:vAlign w:val="bottom"/>
          </w:tcPr>
          <w:p>
            <w:pPr>
              <w:ind w:left="60"/>
              <w:spacing w:after="0"/>
              <w:rPr>
                <w:sz w:val="20"/>
                <w:szCs w:val="20"/>
                <w:color w:val="auto"/>
              </w:rPr>
            </w:pPr>
            <w:r>
              <w:rPr>
                <w:rFonts w:ascii="Arial" w:cs="Arial" w:eastAsia="Arial" w:hAnsi="Arial"/>
                <w:sz w:val="18"/>
                <w:szCs w:val="18"/>
                <w:color w:val="auto"/>
              </w:rPr>
              <w:t>Ammonium nitrate.</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ASU</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8360" w:type="dxa"/>
            <w:vAlign w:val="bottom"/>
          </w:tcPr>
          <w:p>
            <w:pPr>
              <w:ind w:left="60"/>
              <w:spacing w:after="0"/>
              <w:rPr>
                <w:sz w:val="20"/>
                <w:szCs w:val="20"/>
                <w:color w:val="auto"/>
              </w:rPr>
            </w:pPr>
            <w:r>
              <w:rPr>
                <w:rFonts w:ascii="Arial" w:cs="Arial" w:eastAsia="Arial" w:hAnsi="Arial"/>
                <w:sz w:val="18"/>
                <w:szCs w:val="18"/>
                <w:color w:val="auto"/>
              </w:rPr>
              <w:t>Accounting Standard Update.</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Baytown Facility</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The nitric acid production facility located in Baytown, Texas.</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CAO</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A consent administrative order.</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Cherokee Facility</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Our chemical production facility located in Cherokee, Alabama.</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Chevron</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Chevron Environmental Management Company.</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Climate Control Business</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Former business conducted through the Climate Control Group.</w:t>
            </w:r>
          </w:p>
        </w:tc>
      </w:tr>
      <w:tr>
        <w:trPr>
          <w:trHeight w:val="296"/>
        </w:trPr>
        <w:tc>
          <w:tcPr>
            <w:tcW w:w="2740" w:type="dxa"/>
            <w:vAlign w:val="bottom"/>
          </w:tcPr>
          <w:p>
            <w:pPr>
              <w:spacing w:after="0"/>
              <w:rPr>
                <w:sz w:val="20"/>
                <w:szCs w:val="20"/>
                <w:color w:val="auto"/>
              </w:rPr>
            </w:pPr>
            <w:r>
              <w:rPr>
                <w:rFonts w:ascii="Arial" w:cs="Arial" w:eastAsia="Arial" w:hAnsi="Arial"/>
                <w:sz w:val="18"/>
                <w:szCs w:val="18"/>
                <w:b w:val="1"/>
                <w:bCs w:val="1"/>
                <w:color w:val="auto"/>
              </w:rPr>
              <w:t>Covestro</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w w:val="93"/>
              </w:rPr>
              <w:t>- The party with whom our subsidiary in Baytown has entered into an agreement for supply of nitric acid through at</w:t>
            </w:r>
          </w:p>
        </w:tc>
      </w:tr>
      <w:tr>
        <w:trPr>
          <w:trHeight w:val="230"/>
        </w:trPr>
        <w:tc>
          <w:tcPr>
            <w:tcW w:w="2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60" w:type="dxa"/>
            <w:vAlign w:val="bottom"/>
          </w:tcPr>
          <w:p>
            <w:pPr>
              <w:ind w:left="60"/>
              <w:spacing w:after="0"/>
              <w:rPr>
                <w:sz w:val="20"/>
                <w:szCs w:val="20"/>
                <w:color w:val="auto"/>
              </w:rPr>
            </w:pPr>
            <w:r>
              <w:rPr>
                <w:rFonts w:ascii="Arial" w:cs="Arial" w:eastAsia="Arial" w:hAnsi="Arial"/>
                <w:sz w:val="18"/>
                <w:szCs w:val="18"/>
                <w:color w:val="auto"/>
              </w:rPr>
              <w:t>least June 2021, the Covestro Agreement.</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DD&amp;A</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Depreciation, Depletion and Amortization.</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EDA</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El Dorado Ammonia L.L.C.</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EDC</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El Dorado Chemical Company.</w:t>
            </w:r>
          </w:p>
        </w:tc>
      </w:tr>
      <w:tr>
        <w:trPr>
          <w:trHeight w:val="338"/>
        </w:trPr>
        <w:tc>
          <w:tcPr>
            <w:tcW w:w="2740" w:type="dxa"/>
            <w:vAlign w:val="bottom"/>
          </w:tcPr>
          <w:p>
            <w:pPr>
              <w:spacing w:after="0"/>
              <w:rPr>
                <w:sz w:val="20"/>
                <w:szCs w:val="20"/>
                <w:color w:val="auto"/>
              </w:rPr>
            </w:pPr>
            <w:r>
              <w:rPr>
                <w:rFonts w:ascii="Arial" w:cs="Arial" w:eastAsia="Arial" w:hAnsi="Arial"/>
                <w:sz w:val="18"/>
                <w:szCs w:val="18"/>
                <w:b w:val="1"/>
                <w:bCs w:val="1"/>
                <w:color w:val="auto"/>
              </w:rPr>
              <w:t>EDN</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El Dorado Nitrogen L.L.C.</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EIA</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The U.S. Energy Information Administration.</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El Dorado Facility</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Our chemical production facility located in El Dorado, Arkansas.</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w w:val="99"/>
              </w:rPr>
              <w:t>Environmental and Health Laws</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Numerous federal, state and local environmental, health and safety laws.</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FASB</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Financial Accounting Standards Board.</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Financial Covenant</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Certain springing financial covenants associated with the working capital revolver loan.</w:t>
            </w:r>
          </w:p>
        </w:tc>
      </w:tr>
      <w:tr>
        <w:trPr>
          <w:trHeight w:val="296"/>
        </w:trPr>
        <w:tc>
          <w:tcPr>
            <w:tcW w:w="2740" w:type="dxa"/>
            <w:vAlign w:val="bottom"/>
          </w:tcPr>
          <w:p>
            <w:pPr>
              <w:spacing w:after="0"/>
              <w:rPr>
                <w:sz w:val="20"/>
                <w:szCs w:val="20"/>
                <w:color w:val="auto"/>
              </w:rPr>
            </w:pPr>
            <w:r>
              <w:rPr>
                <w:rFonts w:ascii="Arial" w:cs="Arial" w:eastAsia="Arial" w:hAnsi="Arial"/>
                <w:sz w:val="18"/>
                <w:szCs w:val="18"/>
                <w:b w:val="1"/>
                <w:bCs w:val="1"/>
                <w:color w:val="auto"/>
              </w:rPr>
              <w:t>Financing Transaction</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w w:val="91"/>
              </w:rPr>
              <w:t>- A letter agreement with the holder of our Series E Redeemable Preferred entered in connection is the issuance and</w:t>
            </w:r>
          </w:p>
        </w:tc>
      </w:tr>
      <w:tr>
        <w:trPr>
          <w:trHeight w:val="230"/>
        </w:trPr>
        <w:tc>
          <w:tcPr>
            <w:tcW w:w="2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60" w:type="dxa"/>
            <w:vAlign w:val="bottom"/>
          </w:tcPr>
          <w:p>
            <w:pPr>
              <w:ind w:left="60"/>
              <w:spacing w:after="0"/>
              <w:rPr>
                <w:sz w:val="20"/>
                <w:szCs w:val="20"/>
                <w:color w:val="auto"/>
              </w:rPr>
            </w:pPr>
            <w:r>
              <w:rPr>
                <w:rFonts w:ascii="Arial" w:cs="Arial" w:eastAsia="Arial" w:hAnsi="Arial"/>
                <w:sz w:val="18"/>
                <w:szCs w:val="18"/>
                <w:color w:val="auto"/>
              </w:rPr>
              <w:t>sale of the Senior Secured Notes.</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GAAP</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U. S. Generally Accepted Accounting Principles.</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Global</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Global Industrial, Inc., a subcontractor asserting mechanics liens for work rendered to LSB and EDC.</w:t>
            </w:r>
          </w:p>
        </w:tc>
      </w:tr>
      <w:tr>
        <w:trPr>
          <w:trHeight w:val="296"/>
        </w:trPr>
        <w:tc>
          <w:tcPr>
            <w:tcW w:w="2740" w:type="dxa"/>
            <w:vAlign w:val="bottom"/>
          </w:tcPr>
          <w:p>
            <w:pPr>
              <w:spacing w:after="0"/>
              <w:rPr>
                <w:sz w:val="20"/>
                <w:szCs w:val="20"/>
                <w:color w:val="auto"/>
              </w:rPr>
            </w:pPr>
            <w:r>
              <w:rPr>
                <w:rFonts w:ascii="Arial" w:cs="Arial" w:eastAsia="Arial" w:hAnsi="Arial"/>
                <w:sz w:val="18"/>
                <w:szCs w:val="18"/>
                <w:b w:val="1"/>
                <w:bCs w:val="1"/>
                <w:color w:val="auto"/>
              </w:rPr>
              <w:t>Golsen Holders</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w w:val="97"/>
              </w:rPr>
              <w:t>- Jack E. Golsen, our Executive Chairman of the Board, and Barry H. Golsen, a member of the Board, entities</w:t>
            </w:r>
          </w:p>
        </w:tc>
      </w:tr>
      <w:tr>
        <w:trPr>
          <w:trHeight w:val="230"/>
        </w:trPr>
        <w:tc>
          <w:tcPr>
            <w:tcW w:w="2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60" w:type="dxa"/>
            <w:vAlign w:val="bottom"/>
          </w:tcPr>
          <w:p>
            <w:pPr>
              <w:ind w:left="60"/>
              <w:spacing w:after="0"/>
              <w:rPr>
                <w:sz w:val="20"/>
                <w:szCs w:val="20"/>
                <w:color w:val="auto"/>
              </w:rPr>
            </w:pPr>
            <w:r>
              <w:rPr>
                <w:rFonts w:ascii="Arial" w:cs="Arial" w:eastAsia="Arial" w:hAnsi="Arial"/>
                <w:sz w:val="18"/>
                <w:szCs w:val="18"/>
                <w:color w:val="auto"/>
              </w:rPr>
              <w:t>owned by them and trusts for which they possess voting or dispositive power as trustee.</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Hallowell Facility</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A chemical facility previously owned by two of our subsidiaries located in Kansas.</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HDAN</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High density ammonium nitrate prills used in the agricultural industry.</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KDHE</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The Kansas Department of Health and Environment.</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Indenture</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The agreement governing the 9.625% Senior Secured Notes.</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LDAN</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rPr>
              <w:t>- Low density ammonium nitrate prills used in the mining industry.</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Leidos</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8360" w:type="dxa"/>
            <w:vAlign w:val="bottom"/>
          </w:tcPr>
          <w:p>
            <w:pPr>
              <w:ind w:left="60"/>
              <w:spacing w:after="0"/>
              <w:rPr>
                <w:sz w:val="20"/>
                <w:szCs w:val="20"/>
                <w:color w:val="auto"/>
              </w:rPr>
            </w:pPr>
            <w:r>
              <w:rPr>
                <w:rFonts w:ascii="Arial" w:cs="Arial" w:eastAsia="Arial" w:hAnsi="Arial"/>
                <w:sz w:val="18"/>
                <w:szCs w:val="18"/>
                <w:color w:val="auto"/>
              </w:rPr>
              <w:t>Leidos Constructors L.L.C.</w:t>
            </w:r>
          </w:p>
        </w:tc>
      </w:tr>
      <w:tr>
        <w:trPr>
          <w:trHeight w:val="296"/>
        </w:trPr>
        <w:tc>
          <w:tcPr>
            <w:tcW w:w="2740" w:type="dxa"/>
            <w:vAlign w:val="bottom"/>
          </w:tcPr>
          <w:p>
            <w:pPr>
              <w:spacing w:after="0"/>
              <w:rPr>
                <w:sz w:val="20"/>
                <w:szCs w:val="20"/>
                <w:color w:val="auto"/>
              </w:rPr>
            </w:pPr>
            <w:r>
              <w:rPr>
                <w:rFonts w:ascii="Arial" w:cs="Arial" w:eastAsia="Arial" w:hAnsi="Arial"/>
                <w:sz w:val="18"/>
                <w:szCs w:val="18"/>
                <w:b w:val="1"/>
                <w:bCs w:val="1"/>
                <w:color w:val="auto"/>
              </w:rPr>
              <w:t>Liquidation Preference</w:t>
            </w:r>
          </w:p>
        </w:tc>
        <w:tc>
          <w:tcPr>
            <w:tcW w:w="8700" w:type="dxa"/>
            <w:vAlign w:val="bottom"/>
            <w:gridSpan w:val="2"/>
          </w:tcPr>
          <w:p>
            <w:pPr>
              <w:ind w:left="220"/>
              <w:spacing w:after="0"/>
              <w:rPr>
                <w:sz w:val="20"/>
                <w:szCs w:val="20"/>
                <w:color w:val="auto"/>
              </w:rPr>
            </w:pPr>
            <w:r>
              <w:rPr>
                <w:rFonts w:ascii="Arial" w:cs="Arial" w:eastAsia="Arial" w:hAnsi="Arial"/>
                <w:sz w:val="18"/>
                <w:szCs w:val="18"/>
                <w:color w:val="auto"/>
                <w:w w:val="91"/>
              </w:rPr>
              <w:t>- The Series E Redeemable Preferred liquidation preference of $1,000 per share plus accrued and unpaid dividends</w:t>
            </w:r>
          </w:p>
        </w:tc>
      </w:tr>
      <w:tr>
        <w:trPr>
          <w:trHeight w:val="230"/>
        </w:trPr>
        <w:tc>
          <w:tcPr>
            <w:tcW w:w="2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60" w:type="dxa"/>
            <w:vAlign w:val="bottom"/>
          </w:tcPr>
          <w:p>
            <w:pPr>
              <w:ind w:left="60"/>
              <w:spacing w:after="0"/>
              <w:rPr>
                <w:sz w:val="20"/>
                <w:szCs w:val="20"/>
                <w:color w:val="auto"/>
              </w:rPr>
            </w:pPr>
            <w:r>
              <w:rPr>
                <w:rFonts w:ascii="Arial" w:cs="Arial" w:eastAsia="Arial" w:hAnsi="Arial"/>
                <w:sz w:val="18"/>
                <w:szCs w:val="18"/>
                <w:color w:val="auto"/>
              </w:rPr>
              <w:t>plus the participation rights value.</w:t>
            </w:r>
          </w:p>
        </w:tc>
      </w:tr>
      <w:tr>
        <w:trPr>
          <w:trHeight w:val="311"/>
        </w:trPr>
        <w:tc>
          <w:tcPr>
            <w:tcW w:w="2740" w:type="dxa"/>
            <w:vAlign w:val="bottom"/>
          </w:tcPr>
          <w:p>
            <w:pPr>
              <w:spacing w:after="0"/>
              <w:rPr>
                <w:sz w:val="20"/>
                <w:szCs w:val="20"/>
                <w:color w:val="auto"/>
              </w:rPr>
            </w:pPr>
            <w:r>
              <w:rPr>
                <w:rFonts w:ascii="Arial" w:cs="Arial" w:eastAsia="Arial" w:hAnsi="Arial"/>
                <w:sz w:val="18"/>
                <w:szCs w:val="18"/>
                <w:b w:val="1"/>
                <w:bCs w:val="1"/>
                <w:color w:val="auto"/>
              </w:rPr>
              <w:t>LSB</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8360" w:type="dxa"/>
            <w:vAlign w:val="bottom"/>
          </w:tcPr>
          <w:p>
            <w:pPr>
              <w:ind w:left="60"/>
              <w:spacing w:after="0"/>
              <w:rPr>
                <w:sz w:val="20"/>
                <w:szCs w:val="20"/>
                <w:color w:val="auto"/>
              </w:rPr>
            </w:pPr>
            <w:r>
              <w:rPr>
                <w:rFonts w:ascii="Arial" w:cs="Arial" w:eastAsia="Arial" w:hAnsi="Arial"/>
                <w:sz w:val="18"/>
                <w:szCs w:val="18"/>
                <w:color w:val="auto"/>
              </w:rPr>
              <w:t>LSB Industries, Inc.</w:t>
            </w:r>
          </w:p>
        </w:tc>
      </w:tr>
      <w:tr>
        <w:trPr>
          <w:trHeight w:val="432"/>
        </w:trPr>
        <w:tc>
          <w:tcPr>
            <w:tcW w:w="2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60" w:type="dxa"/>
            <w:vAlign w:val="bottom"/>
          </w:tcPr>
          <w:p>
            <w:pPr>
              <w:ind w:left="2540"/>
              <w:spacing w:after="0"/>
              <w:rPr>
                <w:sz w:val="20"/>
                <w:szCs w:val="20"/>
                <w:color w:val="auto"/>
              </w:rPr>
            </w:pPr>
            <w:r>
              <w:rPr>
                <w:rFonts w:ascii="Arial" w:cs="Arial" w:eastAsia="Arial" w:hAnsi="Arial"/>
                <w:sz w:val="18"/>
                <w:szCs w:val="18"/>
                <w:color w:val="auto"/>
              </w:rPr>
              <w:t>41</w:t>
            </w:r>
          </w:p>
        </w:tc>
      </w:tr>
      <w:tr>
        <w:trPr>
          <w:trHeight w:val="115"/>
        </w:trPr>
        <w:tc>
          <w:tcPr>
            <w:tcW w:w="27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36" w:right="2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20"/>
        </w:trPr>
        <w:tc>
          <w:tcPr>
            <w:tcW w:w="2820" w:type="dxa"/>
            <w:vAlign w:val="bottom"/>
          </w:tcPr>
          <w:p>
            <w:pPr>
              <w:spacing w:after="0"/>
              <w:rPr>
                <w:sz w:val="20"/>
                <w:szCs w:val="20"/>
                <w:color w:val="auto"/>
              </w:rPr>
            </w:pPr>
            <w:r>
              <w:rPr>
                <w:rFonts w:ascii="Arial" w:cs="Arial" w:eastAsia="Arial" w:hAnsi="Arial"/>
                <w:sz w:val="18"/>
                <w:szCs w:val="18"/>
                <w:b w:val="1"/>
                <w:bCs w:val="1"/>
                <w:color w:val="auto"/>
              </w:rPr>
              <w:t>MD&amp;A</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4"/>
              </w:rPr>
              <w:t>- Management’s Discussion and Analysis of Financial Condition and Results of Operations found in Item 7 of this</w:t>
            </w:r>
          </w:p>
        </w:tc>
      </w:tr>
      <w:tr>
        <w:trPr>
          <w:trHeight w:val="230"/>
        </w:trPr>
        <w:tc>
          <w:tcPr>
            <w:tcW w:w="2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360" w:type="dxa"/>
            <w:vAlign w:val="bottom"/>
          </w:tcPr>
          <w:p>
            <w:pPr>
              <w:ind w:left="60"/>
              <w:spacing w:after="0"/>
              <w:rPr>
                <w:sz w:val="20"/>
                <w:szCs w:val="20"/>
                <w:color w:val="auto"/>
              </w:rPr>
            </w:pPr>
            <w:r>
              <w:rPr>
                <w:rFonts w:ascii="Arial" w:cs="Arial" w:eastAsia="Arial" w:hAnsi="Arial"/>
                <w:sz w:val="18"/>
                <w:szCs w:val="18"/>
                <w:color w:val="auto"/>
              </w:rPr>
              <w:t>report.</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rPr>
              <w:t>Note</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A note in the accompanying notes to the condensed consolidated financial statements.</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rPr>
              <w:t>NPDES</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National Pollutant Discharge Elimination System.</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rPr>
              <w:t>ODEQ</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The Oklahoma Department of Environmental Quality.</w:t>
            </w:r>
          </w:p>
        </w:tc>
      </w:tr>
      <w:tr>
        <w:trPr>
          <w:trHeight w:val="338"/>
        </w:trPr>
        <w:tc>
          <w:tcPr>
            <w:tcW w:w="2820" w:type="dxa"/>
            <w:vAlign w:val="bottom"/>
          </w:tcPr>
          <w:p>
            <w:pPr>
              <w:spacing w:after="0"/>
              <w:rPr>
                <w:sz w:val="20"/>
                <w:szCs w:val="20"/>
                <w:color w:val="auto"/>
              </w:rPr>
            </w:pPr>
            <w:r>
              <w:rPr>
                <w:rFonts w:ascii="Arial" w:cs="Arial" w:eastAsia="Arial" w:hAnsi="Arial"/>
                <w:sz w:val="18"/>
                <w:szCs w:val="18"/>
                <w:b w:val="1"/>
                <w:bCs w:val="1"/>
                <w:color w:val="auto"/>
              </w:rPr>
              <w:t>PCC</w:t>
            </w: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8360" w:type="dxa"/>
            <w:vAlign w:val="bottom"/>
          </w:tcPr>
          <w:p>
            <w:pPr>
              <w:ind w:left="60"/>
              <w:spacing w:after="0"/>
              <w:rPr>
                <w:sz w:val="20"/>
                <w:szCs w:val="20"/>
                <w:color w:val="auto"/>
              </w:rPr>
            </w:pPr>
            <w:r>
              <w:rPr>
                <w:rFonts w:ascii="Arial" w:cs="Arial" w:eastAsia="Arial" w:hAnsi="Arial"/>
                <w:sz w:val="18"/>
                <w:szCs w:val="18"/>
                <w:color w:val="auto"/>
              </w:rPr>
              <w:t>Pryor Chemical Company.</w:t>
            </w:r>
          </w:p>
        </w:tc>
      </w:tr>
      <w:tr>
        <w:trPr>
          <w:trHeight w:val="338"/>
        </w:trPr>
        <w:tc>
          <w:tcPr>
            <w:tcW w:w="2820" w:type="dxa"/>
            <w:vAlign w:val="bottom"/>
          </w:tcPr>
          <w:p>
            <w:pPr>
              <w:spacing w:after="0"/>
              <w:rPr>
                <w:sz w:val="20"/>
                <w:szCs w:val="20"/>
                <w:color w:val="auto"/>
              </w:rPr>
            </w:pPr>
            <w:r>
              <w:rPr>
                <w:rFonts w:ascii="Arial" w:cs="Arial" w:eastAsia="Arial" w:hAnsi="Arial"/>
                <w:sz w:val="18"/>
                <w:szCs w:val="18"/>
                <w:b w:val="1"/>
                <w:bCs w:val="1"/>
                <w:color w:val="auto"/>
              </w:rPr>
              <w:t>PP&amp;E</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Plant, property and equipment.</w:t>
            </w:r>
          </w:p>
        </w:tc>
      </w:tr>
      <w:tr>
        <w:trPr>
          <w:trHeight w:val="338"/>
        </w:trPr>
        <w:tc>
          <w:tcPr>
            <w:tcW w:w="2820" w:type="dxa"/>
            <w:vAlign w:val="bottom"/>
          </w:tcPr>
          <w:p>
            <w:pPr>
              <w:spacing w:after="0"/>
              <w:rPr>
                <w:sz w:val="20"/>
                <w:szCs w:val="20"/>
                <w:color w:val="auto"/>
              </w:rPr>
            </w:pPr>
            <w:r>
              <w:rPr>
                <w:rFonts w:ascii="Arial" w:cs="Arial" w:eastAsia="Arial" w:hAnsi="Arial"/>
                <w:sz w:val="18"/>
                <w:szCs w:val="18"/>
                <w:b w:val="1"/>
                <w:bCs w:val="1"/>
                <w:color w:val="auto"/>
              </w:rPr>
              <w:t>Pryor Facility</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Our chemical production facility located in Pryor, Oklahoma.</w:t>
            </w:r>
          </w:p>
        </w:tc>
      </w:tr>
      <w:tr>
        <w:trPr>
          <w:trHeight w:val="338"/>
        </w:trPr>
        <w:tc>
          <w:tcPr>
            <w:tcW w:w="2820" w:type="dxa"/>
            <w:vAlign w:val="bottom"/>
          </w:tcPr>
          <w:p>
            <w:pPr>
              <w:spacing w:after="0"/>
              <w:rPr>
                <w:sz w:val="20"/>
                <w:szCs w:val="20"/>
                <w:color w:val="auto"/>
              </w:rPr>
            </w:pPr>
            <w:r>
              <w:rPr>
                <w:rFonts w:ascii="Arial" w:cs="Arial" w:eastAsia="Arial" w:hAnsi="Arial"/>
                <w:sz w:val="18"/>
                <w:szCs w:val="18"/>
                <w:b w:val="1"/>
                <w:bCs w:val="1"/>
                <w:color w:val="auto"/>
              </w:rPr>
              <w:t>Purchaser</w:t>
            </w: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8360" w:type="dxa"/>
            <w:vAlign w:val="bottom"/>
          </w:tcPr>
          <w:p>
            <w:pPr>
              <w:ind w:left="60"/>
              <w:spacing w:after="0"/>
              <w:rPr>
                <w:sz w:val="20"/>
                <w:szCs w:val="20"/>
                <w:color w:val="auto"/>
              </w:rPr>
            </w:pPr>
            <w:r>
              <w:rPr>
                <w:rFonts w:ascii="Arial" w:cs="Arial" w:eastAsia="Arial" w:hAnsi="Arial"/>
                <w:sz w:val="18"/>
                <w:szCs w:val="18"/>
                <w:color w:val="auto"/>
              </w:rPr>
              <w:t>LSB Funding L.L.C.</w:t>
            </w:r>
          </w:p>
        </w:tc>
      </w:tr>
      <w:tr>
        <w:trPr>
          <w:trHeight w:val="338"/>
        </w:trPr>
        <w:tc>
          <w:tcPr>
            <w:tcW w:w="2820" w:type="dxa"/>
            <w:vAlign w:val="bottom"/>
          </w:tcPr>
          <w:p>
            <w:pPr>
              <w:spacing w:after="0"/>
              <w:rPr>
                <w:sz w:val="20"/>
                <w:szCs w:val="20"/>
                <w:color w:val="auto"/>
              </w:rPr>
            </w:pPr>
            <w:r>
              <w:rPr>
                <w:rFonts w:ascii="Arial" w:cs="Arial" w:eastAsia="Arial" w:hAnsi="Arial"/>
                <w:sz w:val="18"/>
                <w:szCs w:val="18"/>
                <w:b w:val="1"/>
                <w:bCs w:val="1"/>
                <w:color w:val="auto"/>
              </w:rPr>
              <w:t>SEC</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The U.S. Securities and Exchange Commission.</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w w:val="92"/>
              </w:rPr>
              <w:t>Secured Promissory Note due 2019</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A secured promissory note between EDC and a lender which matures in June 2019.</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w w:val="92"/>
              </w:rPr>
              <w:t>Secured Promissory Note due 2021</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A secured promissory note between EDC and a lender which matures in March 2021.</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w w:val="92"/>
              </w:rPr>
              <w:t>Secured Promissory Note due 2023</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A secured promissory note between EDA and a lender which matures in May 2023.</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rPr>
              <w:t>Senior Secured Notes</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The Senior Secured Notes with a current interest rate of 9.625% which mature in May 2023.</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rPr>
              <w:t>Series B Preferred</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The Series B 12% cumulative convertible Class C Preferred stock.</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rPr>
              <w:t>Series D Preferred</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The Series D 6% cumulative convertible Class C preferred stock.</w:t>
            </w:r>
          </w:p>
        </w:tc>
      </w:tr>
      <w:tr>
        <w:trPr>
          <w:trHeight w:val="296"/>
        </w:trPr>
        <w:tc>
          <w:tcPr>
            <w:tcW w:w="2820" w:type="dxa"/>
            <w:vAlign w:val="bottom"/>
          </w:tcPr>
          <w:p>
            <w:pPr>
              <w:spacing w:after="0"/>
              <w:rPr>
                <w:sz w:val="20"/>
                <w:szCs w:val="20"/>
                <w:color w:val="auto"/>
              </w:rPr>
            </w:pPr>
            <w:r>
              <w:rPr>
                <w:rFonts w:ascii="Arial" w:cs="Arial" w:eastAsia="Arial" w:hAnsi="Arial"/>
                <w:sz w:val="18"/>
                <w:szCs w:val="18"/>
                <w:b w:val="1"/>
                <w:bCs w:val="1"/>
                <w:color w:val="auto"/>
              </w:rPr>
              <w:t>Series E Redeemable Preferred</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4"/>
              </w:rPr>
              <w:t>- The 14% Series E Redeemable Preferred stock with participating rights and liquidating distributions based on a</w:t>
            </w:r>
          </w:p>
        </w:tc>
      </w:tr>
      <w:tr>
        <w:trPr>
          <w:trHeight w:val="230"/>
        </w:trPr>
        <w:tc>
          <w:tcPr>
            <w:tcW w:w="2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360" w:type="dxa"/>
            <w:vAlign w:val="bottom"/>
          </w:tcPr>
          <w:p>
            <w:pPr>
              <w:ind w:left="60"/>
              <w:spacing w:after="0"/>
              <w:rPr>
                <w:sz w:val="20"/>
                <w:szCs w:val="20"/>
                <w:color w:val="auto"/>
              </w:rPr>
            </w:pPr>
            <w:r>
              <w:rPr>
                <w:rFonts w:ascii="Arial" w:cs="Arial" w:eastAsia="Arial" w:hAnsi="Arial"/>
                <w:sz w:val="18"/>
                <w:szCs w:val="18"/>
                <w:color w:val="auto"/>
              </w:rPr>
              <w:t>certain number of shares of our common stock.</w:t>
            </w:r>
          </w:p>
        </w:tc>
      </w:tr>
      <w:tr>
        <w:trPr>
          <w:trHeight w:val="296"/>
        </w:trPr>
        <w:tc>
          <w:tcPr>
            <w:tcW w:w="2820" w:type="dxa"/>
            <w:vAlign w:val="bottom"/>
          </w:tcPr>
          <w:p>
            <w:pPr>
              <w:spacing w:after="0"/>
              <w:rPr>
                <w:sz w:val="20"/>
                <w:szCs w:val="20"/>
                <w:color w:val="auto"/>
              </w:rPr>
            </w:pPr>
            <w:r>
              <w:rPr>
                <w:rFonts w:ascii="Arial" w:cs="Arial" w:eastAsia="Arial" w:hAnsi="Arial"/>
                <w:sz w:val="18"/>
                <w:szCs w:val="18"/>
                <w:b w:val="1"/>
                <w:bCs w:val="1"/>
                <w:color w:val="auto"/>
              </w:rPr>
              <w:t>Series F Redeemable Preferred</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1"/>
              </w:rPr>
              <w:t>- The Series F Redeemable Preferred stock with one share to vote as a single class on all matters with our common</w:t>
            </w:r>
          </w:p>
        </w:tc>
      </w:tr>
      <w:tr>
        <w:trPr>
          <w:trHeight w:val="230"/>
        </w:trPr>
        <w:tc>
          <w:tcPr>
            <w:tcW w:w="2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360" w:type="dxa"/>
            <w:vAlign w:val="bottom"/>
          </w:tcPr>
          <w:p>
            <w:pPr>
              <w:ind w:left="60"/>
              <w:spacing w:after="0"/>
              <w:rPr>
                <w:sz w:val="20"/>
                <w:szCs w:val="20"/>
                <w:color w:val="auto"/>
              </w:rPr>
            </w:pPr>
            <w:r>
              <w:rPr>
                <w:rFonts w:ascii="Arial" w:cs="Arial" w:eastAsia="Arial" w:hAnsi="Arial"/>
                <w:sz w:val="18"/>
                <w:szCs w:val="18"/>
                <w:color w:val="auto"/>
              </w:rPr>
              <w:t>stock equal to 456,225 shares of our common stock.</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rPr>
              <w:t>SG&amp;A</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Selling, general and administrative expense.</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rPr>
              <w:t>Turnaround</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A planned major maintenance activity.</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rPr>
              <w:t>UAN</w:t>
            </w: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8360" w:type="dxa"/>
            <w:vAlign w:val="bottom"/>
          </w:tcPr>
          <w:p>
            <w:pPr>
              <w:ind w:left="60"/>
              <w:spacing w:after="0"/>
              <w:rPr>
                <w:sz w:val="20"/>
                <w:szCs w:val="20"/>
                <w:color w:val="auto"/>
              </w:rPr>
            </w:pPr>
            <w:r>
              <w:rPr>
                <w:rFonts w:ascii="Arial" w:cs="Arial" w:eastAsia="Arial" w:hAnsi="Arial"/>
                <w:sz w:val="18"/>
                <w:szCs w:val="18"/>
                <w:color w:val="auto"/>
              </w:rPr>
              <w:t>Urea ammonium nitrate.</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rPr>
              <w:t>U.S.</w:t>
            </w: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8360" w:type="dxa"/>
            <w:vAlign w:val="bottom"/>
          </w:tcPr>
          <w:p>
            <w:pPr>
              <w:ind w:left="60"/>
              <w:spacing w:after="0"/>
              <w:rPr>
                <w:sz w:val="20"/>
                <w:szCs w:val="20"/>
                <w:color w:val="auto"/>
              </w:rPr>
            </w:pPr>
            <w:r>
              <w:rPr>
                <w:rFonts w:ascii="Arial" w:cs="Arial" w:eastAsia="Arial" w:hAnsi="Arial"/>
                <w:sz w:val="18"/>
                <w:szCs w:val="18"/>
                <w:color w:val="auto"/>
              </w:rPr>
              <w:t>United States.</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rPr>
              <w:t>WASDE</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World Agricultural Supply and Demand Estimates Report.</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rPr>
              <w:t>West Fertilizer</w:t>
            </w: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8360" w:type="dxa"/>
            <w:vAlign w:val="bottom"/>
          </w:tcPr>
          <w:p>
            <w:pPr>
              <w:ind w:left="60"/>
              <w:spacing w:after="0"/>
              <w:rPr>
                <w:sz w:val="20"/>
                <w:szCs w:val="20"/>
                <w:color w:val="auto"/>
              </w:rPr>
            </w:pPr>
            <w:r>
              <w:rPr>
                <w:rFonts w:ascii="Arial" w:cs="Arial" w:eastAsia="Arial" w:hAnsi="Arial"/>
                <w:sz w:val="18"/>
                <w:szCs w:val="18"/>
                <w:color w:val="auto"/>
              </w:rPr>
              <w:t>West Fertilizer Company.</w:t>
            </w:r>
          </w:p>
        </w:tc>
      </w:tr>
      <w:tr>
        <w:trPr>
          <w:trHeight w:val="292"/>
        </w:trPr>
        <w:tc>
          <w:tcPr>
            <w:tcW w:w="2820" w:type="dxa"/>
            <w:vAlign w:val="bottom"/>
          </w:tcPr>
          <w:p>
            <w:pPr>
              <w:spacing w:after="0"/>
              <w:rPr>
                <w:sz w:val="20"/>
                <w:szCs w:val="20"/>
                <w:color w:val="auto"/>
              </w:rPr>
            </w:pPr>
            <w:r>
              <w:rPr>
                <w:rFonts w:ascii="Arial" w:cs="Arial" w:eastAsia="Arial" w:hAnsi="Arial"/>
                <w:sz w:val="18"/>
                <w:szCs w:val="18"/>
                <w:b w:val="1"/>
                <w:bCs w:val="1"/>
                <w:color w:val="auto"/>
              </w:rPr>
              <w:t>Working Capital</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Our secured revolving credit facility.</w:t>
            </w:r>
          </w:p>
        </w:tc>
      </w:tr>
      <w:tr>
        <w:trPr>
          <w:trHeight w:val="234"/>
        </w:trPr>
        <w:tc>
          <w:tcPr>
            <w:tcW w:w="2820" w:type="dxa"/>
            <w:vAlign w:val="bottom"/>
          </w:tcPr>
          <w:p>
            <w:pPr>
              <w:spacing w:after="0"/>
              <w:rPr>
                <w:sz w:val="20"/>
                <w:szCs w:val="20"/>
                <w:color w:val="auto"/>
              </w:rPr>
            </w:pPr>
            <w:r>
              <w:rPr>
                <w:rFonts w:ascii="Arial" w:cs="Arial" w:eastAsia="Arial" w:hAnsi="Arial"/>
                <w:sz w:val="18"/>
                <w:szCs w:val="18"/>
                <w:b w:val="1"/>
                <w:bCs w:val="1"/>
                <w:color w:val="auto"/>
              </w:rPr>
              <w:t>Revolver Loan</w:t>
            </w:r>
          </w:p>
        </w:tc>
        <w:tc>
          <w:tcPr>
            <w:tcW w:w="260" w:type="dxa"/>
            <w:vAlign w:val="bottom"/>
          </w:tcPr>
          <w:p>
            <w:pPr>
              <w:spacing w:after="0"/>
              <w:rPr>
                <w:sz w:val="20"/>
                <w:szCs w:val="20"/>
                <w:color w:val="auto"/>
              </w:rPr>
            </w:pPr>
          </w:p>
        </w:tc>
        <w:tc>
          <w:tcPr>
            <w:tcW w:w="8360" w:type="dxa"/>
            <w:vAlign w:val="bottom"/>
          </w:tcPr>
          <w:p>
            <w:pPr>
              <w:spacing w:after="0"/>
              <w:rPr>
                <w:sz w:val="20"/>
                <w:szCs w:val="20"/>
                <w:color w:val="auto"/>
              </w:rPr>
            </w:pP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rPr>
              <w:t>2018 Crop</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Corn crop marketing year (September 1 - August 31), which began in 2017 and ending in 2018.</w:t>
            </w:r>
          </w:p>
        </w:tc>
      </w:tr>
      <w:tr>
        <w:trPr>
          <w:trHeight w:val="311"/>
        </w:trPr>
        <w:tc>
          <w:tcPr>
            <w:tcW w:w="2820" w:type="dxa"/>
            <w:vAlign w:val="bottom"/>
          </w:tcPr>
          <w:p>
            <w:pPr>
              <w:spacing w:after="0"/>
              <w:rPr>
                <w:sz w:val="20"/>
                <w:szCs w:val="20"/>
                <w:color w:val="auto"/>
              </w:rPr>
            </w:pPr>
            <w:r>
              <w:rPr>
                <w:rFonts w:ascii="Arial" w:cs="Arial" w:eastAsia="Arial" w:hAnsi="Arial"/>
                <w:sz w:val="18"/>
                <w:szCs w:val="18"/>
                <w:b w:val="1"/>
                <w:bCs w:val="1"/>
                <w:color w:val="auto"/>
              </w:rPr>
              <w:t>2019 Crop</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 Corn crop marketing year (September 1 - August 31), which began in 2018 and ending in 2019.</w:t>
            </w:r>
          </w:p>
        </w:tc>
      </w:tr>
      <w:tr>
        <w:trPr>
          <w:trHeight w:val="473"/>
        </w:trPr>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360" w:type="dxa"/>
            <w:vAlign w:val="bottom"/>
          </w:tcPr>
          <w:p>
            <w:pPr>
              <w:ind w:left="2540"/>
              <w:spacing w:after="0"/>
              <w:rPr>
                <w:sz w:val="20"/>
                <w:szCs w:val="20"/>
                <w:color w:val="auto"/>
              </w:rPr>
            </w:pPr>
            <w:r>
              <w:rPr>
                <w:rFonts w:ascii="Arial" w:cs="Arial" w:eastAsia="Arial" w:hAnsi="Arial"/>
                <w:sz w:val="18"/>
                <w:szCs w:val="18"/>
                <w:color w:val="auto"/>
              </w:rPr>
              <w:t>42</w:t>
            </w:r>
          </w:p>
        </w:tc>
      </w:tr>
      <w:tr>
        <w:trPr>
          <w:trHeight w:val="115"/>
        </w:trPr>
        <w:tc>
          <w:tcPr>
            <w:tcW w:w="2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32" w:right="21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from time to time subject to various legal proceedings and claims arising in the ordinary course of business, including, but not limited to, examinations by the Internal Revenue Service. For further discussion of our legal matters, see “Note 7—Commitments and Contingencies—Legal Matters” in the Notes to the Condensed Consolidated Financial Statements in this Form 10-Q.</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Item 1A of our 2017 Form 10-K, filed with the SEC on February 26, 2018 for our discussion regarding risk factors.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discussing with its executive officers changes to their employment agreements. During the third quarter of 2018, the deadline to provide notice of termination of the existing employment agreement with each of Daniel D. Greenwell (Chairman and CEO), Mark T. Behrman (Executive Vice President and Chief Financial Officer) and Michael J. Foster (Senior Vice President, General Counsel and Secretary) was extended through mutual agreement of each such executive and the Company to December 7, 2018 in order to continue those discussions.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on page 44.</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auto"/>
        </w:rPr>
        <w:t>Index to Exhibits Item 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ind w:left="36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20" w:type="dxa"/>
            <w:vAlign w:val="bottom"/>
            <w:gridSpan w:val="13"/>
            <w:vMerge w:val="restart"/>
          </w:tcPr>
          <w:p>
            <w:pPr>
              <w:ind w:left="100"/>
              <w:spacing w:after="0"/>
              <w:rPr>
                <w:sz w:val="20"/>
                <w:szCs w:val="20"/>
                <w:color w:val="auto"/>
              </w:rPr>
            </w:pPr>
            <w:r>
              <w:rPr>
                <w:rFonts w:ascii="Arial" w:cs="Arial" w:eastAsia="Arial" w:hAnsi="Arial"/>
                <w:sz w:val="14"/>
                <w:szCs w:val="14"/>
                <w:b w:val="1"/>
                <w:bCs w:val="1"/>
                <w:color w:val="auto"/>
              </w:rPr>
              <w:t>Exhibit Title</w:t>
            </w:r>
          </w:p>
        </w:tc>
        <w:tc>
          <w:tcPr>
            <w:tcW w:w="100" w:type="dxa"/>
            <w:vAlign w:val="bottom"/>
          </w:tcPr>
          <w:p>
            <w:pPr>
              <w:spacing w:after="0"/>
              <w:rPr>
                <w:sz w:val="14"/>
                <w:szCs w:val="14"/>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13"/>
            <w:vMerge w:val="continue"/>
          </w:tcPr>
          <w:p>
            <w:pPr>
              <w:spacing w:after="0"/>
              <w:rPr>
                <w:sz w:val="14"/>
                <w:szCs w:val="14"/>
                <w:color w:val="auto"/>
              </w:rPr>
            </w:pPr>
          </w:p>
        </w:tc>
        <w:tc>
          <w:tcPr>
            <w:tcW w:w="100" w:type="dxa"/>
            <w:vAlign w:val="bottom"/>
          </w:tcPr>
          <w:p>
            <w:pPr>
              <w:spacing w:after="0"/>
              <w:rPr>
                <w:sz w:val="14"/>
                <w:szCs w:val="1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to the Following</w:t>
            </w:r>
          </w:p>
        </w:tc>
        <w:tc>
          <w:tcPr>
            <w:tcW w:w="0" w:type="dxa"/>
            <w:vAlign w:val="bottom"/>
          </w:tcPr>
          <w:p>
            <w:pPr>
              <w:spacing w:after="0"/>
              <w:rPr>
                <w:sz w:val="1"/>
                <w:szCs w:val="1"/>
                <w:color w:val="auto"/>
              </w:rPr>
            </w:pPr>
          </w:p>
        </w:tc>
      </w:tr>
      <w:tr>
        <w:trPr>
          <w:trHeight w:val="291"/>
        </w:trPr>
        <w:tc>
          <w:tcPr>
            <w:tcW w:w="1160" w:type="dxa"/>
            <w:vAlign w:val="bottom"/>
          </w:tcPr>
          <w:p>
            <w:pPr>
              <w:ind w:left="100"/>
              <w:spacing w:after="0"/>
              <w:rPr>
                <w:sz w:val="20"/>
                <w:szCs w:val="20"/>
                <w:color w:val="auto"/>
              </w:rPr>
            </w:pPr>
            <w:r>
              <w:rPr>
                <w:rFonts w:ascii="Arial" w:cs="Arial" w:eastAsia="Arial" w:hAnsi="Arial"/>
                <w:sz w:val="18"/>
                <w:szCs w:val="18"/>
                <w:color w:val="auto"/>
              </w:rPr>
              <w:t>3(i).1</w:t>
            </w:r>
          </w:p>
        </w:tc>
        <w:tc>
          <w:tcPr>
            <w:tcW w:w="140" w:type="dxa"/>
            <w:vAlign w:val="bottom"/>
          </w:tcPr>
          <w:p>
            <w:pPr>
              <w:spacing w:after="0"/>
              <w:rPr>
                <w:sz w:val="24"/>
                <w:szCs w:val="24"/>
                <w:color w:val="auto"/>
              </w:rPr>
            </w:pPr>
          </w:p>
        </w:tc>
        <w:tc>
          <w:tcPr>
            <w:tcW w:w="5460" w:type="dxa"/>
            <w:vAlign w:val="bottom"/>
            <w:tcBorders>
              <w:bottom w:val="single" w:sz="8" w:color="0000EE"/>
            </w:tcBorders>
            <w:gridSpan w:val="16"/>
          </w:tcPr>
          <w:p>
            <w:pPr>
              <w:spacing w:after="0"/>
              <w:rPr>
                <w:rFonts w:ascii="Arial" w:cs="Arial" w:eastAsia="Arial" w:hAnsi="Arial"/>
                <w:sz w:val="18"/>
                <w:szCs w:val="18"/>
                <w:color w:val="0000EE"/>
                <w:w w:val="91"/>
              </w:rPr>
            </w:pPr>
            <w:hyperlink r:id="rId71">
              <w:r>
                <w:rPr>
                  <w:rFonts w:ascii="Arial" w:cs="Arial" w:eastAsia="Arial" w:hAnsi="Arial"/>
                  <w:sz w:val="18"/>
                  <w:szCs w:val="18"/>
                  <w:color w:val="0000EE"/>
                  <w:w w:val="91"/>
                </w:rPr>
                <w:t>Restated Certificate of Incorporation of LSB Industries, Inc., dated January</w:t>
              </w:r>
            </w:hyperlink>
          </w:p>
        </w:tc>
        <w:tc>
          <w:tcPr>
            <w:tcW w:w="4660" w:type="dxa"/>
            <w:vAlign w:val="bottom"/>
            <w:gridSpan w:val="2"/>
          </w:tcPr>
          <w:p>
            <w:pPr>
              <w:jc w:val="center"/>
              <w:ind w:left="10"/>
              <w:spacing w:after="0"/>
              <w:rPr>
                <w:sz w:val="20"/>
                <w:szCs w:val="20"/>
                <w:color w:val="auto"/>
              </w:rPr>
            </w:pPr>
            <w:r>
              <w:rPr>
                <w:rFonts w:ascii="Arial" w:cs="Arial" w:eastAsia="Arial" w:hAnsi="Arial"/>
                <w:sz w:val="18"/>
                <w:szCs w:val="18"/>
                <w:color w:val="auto"/>
              </w:rPr>
              <w:t>Exhibit  3(i).1  to  the  Company’s  Form  10-K  filed  on</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71">
              <w:r>
                <w:rPr>
                  <w:rFonts w:ascii="Arial" w:cs="Arial" w:eastAsia="Arial" w:hAnsi="Arial"/>
                  <w:sz w:val="18"/>
                  <w:szCs w:val="18"/>
                  <w:color w:val="0000EE"/>
                  <w:w w:val="88"/>
                </w:rPr>
                <w:t>21, 1977, as amended August 27, 1987</w:t>
              </w:r>
            </w:hyperlink>
          </w:p>
        </w:tc>
        <w:tc>
          <w:tcPr>
            <w:tcW w:w="2660" w:type="dxa"/>
            <w:vAlign w:val="bottom"/>
            <w:gridSpan w:val="11"/>
          </w:tcPr>
          <w:p>
            <w:pPr>
              <w:spacing w:after="0"/>
              <w:rPr>
                <w:sz w:val="17"/>
                <w:szCs w:val="17"/>
                <w:color w:val="auto"/>
              </w:rPr>
            </w:pPr>
          </w:p>
        </w:tc>
        <w:tc>
          <w:tcPr>
            <w:tcW w:w="4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February 28, 2013</w:t>
            </w: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3(ii).1</w:t>
            </w:r>
          </w:p>
        </w:tc>
        <w:tc>
          <w:tcPr>
            <w:tcW w:w="140" w:type="dxa"/>
            <w:vAlign w:val="bottom"/>
          </w:tcPr>
          <w:p>
            <w:pPr>
              <w:spacing w:after="0"/>
              <w:rPr>
                <w:sz w:val="24"/>
                <w:szCs w:val="24"/>
                <w:color w:val="auto"/>
              </w:rPr>
            </w:pPr>
          </w:p>
        </w:tc>
        <w:tc>
          <w:tcPr>
            <w:tcW w:w="5460" w:type="dxa"/>
            <w:vAlign w:val="bottom"/>
            <w:gridSpan w:val="16"/>
          </w:tcPr>
          <w:p>
            <w:pPr>
              <w:spacing w:after="0"/>
              <w:rPr>
                <w:rFonts w:ascii="Arial" w:cs="Arial" w:eastAsia="Arial" w:hAnsi="Arial"/>
                <w:sz w:val="18"/>
                <w:szCs w:val="18"/>
                <w:color w:val="0000EE"/>
                <w:w w:val="94"/>
              </w:rPr>
            </w:pPr>
            <w:hyperlink r:id="rId72">
              <w:r>
                <w:rPr>
                  <w:rFonts w:ascii="Arial" w:cs="Arial" w:eastAsia="Arial" w:hAnsi="Arial"/>
                  <w:sz w:val="18"/>
                  <w:szCs w:val="18"/>
                  <w:color w:val="0000EE"/>
                  <w:w w:val="94"/>
                </w:rPr>
                <w:t>Amended and Restated Bylaws of LSB Industries, Inc. dated August 20,</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72">
              <w:r>
                <w:rPr>
                  <w:rFonts w:ascii="Arial" w:cs="Arial" w:eastAsia="Arial" w:hAnsi="Arial"/>
                  <w:sz w:val="18"/>
                  <w:szCs w:val="18"/>
                  <w:color w:val="0000EE"/>
                  <w:w w:val="91"/>
                </w:rPr>
                <w:t>2009, as amended February 18, 2010, January 17, 2014, February 4, 2014</w:t>
              </w:r>
            </w:hyperlink>
          </w:p>
        </w:tc>
        <w:tc>
          <w:tcPr>
            <w:tcW w:w="4660" w:type="dxa"/>
            <w:vAlign w:val="bottom"/>
            <w:gridSpan w:val="2"/>
          </w:tcPr>
          <w:p>
            <w:pPr>
              <w:jc w:val="center"/>
              <w:ind w:left="10"/>
              <w:spacing w:after="0" w:line="196" w:lineRule="exact"/>
              <w:rPr>
                <w:sz w:val="20"/>
                <w:szCs w:val="20"/>
                <w:color w:val="auto"/>
              </w:rPr>
            </w:pPr>
            <w:r>
              <w:rPr>
                <w:rFonts w:ascii="Arial" w:cs="Arial" w:eastAsia="Arial" w:hAnsi="Arial"/>
                <w:sz w:val="18"/>
                <w:szCs w:val="18"/>
                <w:color w:val="auto"/>
                <w:w w:val="99"/>
              </w:rPr>
              <w:t>Exhibit 3(ii).1 to the Company’s Form 8-K filed August 27,</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72">
              <w:r>
                <w:rPr>
                  <w:rFonts w:ascii="Arial" w:cs="Arial" w:eastAsia="Arial" w:hAnsi="Arial"/>
                  <w:sz w:val="18"/>
                  <w:szCs w:val="18"/>
                  <w:color w:val="0000EE"/>
                  <w:w w:val="89"/>
                </w:rPr>
                <w:t>and August 21, 2014</w:t>
              </w:r>
            </w:hyperlink>
          </w:p>
        </w:tc>
        <w:tc>
          <w:tcPr>
            <w:tcW w:w="3960" w:type="dxa"/>
            <w:vAlign w:val="bottom"/>
            <w:gridSpan w:val="14"/>
          </w:tcPr>
          <w:p>
            <w:pPr>
              <w:spacing w:after="0"/>
              <w:rPr>
                <w:sz w:val="17"/>
                <w:szCs w:val="17"/>
                <w:color w:val="auto"/>
              </w:rPr>
            </w:pPr>
          </w:p>
        </w:tc>
        <w:tc>
          <w:tcPr>
            <w:tcW w:w="4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3(ii).2</w:t>
            </w:r>
          </w:p>
        </w:tc>
        <w:tc>
          <w:tcPr>
            <w:tcW w:w="140" w:type="dxa"/>
            <w:vAlign w:val="bottom"/>
          </w:tcPr>
          <w:p>
            <w:pPr>
              <w:spacing w:after="0"/>
              <w:rPr>
                <w:sz w:val="24"/>
                <w:szCs w:val="24"/>
                <w:color w:val="auto"/>
              </w:rPr>
            </w:pPr>
          </w:p>
        </w:tc>
        <w:tc>
          <w:tcPr>
            <w:tcW w:w="5460" w:type="dxa"/>
            <w:vAlign w:val="bottom"/>
            <w:tcBorders>
              <w:bottom w:val="single" w:sz="8" w:color="0000EE"/>
            </w:tcBorders>
            <w:gridSpan w:val="16"/>
          </w:tcPr>
          <w:p>
            <w:pPr>
              <w:spacing w:after="0"/>
              <w:rPr>
                <w:rFonts w:ascii="Arial" w:cs="Arial" w:eastAsia="Arial" w:hAnsi="Arial"/>
                <w:sz w:val="18"/>
                <w:szCs w:val="18"/>
                <w:color w:val="0000EE"/>
                <w:w w:val="92"/>
              </w:rPr>
            </w:pPr>
            <w:hyperlink r:id="rId73">
              <w:r>
                <w:rPr>
                  <w:rFonts w:ascii="Arial" w:cs="Arial" w:eastAsia="Arial" w:hAnsi="Arial"/>
                  <w:sz w:val="18"/>
                  <w:szCs w:val="18"/>
                  <w:color w:val="0000EE"/>
                  <w:w w:val="92"/>
                </w:rPr>
                <w:t>Fifth Amendment to the Amended and Restated Bylaws of LSB Industries,</w:t>
              </w:r>
            </w:hyperlink>
          </w:p>
        </w:tc>
        <w:tc>
          <w:tcPr>
            <w:tcW w:w="4660" w:type="dxa"/>
            <w:vAlign w:val="bottom"/>
            <w:gridSpan w:val="2"/>
          </w:tcPr>
          <w:p>
            <w:pPr>
              <w:jc w:val="center"/>
              <w:spacing w:after="0"/>
              <w:rPr>
                <w:sz w:val="20"/>
                <w:szCs w:val="20"/>
                <w:color w:val="auto"/>
              </w:rPr>
            </w:pPr>
            <w:r>
              <w:rPr>
                <w:rFonts w:ascii="Arial" w:cs="Arial" w:eastAsia="Arial" w:hAnsi="Arial"/>
                <w:sz w:val="18"/>
                <w:szCs w:val="18"/>
                <w:color w:val="auto"/>
              </w:rPr>
              <w:t>Exhibit 3(ii) to the Company’s Form 8-K filed April 30,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73">
              <w:r>
                <w:rPr>
                  <w:rFonts w:ascii="Arial" w:cs="Arial" w:eastAsia="Arial" w:hAnsi="Arial"/>
                  <w:sz w:val="18"/>
                  <w:szCs w:val="18"/>
                  <w:color w:val="0000EE"/>
                  <w:w w:val="90"/>
                </w:rPr>
                <w:t>Inc., dated as of April 26, 2015</w:t>
              </w:r>
            </w:hyperlink>
          </w:p>
        </w:tc>
        <w:tc>
          <w:tcPr>
            <w:tcW w:w="3220" w:type="dxa"/>
            <w:vAlign w:val="bottom"/>
            <w:gridSpan w:val="13"/>
          </w:tcPr>
          <w:p>
            <w:pPr>
              <w:spacing w:after="0"/>
              <w:rPr>
                <w:sz w:val="17"/>
                <w:szCs w:val="17"/>
                <w:color w:val="auto"/>
              </w:rPr>
            </w:pPr>
          </w:p>
        </w:tc>
        <w:tc>
          <w:tcPr>
            <w:tcW w:w="4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3(ii).3</w:t>
            </w:r>
          </w:p>
        </w:tc>
        <w:tc>
          <w:tcPr>
            <w:tcW w:w="140" w:type="dxa"/>
            <w:vAlign w:val="bottom"/>
          </w:tcPr>
          <w:p>
            <w:pPr>
              <w:spacing w:after="0"/>
              <w:rPr>
                <w:sz w:val="24"/>
                <w:szCs w:val="24"/>
                <w:color w:val="auto"/>
              </w:rPr>
            </w:pPr>
          </w:p>
        </w:tc>
        <w:tc>
          <w:tcPr>
            <w:tcW w:w="5460" w:type="dxa"/>
            <w:vAlign w:val="bottom"/>
            <w:tcBorders>
              <w:bottom w:val="single" w:sz="8" w:color="0000EE"/>
            </w:tcBorders>
            <w:gridSpan w:val="16"/>
          </w:tcPr>
          <w:p>
            <w:pPr>
              <w:spacing w:after="0"/>
              <w:rPr>
                <w:rFonts w:ascii="Arial" w:cs="Arial" w:eastAsia="Arial" w:hAnsi="Arial"/>
                <w:sz w:val="18"/>
                <w:szCs w:val="18"/>
                <w:color w:val="0000EE"/>
                <w:w w:val="91"/>
              </w:rPr>
            </w:pPr>
            <w:hyperlink r:id="rId74">
              <w:r>
                <w:rPr>
                  <w:rFonts w:ascii="Arial" w:cs="Arial" w:eastAsia="Arial" w:hAnsi="Arial"/>
                  <w:sz w:val="18"/>
                  <w:szCs w:val="18"/>
                  <w:color w:val="0000EE"/>
                  <w:w w:val="91"/>
                </w:rPr>
                <w:t>Sixth Amendment to the Amended and Restated Bylaws of LSB Industries,</w:t>
              </w:r>
            </w:hyperlink>
          </w:p>
        </w:tc>
        <w:tc>
          <w:tcPr>
            <w:tcW w:w="46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Exhibit 3(ii) to the Company’s Form 8-K filed December 8,</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gridSpan w:val="16"/>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Inc., dated as of December 2, 2015</w:t>
              </w:r>
            </w:hyperlink>
          </w:p>
        </w:tc>
        <w:tc>
          <w:tcPr>
            <w:tcW w:w="4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3(ii).4</w:t>
            </w:r>
          </w:p>
        </w:tc>
        <w:tc>
          <w:tcPr>
            <w:tcW w:w="140" w:type="dxa"/>
            <w:vAlign w:val="bottom"/>
          </w:tcPr>
          <w:p>
            <w:pPr>
              <w:spacing w:after="0"/>
              <w:rPr>
                <w:sz w:val="24"/>
                <w:szCs w:val="24"/>
                <w:color w:val="auto"/>
              </w:rPr>
            </w:pPr>
          </w:p>
        </w:tc>
        <w:tc>
          <w:tcPr>
            <w:tcW w:w="5460" w:type="dxa"/>
            <w:vAlign w:val="bottom"/>
            <w:tcBorders>
              <w:bottom w:val="single" w:sz="8" w:color="0000EE"/>
            </w:tcBorders>
            <w:gridSpan w:val="16"/>
          </w:tcPr>
          <w:p>
            <w:pPr>
              <w:spacing w:after="0"/>
              <w:rPr>
                <w:rFonts w:ascii="Arial" w:cs="Arial" w:eastAsia="Arial" w:hAnsi="Arial"/>
                <w:sz w:val="18"/>
                <w:szCs w:val="18"/>
                <w:color w:val="0000EE"/>
                <w:w w:val="94"/>
              </w:rPr>
            </w:pPr>
            <w:hyperlink r:id="rId75">
              <w:r>
                <w:rPr>
                  <w:rFonts w:ascii="Arial" w:cs="Arial" w:eastAsia="Arial" w:hAnsi="Arial"/>
                  <w:sz w:val="18"/>
                  <w:szCs w:val="18"/>
                  <w:color w:val="0000EE"/>
                  <w:w w:val="94"/>
                </w:rPr>
                <w:t>Seventh  Amendment  to  the  Amended  and  Restated  Bylaws  of  LSB</w:t>
              </w:r>
            </w:hyperlink>
          </w:p>
        </w:tc>
        <w:tc>
          <w:tcPr>
            <w:tcW w:w="4660" w:type="dxa"/>
            <w:vAlign w:val="bottom"/>
            <w:gridSpan w:val="2"/>
          </w:tcPr>
          <w:p>
            <w:pPr>
              <w:jc w:val="center"/>
              <w:ind w:left="10"/>
              <w:spacing w:after="0"/>
              <w:rPr>
                <w:sz w:val="20"/>
                <w:szCs w:val="20"/>
                <w:color w:val="auto"/>
              </w:rPr>
            </w:pPr>
            <w:r>
              <w:rPr>
                <w:rFonts w:ascii="Arial" w:cs="Arial" w:eastAsia="Arial" w:hAnsi="Arial"/>
                <w:sz w:val="18"/>
                <w:szCs w:val="18"/>
                <w:color w:val="auto"/>
                <w:w w:val="96"/>
              </w:rPr>
              <w:t>Exhibit 3(ii) to the Company’s Form 8-K filed December 29,</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75">
              <w:r>
                <w:rPr>
                  <w:rFonts w:ascii="Arial" w:cs="Arial" w:eastAsia="Arial" w:hAnsi="Arial"/>
                  <w:sz w:val="18"/>
                  <w:szCs w:val="18"/>
                  <w:color w:val="0000EE"/>
                  <w:w w:val="89"/>
                </w:rPr>
                <w:t>Industries, Inc., dated as of December 22, 2015</w:t>
              </w:r>
            </w:hyperlink>
          </w:p>
        </w:tc>
        <w:tc>
          <w:tcPr>
            <w:tcW w:w="2060" w:type="dxa"/>
            <w:vAlign w:val="bottom"/>
            <w:gridSpan w:val="9"/>
          </w:tcPr>
          <w:p>
            <w:pPr>
              <w:spacing w:after="0"/>
              <w:rPr>
                <w:sz w:val="17"/>
                <w:szCs w:val="17"/>
                <w:color w:val="auto"/>
              </w:rPr>
            </w:pPr>
          </w:p>
        </w:tc>
        <w:tc>
          <w:tcPr>
            <w:tcW w:w="4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18"/>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60" w:type="dxa"/>
            <w:vAlign w:val="bottom"/>
            <w:tcBorders>
              <w:bottom w:val="single" w:sz="8" w:color="0000EE"/>
            </w:tcBorders>
            <w:gridSpan w:val="16"/>
          </w:tcPr>
          <w:p>
            <w:pPr>
              <w:spacing w:after="0"/>
              <w:rPr>
                <w:rFonts w:ascii="Arial" w:cs="Arial" w:eastAsia="Arial" w:hAnsi="Arial"/>
                <w:sz w:val="18"/>
                <w:szCs w:val="18"/>
                <w:color w:val="0000EE"/>
                <w:w w:val="92"/>
              </w:rPr>
            </w:pPr>
            <w:hyperlink r:id="rId76">
              <w:r>
                <w:rPr>
                  <w:rFonts w:ascii="Arial" w:cs="Arial" w:eastAsia="Arial" w:hAnsi="Arial"/>
                  <w:sz w:val="18"/>
                  <w:szCs w:val="18"/>
                  <w:color w:val="0000EE"/>
                  <w:w w:val="92"/>
                </w:rPr>
                <w:t>Certificate of Designations of Series E-1 Cumulative Redeemable Class C</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100"/>
              <w:spacing w:after="0" w:line="196" w:lineRule="exact"/>
              <w:rPr>
                <w:sz w:val="20"/>
                <w:szCs w:val="20"/>
                <w:color w:val="auto"/>
              </w:rPr>
            </w:pPr>
            <w:r>
              <w:rPr>
                <w:rFonts w:ascii="Arial" w:cs="Arial" w:eastAsia="Arial" w:hAnsi="Arial"/>
                <w:sz w:val="18"/>
                <w:szCs w:val="18"/>
                <w:color w:val="auto"/>
              </w:rPr>
              <w:t>4.1</w:t>
            </w:r>
          </w:p>
        </w:tc>
        <w:tc>
          <w:tcPr>
            <w:tcW w:w="140" w:type="dxa"/>
            <w:vAlign w:val="bottom"/>
          </w:tcPr>
          <w:p>
            <w:pPr>
              <w:spacing w:after="0"/>
              <w:rPr>
                <w:sz w:val="17"/>
                <w:szCs w:val="17"/>
                <w:color w:val="auto"/>
              </w:rPr>
            </w:pPr>
          </w:p>
        </w:tc>
        <w:tc>
          <w:tcPr>
            <w:tcW w:w="49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76">
              <w:r>
                <w:rPr>
                  <w:rFonts w:ascii="Arial" w:cs="Arial" w:eastAsia="Arial" w:hAnsi="Arial"/>
                  <w:sz w:val="18"/>
                  <w:szCs w:val="18"/>
                  <w:color w:val="0000EE"/>
                  <w:w w:val="90"/>
                </w:rPr>
                <w:t>Preferred Stock of LSB Industries, Inc., dated as of October 18, 2018</w:t>
              </w:r>
            </w:hyperlink>
          </w:p>
        </w:tc>
        <w:tc>
          <w:tcPr>
            <w:tcW w:w="480" w:type="dxa"/>
            <w:vAlign w:val="bottom"/>
            <w:gridSpan w:val="2"/>
          </w:tcPr>
          <w:p>
            <w:pPr>
              <w:spacing w:after="0"/>
              <w:rPr>
                <w:sz w:val="17"/>
                <w:szCs w:val="17"/>
                <w:color w:val="auto"/>
              </w:rPr>
            </w:pPr>
          </w:p>
        </w:tc>
        <w:tc>
          <w:tcPr>
            <w:tcW w:w="4660" w:type="dxa"/>
            <w:vAlign w:val="bottom"/>
            <w:gridSpan w:val="2"/>
          </w:tcPr>
          <w:p>
            <w:pPr>
              <w:jc w:val="center"/>
              <w:ind w:left="10"/>
              <w:spacing w:after="0" w:line="196" w:lineRule="exact"/>
              <w:rPr>
                <w:sz w:val="20"/>
                <w:szCs w:val="20"/>
                <w:color w:val="auto"/>
              </w:rPr>
            </w:pPr>
            <w:r>
              <w:rPr>
                <w:rFonts w:ascii="Arial" w:cs="Arial" w:eastAsia="Arial" w:hAnsi="Arial"/>
                <w:sz w:val="18"/>
                <w:szCs w:val="18"/>
                <w:color w:val="auto"/>
                <w:w w:val="92"/>
              </w:rPr>
              <w:t>Exhibit 4.1 to the Company’s Form 8-K filed October 19, 2018</w:t>
            </w:r>
          </w:p>
        </w:tc>
        <w:tc>
          <w:tcPr>
            <w:tcW w:w="0" w:type="dxa"/>
            <w:vAlign w:val="bottom"/>
          </w:tcPr>
          <w:p>
            <w:pPr>
              <w:spacing w:after="0"/>
              <w:rPr>
                <w:sz w:val="1"/>
                <w:szCs w:val="1"/>
                <w:color w:val="auto"/>
              </w:rPr>
            </w:pPr>
          </w:p>
        </w:tc>
      </w:tr>
      <w:tr>
        <w:trPr>
          <w:trHeight w:val="318"/>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60" w:type="dxa"/>
            <w:vAlign w:val="bottom"/>
            <w:tcBorders>
              <w:bottom w:val="single" w:sz="8" w:color="0000EE"/>
            </w:tcBorders>
            <w:gridSpan w:val="16"/>
          </w:tcPr>
          <w:p>
            <w:pPr>
              <w:spacing w:after="0"/>
              <w:rPr>
                <w:rFonts w:ascii="Arial" w:cs="Arial" w:eastAsia="Arial" w:hAnsi="Arial"/>
                <w:sz w:val="18"/>
                <w:szCs w:val="18"/>
                <w:color w:val="0000EE"/>
                <w:w w:val="94"/>
              </w:rPr>
            </w:pPr>
            <w:hyperlink r:id="rId77">
              <w:r>
                <w:rPr>
                  <w:rFonts w:ascii="Arial" w:cs="Arial" w:eastAsia="Arial" w:hAnsi="Arial"/>
                  <w:sz w:val="18"/>
                  <w:szCs w:val="18"/>
                  <w:color w:val="0000EE"/>
                  <w:w w:val="94"/>
                </w:rPr>
                <w:t>Certificate of Designations of Series F-1 Redeemable Class C Preferred</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100"/>
              <w:spacing w:after="0" w:line="196" w:lineRule="exact"/>
              <w:rPr>
                <w:sz w:val="20"/>
                <w:szCs w:val="20"/>
                <w:color w:val="auto"/>
              </w:rPr>
            </w:pPr>
            <w:r>
              <w:rPr>
                <w:rFonts w:ascii="Arial" w:cs="Arial" w:eastAsia="Arial" w:hAnsi="Arial"/>
                <w:sz w:val="18"/>
                <w:szCs w:val="18"/>
                <w:color w:val="auto"/>
              </w:rPr>
              <w:t>4.2</w:t>
            </w:r>
          </w:p>
        </w:tc>
        <w:tc>
          <w:tcPr>
            <w:tcW w:w="140" w:type="dxa"/>
            <w:vAlign w:val="bottom"/>
          </w:tcPr>
          <w:p>
            <w:pPr>
              <w:spacing w:after="0"/>
              <w:rPr>
                <w:sz w:val="17"/>
                <w:szCs w:val="17"/>
                <w:color w:val="auto"/>
              </w:rPr>
            </w:pPr>
          </w:p>
        </w:tc>
        <w:tc>
          <w:tcPr>
            <w:tcW w:w="5460" w:type="dxa"/>
            <w:vAlign w:val="bottom"/>
            <w:gridSpan w:val="16"/>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Stock of LSB Industries, Inc., dated as of October 18, 2018</w:t>
              </w:r>
            </w:hyperlink>
          </w:p>
        </w:tc>
        <w:tc>
          <w:tcPr>
            <w:tcW w:w="4660" w:type="dxa"/>
            <w:vAlign w:val="bottom"/>
            <w:gridSpan w:val="2"/>
          </w:tcPr>
          <w:p>
            <w:pPr>
              <w:jc w:val="center"/>
              <w:ind w:left="10"/>
              <w:spacing w:after="0" w:line="196" w:lineRule="exact"/>
              <w:rPr>
                <w:sz w:val="20"/>
                <w:szCs w:val="20"/>
                <w:color w:val="auto"/>
              </w:rPr>
            </w:pPr>
            <w:r>
              <w:rPr>
                <w:rFonts w:ascii="Arial" w:cs="Arial" w:eastAsia="Arial" w:hAnsi="Arial"/>
                <w:sz w:val="18"/>
                <w:szCs w:val="18"/>
                <w:color w:val="auto"/>
                <w:w w:val="92"/>
              </w:rPr>
              <w:t>Exhibit 4.2 to the Company’s Form 8-K filed October 19, 2018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60" w:type="dxa"/>
            <w:vAlign w:val="bottom"/>
            <w:gridSpan w:val="5"/>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60" w:type="dxa"/>
            <w:vAlign w:val="bottom"/>
            <w:tcBorders>
              <w:bottom w:val="single" w:sz="8" w:color="0000EE"/>
            </w:tcBorders>
            <w:gridSpan w:val="16"/>
          </w:tcPr>
          <w:p>
            <w:pPr>
              <w:spacing w:after="0"/>
              <w:rPr>
                <w:rFonts w:ascii="Arial" w:cs="Arial" w:eastAsia="Arial" w:hAnsi="Arial"/>
                <w:sz w:val="18"/>
                <w:szCs w:val="18"/>
                <w:color w:val="0000EE"/>
                <w:w w:val="96"/>
              </w:rPr>
            </w:pPr>
            <w:hyperlink r:id="rId78">
              <w:r>
                <w:rPr>
                  <w:rFonts w:ascii="Arial" w:cs="Arial" w:eastAsia="Arial" w:hAnsi="Arial"/>
                  <w:sz w:val="18"/>
                  <w:szCs w:val="18"/>
                  <w:color w:val="0000EE"/>
                  <w:w w:val="96"/>
                </w:rPr>
                <w:t>Securities Exchange Agreement, dated as of October 18, 2018, by and</w:t>
              </w:r>
            </w:hyperlink>
          </w:p>
        </w:tc>
        <w:tc>
          <w:tcPr>
            <w:tcW w:w="46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Exhibit 10.1 to the Company’s Form 8-K filed October 19,</w:t>
            </w:r>
          </w:p>
        </w:tc>
        <w:tc>
          <w:tcPr>
            <w:tcW w:w="0" w:type="dxa"/>
            <w:vAlign w:val="bottom"/>
          </w:tcPr>
          <w:p>
            <w:pPr>
              <w:spacing w:after="0"/>
              <w:rPr>
                <w:sz w:val="1"/>
                <w:szCs w:val="1"/>
                <w:color w:val="auto"/>
              </w:rPr>
            </w:pPr>
          </w:p>
        </w:tc>
      </w:tr>
      <w:tr>
        <w:trPr>
          <w:trHeight w:val="196"/>
        </w:trPr>
        <w:tc>
          <w:tcPr>
            <w:tcW w:w="1160" w:type="dxa"/>
            <w:vAlign w:val="bottom"/>
          </w:tcPr>
          <w:p>
            <w:pPr>
              <w:ind w:left="100"/>
              <w:spacing w:after="0" w:line="196" w:lineRule="exact"/>
              <w:rPr>
                <w:sz w:val="20"/>
                <w:szCs w:val="20"/>
                <w:color w:val="auto"/>
              </w:rPr>
            </w:pPr>
            <w:r>
              <w:rPr>
                <w:rFonts w:ascii="Arial" w:cs="Arial" w:eastAsia="Arial" w:hAnsi="Arial"/>
                <w:sz w:val="18"/>
                <w:szCs w:val="18"/>
                <w:color w:val="auto"/>
              </w:rPr>
              <w:t>10.1</w:t>
            </w:r>
          </w:p>
        </w:tc>
        <w:tc>
          <w:tcPr>
            <w:tcW w:w="140" w:type="dxa"/>
            <w:vAlign w:val="bottom"/>
          </w:tcPr>
          <w:p>
            <w:pPr>
              <w:spacing w:after="0"/>
              <w:rPr>
                <w:sz w:val="17"/>
                <w:szCs w:val="17"/>
                <w:color w:val="auto"/>
              </w:rPr>
            </w:pPr>
          </w:p>
        </w:tc>
        <w:tc>
          <w:tcPr>
            <w:tcW w:w="38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78">
              <w:r>
                <w:rPr>
                  <w:rFonts w:ascii="Arial" w:cs="Arial" w:eastAsia="Arial" w:hAnsi="Arial"/>
                  <w:sz w:val="18"/>
                  <w:szCs w:val="18"/>
                  <w:color w:val="0000EE"/>
                  <w:w w:val="91"/>
                </w:rPr>
                <w:t>between LSB Industries, Inc. and LSB Funding LLC</w:t>
              </w:r>
            </w:hyperlink>
          </w:p>
        </w:tc>
        <w:tc>
          <w:tcPr>
            <w:tcW w:w="1660" w:type="dxa"/>
            <w:vAlign w:val="bottom"/>
            <w:gridSpan w:val="5"/>
          </w:tcPr>
          <w:p>
            <w:pPr>
              <w:spacing w:after="0"/>
              <w:rPr>
                <w:sz w:val="17"/>
                <w:szCs w:val="17"/>
                <w:color w:val="auto"/>
              </w:rPr>
            </w:pPr>
          </w:p>
        </w:tc>
        <w:tc>
          <w:tcPr>
            <w:tcW w:w="4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318"/>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60" w:type="dxa"/>
            <w:vAlign w:val="bottom"/>
            <w:tcBorders>
              <w:bottom w:val="single" w:sz="8" w:color="0000EE"/>
            </w:tcBorders>
            <w:gridSpan w:val="16"/>
          </w:tcPr>
          <w:p>
            <w:pPr>
              <w:spacing w:after="0"/>
              <w:rPr>
                <w:rFonts w:ascii="Arial" w:cs="Arial" w:eastAsia="Arial" w:hAnsi="Arial"/>
                <w:sz w:val="18"/>
                <w:szCs w:val="18"/>
                <w:color w:val="0000EE"/>
                <w:w w:val="90"/>
              </w:rPr>
            </w:pPr>
            <w:hyperlink r:id="rId79">
              <w:r>
                <w:rPr>
                  <w:rFonts w:ascii="Arial" w:cs="Arial" w:eastAsia="Arial" w:hAnsi="Arial"/>
                  <w:sz w:val="18"/>
                  <w:szCs w:val="18"/>
                  <w:color w:val="0000EE"/>
                  <w:w w:val="90"/>
                </w:rPr>
                <w:t>Amendment to Board Representation and Standstill Agreement, dated as of</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79">
              <w:r>
                <w:rPr>
                  <w:rFonts w:ascii="Arial" w:cs="Arial" w:eastAsia="Arial" w:hAnsi="Arial"/>
                  <w:sz w:val="18"/>
                  <w:szCs w:val="18"/>
                  <w:color w:val="0000EE"/>
                  <w:w w:val="93"/>
                </w:rPr>
                <w:t>October 18, 2018, by and among LSB Industries, Inc., LSB Funding LLC,</w:t>
              </w:r>
            </w:hyperlink>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gridSpan w:val="16"/>
          </w:tcPr>
          <w:p>
            <w:pPr>
              <w:spacing w:after="0" w:line="196" w:lineRule="exact"/>
              <w:rPr>
                <w:rFonts w:ascii="Arial" w:cs="Arial" w:eastAsia="Arial" w:hAnsi="Arial"/>
                <w:sz w:val="18"/>
                <w:szCs w:val="18"/>
                <w:color w:val="0000EE"/>
                <w:w w:val="97"/>
              </w:rPr>
            </w:pPr>
            <w:hyperlink r:id="rId79">
              <w:r>
                <w:rPr>
                  <w:rFonts w:ascii="Arial" w:cs="Arial" w:eastAsia="Arial" w:hAnsi="Arial"/>
                  <w:sz w:val="18"/>
                  <w:szCs w:val="18"/>
                  <w:color w:val="0000EE"/>
                  <w:w w:val="97"/>
                </w:rPr>
                <w:t>Security Benefit Corporation, Todd Boehly and the Golsen Holders (as</w:t>
              </w:r>
            </w:hyperlink>
          </w:p>
        </w:tc>
        <w:tc>
          <w:tcPr>
            <w:tcW w:w="4660" w:type="dxa"/>
            <w:vAlign w:val="bottom"/>
            <w:gridSpan w:val="2"/>
          </w:tcPr>
          <w:p>
            <w:pPr>
              <w:jc w:val="center"/>
              <w:ind w:left="10"/>
              <w:spacing w:after="0" w:line="196" w:lineRule="exact"/>
              <w:rPr>
                <w:sz w:val="20"/>
                <w:szCs w:val="20"/>
                <w:color w:val="auto"/>
              </w:rPr>
            </w:pPr>
            <w:r>
              <w:rPr>
                <w:rFonts w:ascii="Arial" w:cs="Arial" w:eastAsia="Arial" w:hAnsi="Arial"/>
                <w:sz w:val="18"/>
                <w:szCs w:val="18"/>
                <w:color w:val="auto"/>
                <w:w w:val="99"/>
              </w:rPr>
              <w:t>Exhibit 10.2 to the Company’s Form 8-K filed October 19,</w:t>
            </w:r>
          </w:p>
        </w:tc>
        <w:tc>
          <w:tcPr>
            <w:tcW w:w="0" w:type="dxa"/>
            <w:vAlign w:val="bottom"/>
          </w:tcPr>
          <w:p>
            <w:pPr>
              <w:spacing w:after="0"/>
              <w:rPr>
                <w:sz w:val="1"/>
                <w:szCs w:val="1"/>
                <w:color w:val="auto"/>
              </w:rPr>
            </w:pPr>
          </w:p>
        </w:tc>
      </w:tr>
      <w:tr>
        <w:trPr>
          <w:trHeight w:val="196"/>
        </w:trPr>
        <w:tc>
          <w:tcPr>
            <w:tcW w:w="1160" w:type="dxa"/>
            <w:vAlign w:val="bottom"/>
          </w:tcPr>
          <w:p>
            <w:pPr>
              <w:ind w:left="100"/>
              <w:spacing w:after="0" w:line="196" w:lineRule="exact"/>
              <w:rPr>
                <w:sz w:val="20"/>
                <w:szCs w:val="20"/>
                <w:color w:val="auto"/>
              </w:rPr>
            </w:pPr>
            <w:r>
              <w:rPr>
                <w:rFonts w:ascii="Arial" w:cs="Arial" w:eastAsia="Arial" w:hAnsi="Arial"/>
                <w:sz w:val="18"/>
                <w:szCs w:val="18"/>
                <w:color w:val="auto"/>
              </w:rPr>
              <w:t>10.2</w:t>
            </w:r>
          </w:p>
        </w:tc>
        <w:tc>
          <w:tcPr>
            <w:tcW w:w="140" w:type="dxa"/>
            <w:vAlign w:val="bottom"/>
          </w:tcPr>
          <w:p>
            <w:pPr>
              <w:spacing w:after="0"/>
              <w:rPr>
                <w:sz w:val="17"/>
                <w:szCs w:val="17"/>
                <w:color w:val="auto"/>
              </w:rPr>
            </w:pPr>
          </w:p>
        </w:tc>
        <w:tc>
          <w:tcPr>
            <w:tcW w:w="11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79">
              <w:r>
                <w:rPr>
                  <w:rFonts w:ascii="Arial" w:cs="Arial" w:eastAsia="Arial" w:hAnsi="Arial"/>
                  <w:sz w:val="18"/>
                  <w:szCs w:val="18"/>
                  <w:color w:val="0000EE"/>
                  <w:w w:val="89"/>
                </w:rPr>
                <w:t>defined therein)</w:t>
              </w:r>
            </w:hyperlink>
          </w:p>
        </w:tc>
        <w:tc>
          <w:tcPr>
            <w:tcW w:w="4300" w:type="dxa"/>
            <w:vAlign w:val="bottom"/>
            <w:tcBorders>
              <w:top w:val="single" w:sz="8" w:color="0000EE"/>
            </w:tcBorders>
            <w:gridSpan w:val="14"/>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318"/>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60" w:type="dxa"/>
            <w:vAlign w:val="bottom"/>
            <w:gridSpan w:val="16"/>
          </w:tcPr>
          <w:p>
            <w:pPr>
              <w:spacing w:after="0"/>
              <w:rPr>
                <w:rFonts w:ascii="Arial" w:cs="Arial" w:eastAsia="Arial" w:hAnsi="Arial"/>
                <w:sz w:val="18"/>
                <w:szCs w:val="18"/>
                <w:color w:val="0000EE"/>
                <w:w w:val="95"/>
              </w:rPr>
            </w:pPr>
            <w:hyperlink w:anchor="page46">
              <w:r>
                <w:rPr>
                  <w:rFonts w:ascii="Arial" w:cs="Arial" w:eastAsia="Arial" w:hAnsi="Arial"/>
                  <w:sz w:val="18"/>
                  <w:szCs w:val="18"/>
                  <w:color w:val="0000EE"/>
                  <w:w w:val="95"/>
                </w:rPr>
                <w:t>Notice  Period  Extension  Regarding  Employment  Agreement  by  and</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100"/>
              <w:spacing w:after="0" w:line="196" w:lineRule="exact"/>
              <w:rPr>
                <w:sz w:val="20"/>
                <w:szCs w:val="20"/>
                <w:color w:val="auto"/>
              </w:rPr>
            </w:pPr>
            <w:r>
              <w:rPr>
                <w:rFonts w:ascii="Arial" w:cs="Arial" w:eastAsia="Arial" w:hAnsi="Arial"/>
                <w:sz w:val="18"/>
                <w:szCs w:val="18"/>
                <w:color w:val="auto"/>
              </w:rPr>
              <w:t>10.3(a)</w:t>
            </w:r>
          </w:p>
        </w:tc>
        <w:tc>
          <w:tcPr>
            <w:tcW w:w="140" w:type="dxa"/>
            <w:vAlign w:val="bottom"/>
          </w:tcPr>
          <w:p>
            <w:pPr>
              <w:spacing w:after="0"/>
              <w:rPr>
                <w:sz w:val="17"/>
                <w:szCs w:val="17"/>
                <w:color w:val="auto"/>
              </w:rPr>
            </w:pPr>
          </w:p>
        </w:tc>
        <w:tc>
          <w:tcPr>
            <w:tcW w:w="54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between LSB Industries, Inc. and Daniel D. Greenwell</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gridSpan w:val="6"/>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60" w:type="dxa"/>
            <w:vAlign w:val="bottom"/>
            <w:gridSpan w:val="16"/>
          </w:tcPr>
          <w:p>
            <w:pPr>
              <w:spacing w:after="0"/>
              <w:rPr>
                <w:rFonts w:ascii="Arial" w:cs="Arial" w:eastAsia="Arial" w:hAnsi="Arial"/>
                <w:sz w:val="18"/>
                <w:szCs w:val="18"/>
                <w:color w:val="0000EE"/>
                <w:w w:val="95"/>
              </w:rPr>
            </w:pPr>
            <w:hyperlink w:anchor="page47">
              <w:r>
                <w:rPr>
                  <w:rFonts w:ascii="Arial" w:cs="Arial" w:eastAsia="Arial" w:hAnsi="Arial"/>
                  <w:sz w:val="18"/>
                  <w:szCs w:val="18"/>
                  <w:color w:val="0000EE"/>
                  <w:w w:val="95"/>
                </w:rPr>
                <w:t>Notice  Period  Extension  Regarding  Employment  Agreement  by  and</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100"/>
              <w:spacing w:after="0" w:line="196" w:lineRule="exact"/>
              <w:rPr>
                <w:sz w:val="20"/>
                <w:szCs w:val="20"/>
                <w:color w:val="auto"/>
              </w:rPr>
            </w:pPr>
            <w:r>
              <w:rPr>
                <w:rFonts w:ascii="Arial" w:cs="Arial" w:eastAsia="Arial" w:hAnsi="Arial"/>
                <w:sz w:val="18"/>
                <w:szCs w:val="18"/>
                <w:color w:val="auto"/>
              </w:rPr>
              <w:t>10.4(a)</w:t>
            </w:r>
          </w:p>
        </w:tc>
        <w:tc>
          <w:tcPr>
            <w:tcW w:w="140" w:type="dxa"/>
            <w:vAlign w:val="bottom"/>
          </w:tcPr>
          <w:p>
            <w:pPr>
              <w:spacing w:after="0"/>
              <w:rPr>
                <w:sz w:val="17"/>
                <w:szCs w:val="17"/>
                <w:color w:val="auto"/>
              </w:rPr>
            </w:pPr>
          </w:p>
        </w:tc>
        <w:tc>
          <w:tcPr>
            <w:tcW w:w="35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between LSB Industries, Inc. and Mark Behrman</w:t>
              </w:r>
            </w:hyperlink>
          </w:p>
        </w:tc>
        <w:tc>
          <w:tcPr>
            <w:tcW w:w="190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60" w:type="dxa"/>
            <w:vAlign w:val="bottom"/>
            <w:gridSpan w:val="16"/>
          </w:tcPr>
          <w:p>
            <w:pPr>
              <w:spacing w:after="0"/>
              <w:rPr>
                <w:rFonts w:ascii="Arial" w:cs="Arial" w:eastAsia="Arial" w:hAnsi="Arial"/>
                <w:sz w:val="18"/>
                <w:szCs w:val="18"/>
                <w:color w:val="0000EE"/>
                <w:w w:val="95"/>
              </w:rPr>
            </w:pPr>
            <w:hyperlink w:anchor="page48">
              <w:r>
                <w:rPr>
                  <w:rFonts w:ascii="Arial" w:cs="Arial" w:eastAsia="Arial" w:hAnsi="Arial"/>
                  <w:sz w:val="18"/>
                  <w:szCs w:val="18"/>
                  <w:color w:val="0000EE"/>
                  <w:w w:val="95"/>
                </w:rPr>
                <w:t>Notice  Period  Extension  Regarding  Employment  Agreement  by  and</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100"/>
              <w:spacing w:after="0" w:line="196" w:lineRule="exact"/>
              <w:rPr>
                <w:sz w:val="20"/>
                <w:szCs w:val="20"/>
                <w:color w:val="auto"/>
              </w:rPr>
            </w:pPr>
            <w:r>
              <w:rPr>
                <w:rFonts w:ascii="Arial" w:cs="Arial" w:eastAsia="Arial" w:hAnsi="Arial"/>
                <w:sz w:val="18"/>
                <w:szCs w:val="18"/>
                <w:color w:val="auto"/>
              </w:rPr>
              <w:t>10.5(a)</w:t>
            </w:r>
          </w:p>
        </w:tc>
        <w:tc>
          <w:tcPr>
            <w:tcW w:w="140" w:type="dxa"/>
            <w:vAlign w:val="bottom"/>
          </w:tcPr>
          <w:p>
            <w:pPr>
              <w:spacing w:after="0"/>
              <w:rPr>
                <w:sz w:val="17"/>
                <w:szCs w:val="17"/>
                <w:color w:val="auto"/>
              </w:rPr>
            </w:pPr>
          </w:p>
        </w:tc>
        <w:tc>
          <w:tcPr>
            <w:tcW w:w="54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between LSB Industries, Inc. and Michael J. Foster</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gridSpan w:val="6"/>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31.1(a)</w:t>
            </w:r>
          </w:p>
        </w:tc>
        <w:tc>
          <w:tcPr>
            <w:tcW w:w="140" w:type="dxa"/>
            <w:vAlign w:val="bottom"/>
          </w:tcPr>
          <w:p>
            <w:pPr>
              <w:spacing w:after="0"/>
              <w:rPr>
                <w:sz w:val="24"/>
                <w:szCs w:val="24"/>
                <w:color w:val="auto"/>
              </w:rPr>
            </w:pPr>
          </w:p>
        </w:tc>
        <w:tc>
          <w:tcPr>
            <w:tcW w:w="5460" w:type="dxa"/>
            <w:vAlign w:val="bottom"/>
            <w:tcBorders>
              <w:bottom w:val="single" w:sz="8" w:color="0000EE"/>
            </w:tcBorders>
            <w:gridSpan w:val="16"/>
          </w:tcPr>
          <w:p>
            <w:pPr>
              <w:spacing w:after="0"/>
              <w:rPr>
                <w:rFonts w:ascii="Arial" w:cs="Arial" w:eastAsia="Arial" w:hAnsi="Arial"/>
                <w:sz w:val="18"/>
                <w:szCs w:val="18"/>
                <w:color w:val="0000EE"/>
                <w:w w:val="94"/>
              </w:rPr>
            </w:pPr>
            <w:hyperlink w:anchor="page49">
              <w:r>
                <w:rPr>
                  <w:rFonts w:ascii="Arial" w:cs="Arial" w:eastAsia="Arial" w:hAnsi="Arial"/>
                  <w:sz w:val="18"/>
                  <w:szCs w:val="18"/>
                  <w:color w:val="0000EE"/>
                  <w:w w:val="94"/>
                </w:rPr>
                <w:t>Certification of Daniel D. Greenwell, Chief Executive Officer, pursuant to</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Sarbanes-Oxley Act of 2002, Section 302</w:t>
              </w:r>
            </w:hyperlink>
          </w:p>
        </w:tc>
        <w:tc>
          <w:tcPr>
            <w:tcW w:w="246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31.2(a)</w:t>
            </w:r>
          </w:p>
        </w:tc>
        <w:tc>
          <w:tcPr>
            <w:tcW w:w="140" w:type="dxa"/>
            <w:vAlign w:val="bottom"/>
          </w:tcPr>
          <w:p>
            <w:pPr>
              <w:spacing w:after="0"/>
              <w:rPr>
                <w:sz w:val="24"/>
                <w:szCs w:val="24"/>
                <w:color w:val="auto"/>
              </w:rPr>
            </w:pPr>
          </w:p>
        </w:tc>
        <w:tc>
          <w:tcPr>
            <w:tcW w:w="546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Certification of Mark T. Behrman, Chief Financial Officer, pursuant to</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Sarbanes-Oxley Act of 2002, Section 302</w:t>
              </w:r>
            </w:hyperlink>
          </w:p>
        </w:tc>
        <w:tc>
          <w:tcPr>
            <w:tcW w:w="246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32.1(b)</w:t>
            </w:r>
          </w:p>
        </w:tc>
        <w:tc>
          <w:tcPr>
            <w:tcW w:w="140" w:type="dxa"/>
            <w:vAlign w:val="bottom"/>
          </w:tcPr>
          <w:p>
            <w:pPr>
              <w:spacing w:after="0"/>
              <w:rPr>
                <w:sz w:val="24"/>
                <w:szCs w:val="24"/>
                <w:color w:val="auto"/>
              </w:rPr>
            </w:pPr>
          </w:p>
        </w:tc>
        <w:tc>
          <w:tcPr>
            <w:tcW w:w="5460" w:type="dxa"/>
            <w:vAlign w:val="bottom"/>
            <w:tcBorders>
              <w:bottom w:val="single" w:sz="8" w:color="0000EE"/>
            </w:tcBorders>
            <w:gridSpan w:val="16"/>
          </w:tcPr>
          <w:p>
            <w:pPr>
              <w:spacing w:after="0"/>
              <w:rPr>
                <w:rFonts w:ascii="Arial" w:cs="Arial" w:eastAsia="Arial" w:hAnsi="Arial"/>
                <w:sz w:val="18"/>
                <w:szCs w:val="18"/>
                <w:color w:val="0000EE"/>
                <w:w w:val="97"/>
              </w:rPr>
            </w:pPr>
            <w:hyperlink w:anchor="page51">
              <w:r>
                <w:rPr>
                  <w:rFonts w:ascii="Arial" w:cs="Arial" w:eastAsia="Arial" w:hAnsi="Arial"/>
                  <w:sz w:val="18"/>
                  <w:szCs w:val="18"/>
                  <w:color w:val="0000EE"/>
                  <w:w w:val="97"/>
                </w:rPr>
                <w:t>Certification of Daniel D. Greenwell, Chief Executive Officer, furnished</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gridSpan w:val="16"/>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pursuant to Sarbanes-Oxley Act of 2002, Section 906</w:t>
              </w:r>
            </w:hyperlink>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60" w:type="dxa"/>
            <w:vAlign w:val="bottom"/>
            <w:gridSpan w:val="9"/>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32.2(b)</w:t>
            </w:r>
          </w:p>
        </w:tc>
        <w:tc>
          <w:tcPr>
            <w:tcW w:w="140" w:type="dxa"/>
            <w:vAlign w:val="bottom"/>
          </w:tcPr>
          <w:p>
            <w:pPr>
              <w:spacing w:after="0"/>
              <w:rPr>
                <w:sz w:val="24"/>
                <w:szCs w:val="24"/>
                <w:color w:val="auto"/>
              </w:rPr>
            </w:pPr>
          </w:p>
        </w:tc>
        <w:tc>
          <w:tcPr>
            <w:tcW w:w="5460" w:type="dxa"/>
            <w:vAlign w:val="bottom"/>
            <w:tcBorders>
              <w:bottom w:val="single" w:sz="8" w:color="0000EE"/>
            </w:tcBorders>
            <w:gridSpan w:val="16"/>
          </w:tcPr>
          <w:p>
            <w:pPr>
              <w:spacing w:after="0"/>
              <w:rPr>
                <w:rFonts w:ascii="Arial" w:cs="Arial" w:eastAsia="Arial" w:hAnsi="Arial"/>
                <w:sz w:val="18"/>
                <w:szCs w:val="18"/>
                <w:color w:val="0000EE"/>
                <w:w w:val="95"/>
              </w:rPr>
            </w:pPr>
            <w:hyperlink w:anchor="page52">
              <w:r>
                <w:rPr>
                  <w:rFonts w:ascii="Arial" w:cs="Arial" w:eastAsia="Arial" w:hAnsi="Arial"/>
                  <w:sz w:val="18"/>
                  <w:szCs w:val="18"/>
                  <w:color w:val="0000EE"/>
                  <w:w w:val="95"/>
                </w:rPr>
                <w:t>Certification  of  Mark  T.  Behrman,  Chief  Financial  Officer,  furnished</w:t>
              </w:r>
            </w:hyperlink>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gridSpan w:val="16"/>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pursuant to Sarbanes-Oxley Act of 2002, Section 906</w:t>
              </w:r>
            </w:hyperlink>
          </w:p>
        </w:tc>
        <w:tc>
          <w:tcPr>
            <w:tcW w:w="1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160" w:type="dxa"/>
            <w:vAlign w:val="bottom"/>
          </w:tcPr>
          <w:p>
            <w:pPr>
              <w:spacing w:after="0"/>
              <w:rPr>
                <w:sz w:val="20"/>
                <w:szCs w:val="20"/>
                <w:color w:val="auto"/>
              </w:rPr>
            </w:pPr>
            <w:r>
              <w:rPr>
                <w:rFonts w:ascii="Arial" w:cs="Arial" w:eastAsia="Arial" w:hAnsi="Arial"/>
                <w:sz w:val="18"/>
                <w:szCs w:val="18"/>
                <w:color w:val="auto"/>
              </w:rPr>
              <w:t>101.INS(a)</w:t>
            </w:r>
          </w:p>
        </w:tc>
        <w:tc>
          <w:tcPr>
            <w:tcW w:w="140" w:type="dxa"/>
            <w:vAlign w:val="bottom"/>
          </w:tcPr>
          <w:p>
            <w:pPr>
              <w:spacing w:after="0"/>
              <w:rPr>
                <w:sz w:val="24"/>
                <w:szCs w:val="24"/>
                <w:color w:val="auto"/>
              </w:rPr>
            </w:pPr>
          </w:p>
        </w:tc>
        <w:tc>
          <w:tcPr>
            <w:tcW w:w="374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auto"/>
              </w:rPr>
              <w:t>XBRL Instance Document</w:t>
            </w:r>
          </w:p>
        </w:tc>
        <w:tc>
          <w:tcPr>
            <w:tcW w:w="1720" w:type="dxa"/>
            <w:vAlign w:val="bottom"/>
            <w:gridSpan w:val="6"/>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101.SCH(a)</w:t>
            </w:r>
          </w:p>
        </w:tc>
        <w:tc>
          <w:tcPr>
            <w:tcW w:w="140" w:type="dxa"/>
            <w:vAlign w:val="bottom"/>
          </w:tcPr>
          <w:p>
            <w:pPr>
              <w:spacing w:after="0"/>
              <w:rPr>
                <w:sz w:val="24"/>
                <w:szCs w:val="24"/>
                <w:color w:val="auto"/>
              </w:rPr>
            </w:pPr>
          </w:p>
        </w:tc>
        <w:tc>
          <w:tcPr>
            <w:tcW w:w="5460" w:type="dxa"/>
            <w:vAlign w:val="bottom"/>
            <w:gridSpan w:val="16"/>
          </w:tcPr>
          <w:p>
            <w:pPr>
              <w:spacing w:after="0"/>
              <w:rPr>
                <w:sz w:val="20"/>
                <w:szCs w:val="20"/>
                <w:color w:val="auto"/>
              </w:rPr>
            </w:pPr>
            <w:r>
              <w:rPr>
                <w:rFonts w:ascii="Arial" w:cs="Arial" w:eastAsia="Arial" w:hAnsi="Arial"/>
                <w:sz w:val="18"/>
                <w:szCs w:val="18"/>
                <w:color w:val="auto"/>
              </w:rPr>
              <w:t>XBRL Taxonomy Extension Schema Document</w:t>
            </w: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101.CAL(a)</w:t>
            </w:r>
          </w:p>
        </w:tc>
        <w:tc>
          <w:tcPr>
            <w:tcW w:w="140" w:type="dxa"/>
            <w:vAlign w:val="bottom"/>
          </w:tcPr>
          <w:p>
            <w:pPr>
              <w:spacing w:after="0"/>
              <w:rPr>
                <w:sz w:val="24"/>
                <w:szCs w:val="24"/>
                <w:color w:val="auto"/>
              </w:rPr>
            </w:pPr>
          </w:p>
        </w:tc>
        <w:tc>
          <w:tcPr>
            <w:tcW w:w="5460" w:type="dxa"/>
            <w:vAlign w:val="bottom"/>
            <w:gridSpan w:val="1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101.DEF(a)</w:t>
            </w:r>
          </w:p>
        </w:tc>
        <w:tc>
          <w:tcPr>
            <w:tcW w:w="140" w:type="dxa"/>
            <w:vAlign w:val="bottom"/>
          </w:tcPr>
          <w:p>
            <w:pPr>
              <w:spacing w:after="0"/>
              <w:rPr>
                <w:sz w:val="24"/>
                <w:szCs w:val="24"/>
                <w:color w:val="auto"/>
              </w:rPr>
            </w:pPr>
          </w:p>
        </w:tc>
        <w:tc>
          <w:tcPr>
            <w:tcW w:w="5460" w:type="dxa"/>
            <w:vAlign w:val="bottom"/>
            <w:gridSpan w:val="1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101.LAB(a)</w:t>
            </w:r>
          </w:p>
        </w:tc>
        <w:tc>
          <w:tcPr>
            <w:tcW w:w="140" w:type="dxa"/>
            <w:vAlign w:val="bottom"/>
          </w:tcPr>
          <w:p>
            <w:pPr>
              <w:spacing w:after="0"/>
              <w:rPr>
                <w:sz w:val="24"/>
                <w:szCs w:val="24"/>
                <w:color w:val="auto"/>
              </w:rPr>
            </w:pPr>
          </w:p>
        </w:tc>
        <w:tc>
          <w:tcPr>
            <w:tcW w:w="5460" w:type="dxa"/>
            <w:vAlign w:val="bottom"/>
            <w:gridSpan w:val="16"/>
          </w:tcPr>
          <w:p>
            <w:pPr>
              <w:spacing w:after="0"/>
              <w:rPr>
                <w:sz w:val="20"/>
                <w:szCs w:val="20"/>
                <w:color w:val="auto"/>
              </w:rPr>
            </w:pPr>
            <w:r>
              <w:rPr>
                <w:rFonts w:ascii="Arial" w:cs="Arial" w:eastAsia="Arial" w:hAnsi="Arial"/>
                <w:sz w:val="18"/>
                <w:szCs w:val="18"/>
                <w:color w:val="auto"/>
              </w:rPr>
              <w:t>XBRL Taxonomy Extension Labels Linkbase Document</w:t>
            </w: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101.PRE(a)</w:t>
            </w:r>
          </w:p>
        </w:tc>
        <w:tc>
          <w:tcPr>
            <w:tcW w:w="140" w:type="dxa"/>
            <w:vAlign w:val="bottom"/>
          </w:tcPr>
          <w:p>
            <w:pPr>
              <w:spacing w:after="0"/>
              <w:rPr>
                <w:sz w:val="24"/>
                <w:szCs w:val="24"/>
                <w:color w:val="auto"/>
              </w:rPr>
            </w:pPr>
          </w:p>
        </w:tc>
        <w:tc>
          <w:tcPr>
            <w:tcW w:w="5460" w:type="dxa"/>
            <w:vAlign w:val="bottom"/>
            <w:gridSpan w:val="1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hanging="467"/>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Executive Compensation Plan or Arrangement</w:t>
      </w:r>
    </w:p>
    <w:p>
      <w:pPr>
        <w:spacing w:after="0" w:line="23"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Company has caused the undersigned, duly authorized, to sign this report on its behalf on this 24</w:t>
      </w:r>
      <w:r>
        <w:rPr>
          <w:rFonts w:ascii="Arial" w:cs="Arial" w:eastAsia="Arial" w:hAnsi="Arial"/>
          <w:sz w:val="15"/>
          <w:szCs w:val="15"/>
          <w:color w:val="auto"/>
        </w:rPr>
        <w:t>th</w:t>
      </w:r>
      <w:r>
        <w:rPr>
          <w:rFonts w:ascii="Arial" w:cs="Arial" w:eastAsia="Arial" w:hAnsi="Arial"/>
          <w:sz w:val="18"/>
          <w:szCs w:val="18"/>
          <w:color w:val="auto"/>
        </w:rPr>
        <w:t xml:space="preserve"> day of October 2018.</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LSB INDUSTRIES, INC.</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Mark T. Behrman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of Finance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Harold L. Rieker,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Harold L. Rieker,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Corporate Controller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37"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10.3</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NOTICE PERIOD EXTENSION</w:t>
      </w:r>
    </w:p>
    <w:p>
      <w:pPr>
        <w:spacing w:after="0" w:line="200" w:lineRule="exact"/>
        <w:rPr>
          <w:sz w:val="20"/>
          <w:szCs w:val="20"/>
          <w:color w:val="auto"/>
        </w:rPr>
      </w:pPr>
    </w:p>
    <w:p>
      <w:pPr>
        <w:spacing w:after="0" w:line="255"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Daniel D. Greenwell (“Executive”) and LSB Industries, Inc., a Delaware corporation (“Company”), entered into an employment agreement effective as of December 31, 2015 (“Employment Agreement”), the initial term of which is scheduled to expire on December 30, 2018.</w:t>
      </w:r>
    </w:p>
    <w:p>
      <w:pPr>
        <w:spacing w:after="0" w:line="200" w:lineRule="exact"/>
        <w:rPr>
          <w:sz w:val="20"/>
          <w:szCs w:val="20"/>
          <w:color w:val="auto"/>
        </w:rPr>
      </w:pPr>
    </w:p>
    <w:p>
      <w:pPr>
        <w:ind w:right="460"/>
        <w:spacing w:after="0" w:line="328" w:lineRule="auto"/>
        <w:rPr>
          <w:sz w:val="20"/>
          <w:szCs w:val="20"/>
          <w:color w:val="auto"/>
        </w:rPr>
      </w:pPr>
      <w:r>
        <w:rPr>
          <w:rFonts w:ascii="Arial" w:cs="Arial" w:eastAsia="Arial" w:hAnsi="Arial"/>
          <w:sz w:val="19"/>
          <w:szCs w:val="19"/>
          <w:color w:val="auto"/>
        </w:rPr>
        <w:t>The term of the Employment Agreement automatically would be extended for another year through December 30, 2019 unless either party elects not to extend the Employment Agreement by giving written notice to the other party by July 4, 2018.</w:t>
      </w:r>
    </w:p>
    <w:p>
      <w:pPr>
        <w:spacing w:after="0" w:line="119"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Since Executive and the Company are discussing potential changes to the Employment Agreement and such discussions may impact their decision whether to provide notice of an election not to extend the Employment Agreement, both Executive and the Company previously agreed to an extension until September 30, 2018 to provide notice and now agree that Section 1 of the Employment Agreement is hereby further amended such that the deadline for providing notice to the other party of an election not to extend the Employment Agreement for another year commencing December 31, 2018 shall be December 7, 2018.</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In all other respects, the Employment Agreement shall continue in effect.</w:t>
      </w:r>
    </w:p>
    <w:p>
      <w:pPr>
        <w:spacing w:after="0" w:line="220" w:lineRule="exact"/>
        <w:rPr>
          <w:sz w:val="20"/>
          <w:szCs w:val="20"/>
          <w:color w:val="auto"/>
        </w:rPr>
      </w:pPr>
    </w:p>
    <w:p>
      <w:pPr>
        <w:ind w:right="440"/>
        <w:spacing w:after="0" w:line="251" w:lineRule="auto"/>
        <w:rPr>
          <w:sz w:val="20"/>
          <w:szCs w:val="20"/>
          <w:color w:val="auto"/>
        </w:rPr>
      </w:pPr>
      <w:r>
        <w:rPr>
          <w:rFonts w:ascii="Arial" w:cs="Arial" w:eastAsia="Arial" w:hAnsi="Arial"/>
          <w:sz w:val="22"/>
          <w:szCs w:val="22"/>
          <w:color w:val="auto"/>
        </w:rPr>
        <w:t>IN WITNESS WHEREOF, the undersigned have duly executed and delivered this Notice Period Extension or have caused this Notice Period Extension to be duly executed and delivered on their behalf.</w:t>
      </w:r>
    </w:p>
    <w:p>
      <w:pPr>
        <w:spacing w:after="0" w:line="200" w:lineRule="exact"/>
        <w:rPr>
          <w:sz w:val="20"/>
          <w:szCs w:val="20"/>
          <w:color w:val="auto"/>
        </w:rPr>
      </w:pPr>
    </w:p>
    <w:p>
      <w:pPr>
        <w:spacing w:after="0" w:line="210" w:lineRule="exact"/>
        <w:rPr>
          <w:sz w:val="20"/>
          <w:szCs w:val="20"/>
          <w:color w:val="auto"/>
        </w:rPr>
      </w:pPr>
    </w:p>
    <w:p>
      <w:pPr>
        <w:ind w:left="6680"/>
        <w:spacing w:after="0"/>
        <w:rPr>
          <w:sz w:val="20"/>
          <w:szCs w:val="20"/>
          <w:color w:val="auto"/>
        </w:rPr>
      </w:pPr>
      <w:r>
        <w:rPr>
          <w:rFonts w:ascii="Arial" w:cs="Arial" w:eastAsia="Arial" w:hAnsi="Arial"/>
          <w:sz w:val="22"/>
          <w:szCs w:val="22"/>
          <w:b w:val="1"/>
          <w:bCs w:val="1"/>
          <w:color w:val="auto"/>
        </w:rPr>
        <w:t>EXECUTIVE</w:t>
      </w:r>
    </w:p>
    <w:p>
      <w:pPr>
        <w:spacing w:after="0" w:line="2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Daniel D. Greenwell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80"/>
        <w:spacing w:after="0"/>
        <w:rPr>
          <w:sz w:val="20"/>
          <w:szCs w:val="20"/>
          <w:color w:val="auto"/>
        </w:rPr>
      </w:pPr>
      <w:r>
        <w:rPr>
          <w:rFonts w:ascii="Arial" w:cs="Arial" w:eastAsia="Arial" w:hAnsi="Arial"/>
          <w:sz w:val="22"/>
          <w:szCs w:val="22"/>
          <w:b w:val="1"/>
          <w:bCs w:val="1"/>
          <w:color w:val="auto"/>
        </w:rPr>
        <w:t>LSB INDUSTRIES, INC.</w:t>
      </w:r>
    </w:p>
    <w:p>
      <w:pPr>
        <w:spacing w:after="0" w:line="200" w:lineRule="exact"/>
        <w:rPr>
          <w:sz w:val="20"/>
          <w:szCs w:val="20"/>
          <w:color w:val="auto"/>
        </w:rPr>
      </w:pPr>
    </w:p>
    <w:p>
      <w:pPr>
        <w:spacing w:after="0" w:line="26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Michael J. Foster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Senior Vice President</w:t>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10.4</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NOTICE PERIOD EXTENSION</w:t>
      </w:r>
    </w:p>
    <w:p>
      <w:pPr>
        <w:spacing w:after="0" w:line="200" w:lineRule="exact"/>
        <w:rPr>
          <w:sz w:val="20"/>
          <w:szCs w:val="20"/>
          <w:color w:val="auto"/>
        </w:rPr>
      </w:pPr>
    </w:p>
    <w:p>
      <w:pPr>
        <w:spacing w:after="0" w:line="255" w:lineRule="exact"/>
        <w:rPr>
          <w:sz w:val="20"/>
          <w:szCs w:val="20"/>
          <w:color w:val="auto"/>
        </w:rPr>
      </w:pPr>
    </w:p>
    <w:p>
      <w:pPr>
        <w:ind w:right="560"/>
        <w:spacing w:after="0"/>
        <w:rPr>
          <w:sz w:val="20"/>
          <w:szCs w:val="20"/>
          <w:color w:val="auto"/>
        </w:rPr>
      </w:pPr>
      <w:r>
        <w:rPr>
          <w:rFonts w:ascii="Arial" w:cs="Arial" w:eastAsia="Arial" w:hAnsi="Arial"/>
          <w:sz w:val="22"/>
          <w:szCs w:val="22"/>
          <w:color w:val="auto"/>
        </w:rPr>
        <w:t>Mark Behrman (“Executive”) and LSB Industries, Inc., a Delaware corporation (“Company”), entered into an employment agreement effective as of December 31, 2015 (“Employment Agreement”), the initial term of which is scheduled to expire on December 30, 2018.</w:t>
      </w:r>
    </w:p>
    <w:p>
      <w:pPr>
        <w:spacing w:after="0" w:line="200" w:lineRule="exact"/>
        <w:rPr>
          <w:sz w:val="20"/>
          <w:szCs w:val="20"/>
          <w:color w:val="auto"/>
        </w:rPr>
      </w:pPr>
    </w:p>
    <w:p>
      <w:pPr>
        <w:ind w:right="460"/>
        <w:spacing w:after="0" w:line="328" w:lineRule="auto"/>
        <w:rPr>
          <w:sz w:val="20"/>
          <w:szCs w:val="20"/>
          <w:color w:val="auto"/>
        </w:rPr>
      </w:pPr>
      <w:r>
        <w:rPr>
          <w:rFonts w:ascii="Arial" w:cs="Arial" w:eastAsia="Arial" w:hAnsi="Arial"/>
          <w:sz w:val="19"/>
          <w:szCs w:val="19"/>
          <w:color w:val="auto"/>
        </w:rPr>
        <w:t>The term of the Employment Agreement automatically would be extended for another year through December 30, 2019 unless either party elects not to extend the Employment Agreement by giving written notice to the other party by July 4, 2018.</w:t>
      </w:r>
    </w:p>
    <w:p>
      <w:pPr>
        <w:spacing w:after="0" w:line="119"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Since Executive and the Company are discussing potential changes to the Employment Agreement and such discussions may impact their decision whether to provide notice of an election not to extend the Employment Agreement, both Executive and the Company previously agreed to an extension until September 30, 2018 to provide notice and now agree that Section 1 of the Employment Agreement is hereby further amended such that the deadline for providing notice to the other party of an election not to extend the Employment Agreement for another year commencing December 31, 2018 shall be December 7, 2018.</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In all other respects, the Employment Agreement shall continue in effect.</w:t>
      </w:r>
    </w:p>
    <w:p>
      <w:pPr>
        <w:spacing w:after="0" w:line="220" w:lineRule="exact"/>
        <w:rPr>
          <w:sz w:val="20"/>
          <w:szCs w:val="20"/>
          <w:color w:val="auto"/>
        </w:rPr>
      </w:pPr>
    </w:p>
    <w:p>
      <w:pPr>
        <w:ind w:right="440"/>
        <w:spacing w:after="0" w:line="251" w:lineRule="auto"/>
        <w:rPr>
          <w:sz w:val="20"/>
          <w:szCs w:val="20"/>
          <w:color w:val="auto"/>
        </w:rPr>
      </w:pPr>
      <w:r>
        <w:rPr>
          <w:rFonts w:ascii="Arial" w:cs="Arial" w:eastAsia="Arial" w:hAnsi="Arial"/>
          <w:sz w:val="22"/>
          <w:szCs w:val="22"/>
          <w:color w:val="auto"/>
        </w:rPr>
        <w:t>IN WITNESS WHEREOF, the undersigned have duly executed and delivered this Notice Period Extension or have caused this Notice Period Extension to be duly executed and delivered on their behalf.</w:t>
      </w:r>
    </w:p>
    <w:p>
      <w:pPr>
        <w:spacing w:after="0" w:line="200" w:lineRule="exact"/>
        <w:rPr>
          <w:sz w:val="20"/>
          <w:szCs w:val="20"/>
          <w:color w:val="auto"/>
        </w:rPr>
      </w:pPr>
    </w:p>
    <w:p>
      <w:pPr>
        <w:spacing w:after="0" w:line="210" w:lineRule="exact"/>
        <w:rPr>
          <w:sz w:val="20"/>
          <w:szCs w:val="20"/>
          <w:color w:val="auto"/>
        </w:rPr>
      </w:pPr>
    </w:p>
    <w:p>
      <w:pPr>
        <w:ind w:left="6680"/>
        <w:spacing w:after="0"/>
        <w:rPr>
          <w:sz w:val="20"/>
          <w:szCs w:val="20"/>
          <w:color w:val="auto"/>
        </w:rPr>
      </w:pPr>
      <w:r>
        <w:rPr>
          <w:rFonts w:ascii="Arial" w:cs="Arial" w:eastAsia="Arial" w:hAnsi="Arial"/>
          <w:sz w:val="22"/>
          <w:szCs w:val="22"/>
          <w:b w:val="1"/>
          <w:bCs w:val="1"/>
          <w:color w:val="auto"/>
        </w:rPr>
        <w:t>EXECUTIVE</w:t>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Mark Behrman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80"/>
        <w:spacing w:after="0"/>
        <w:rPr>
          <w:sz w:val="20"/>
          <w:szCs w:val="20"/>
          <w:color w:val="auto"/>
        </w:rPr>
      </w:pPr>
      <w:r>
        <w:rPr>
          <w:rFonts w:ascii="Arial" w:cs="Arial" w:eastAsia="Arial" w:hAnsi="Arial"/>
          <w:sz w:val="22"/>
          <w:szCs w:val="22"/>
          <w:b w:val="1"/>
          <w:bCs w:val="1"/>
          <w:color w:val="auto"/>
        </w:rPr>
        <w:t>LSB INDUSTRIES, INC.</w:t>
      </w:r>
    </w:p>
    <w:p>
      <w:pPr>
        <w:spacing w:after="0" w:line="200" w:lineRule="exact"/>
        <w:rPr>
          <w:sz w:val="20"/>
          <w:szCs w:val="20"/>
          <w:color w:val="auto"/>
        </w:rPr>
      </w:pPr>
    </w:p>
    <w:p>
      <w:pPr>
        <w:spacing w:after="0" w:line="27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Daniel D. Greenwell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Chief Executive Officer</w:t>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10.5</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NOTICE PERIOD EXTENSION</w:t>
      </w:r>
    </w:p>
    <w:p>
      <w:pPr>
        <w:spacing w:after="0" w:line="200" w:lineRule="exact"/>
        <w:rPr>
          <w:sz w:val="20"/>
          <w:szCs w:val="20"/>
          <w:color w:val="auto"/>
        </w:rPr>
      </w:pPr>
    </w:p>
    <w:p>
      <w:pPr>
        <w:spacing w:after="0" w:line="255"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Michael J. Foster (“Executive”) and LSB Industries, Inc., a Delaware corporation (“Company”), entered into an employment agreement effective as of January 5, 2016 (“Employment Agreement”), the initial term of which is scheduled to expire on January 4, 2019.</w:t>
      </w:r>
    </w:p>
    <w:p>
      <w:pPr>
        <w:spacing w:after="0" w:line="200" w:lineRule="exact"/>
        <w:rPr>
          <w:sz w:val="20"/>
          <w:szCs w:val="20"/>
          <w:color w:val="auto"/>
        </w:rPr>
      </w:pPr>
    </w:p>
    <w:p>
      <w:pPr>
        <w:ind w:right="240"/>
        <w:spacing w:after="0" w:line="328" w:lineRule="auto"/>
        <w:rPr>
          <w:sz w:val="20"/>
          <w:szCs w:val="20"/>
          <w:color w:val="auto"/>
        </w:rPr>
      </w:pPr>
      <w:r>
        <w:rPr>
          <w:rFonts w:ascii="Arial" w:cs="Arial" w:eastAsia="Arial" w:hAnsi="Arial"/>
          <w:sz w:val="19"/>
          <w:szCs w:val="19"/>
          <w:color w:val="auto"/>
        </w:rPr>
        <w:t>The term of the Employment Agreement automatically would be extended for another year through January 4, 2020 unless either party elects not to extend the Employment Agreement by giving written notice to the other party by July 9, 2018.</w:t>
      </w:r>
    </w:p>
    <w:p>
      <w:pPr>
        <w:spacing w:after="0" w:line="119"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Since Executive and the Company are discussing potential changes to the Employment Agreement and such discussions may impact their decision whether to provide notice of an election not to extend the Employment Agreement, both Executive and the Company previously agreed to an extension until September 30, 2018 to provide notice and now agree that Section 1 of the Employment Agreement is hereby further amended such that the deadline for providing notice to the other party of an election not to extend the Employment Agreement for another year commencing January 5, 2019 shall be December 7, 2018.</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In all other respects, the Employment Agreement shall continue in effect.</w:t>
      </w:r>
    </w:p>
    <w:p>
      <w:pPr>
        <w:spacing w:after="0" w:line="220" w:lineRule="exact"/>
        <w:rPr>
          <w:sz w:val="20"/>
          <w:szCs w:val="20"/>
          <w:color w:val="auto"/>
        </w:rPr>
      </w:pPr>
    </w:p>
    <w:p>
      <w:pPr>
        <w:ind w:right="440"/>
        <w:spacing w:after="0" w:line="251" w:lineRule="auto"/>
        <w:rPr>
          <w:sz w:val="20"/>
          <w:szCs w:val="20"/>
          <w:color w:val="auto"/>
        </w:rPr>
      </w:pPr>
      <w:r>
        <w:rPr>
          <w:rFonts w:ascii="Arial" w:cs="Arial" w:eastAsia="Arial" w:hAnsi="Arial"/>
          <w:sz w:val="22"/>
          <w:szCs w:val="22"/>
          <w:color w:val="auto"/>
        </w:rPr>
        <w:t>IN WITNESS WHEREOF, the undersigned have duly executed and delivered this Notice Period Extension or have caused this Notice Period Extension to be duly executed and delivered on their behalf.</w:t>
      </w:r>
    </w:p>
    <w:p>
      <w:pPr>
        <w:spacing w:after="0" w:line="200" w:lineRule="exact"/>
        <w:rPr>
          <w:sz w:val="20"/>
          <w:szCs w:val="20"/>
          <w:color w:val="auto"/>
        </w:rPr>
      </w:pPr>
    </w:p>
    <w:p>
      <w:pPr>
        <w:spacing w:after="0" w:line="210" w:lineRule="exact"/>
        <w:rPr>
          <w:sz w:val="20"/>
          <w:szCs w:val="20"/>
          <w:color w:val="auto"/>
        </w:rPr>
      </w:pPr>
    </w:p>
    <w:p>
      <w:pPr>
        <w:ind w:left="6680"/>
        <w:spacing w:after="0"/>
        <w:rPr>
          <w:sz w:val="20"/>
          <w:szCs w:val="20"/>
          <w:color w:val="auto"/>
        </w:rPr>
      </w:pPr>
      <w:r>
        <w:rPr>
          <w:rFonts w:ascii="Arial" w:cs="Arial" w:eastAsia="Arial" w:hAnsi="Arial"/>
          <w:sz w:val="22"/>
          <w:szCs w:val="22"/>
          <w:b w:val="1"/>
          <w:bCs w:val="1"/>
          <w:color w:val="auto"/>
        </w:rPr>
        <w:t>EXECUTIVE</w:t>
      </w:r>
    </w:p>
    <w:p>
      <w:pPr>
        <w:spacing w:after="0" w:line="2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Foster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J.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80"/>
        <w:spacing w:after="0"/>
        <w:rPr>
          <w:sz w:val="20"/>
          <w:szCs w:val="20"/>
          <w:color w:val="auto"/>
        </w:rPr>
      </w:pPr>
      <w:r>
        <w:rPr>
          <w:rFonts w:ascii="Arial" w:cs="Arial" w:eastAsia="Arial" w:hAnsi="Arial"/>
          <w:sz w:val="22"/>
          <w:szCs w:val="22"/>
          <w:b w:val="1"/>
          <w:bCs w:val="1"/>
          <w:color w:val="auto"/>
        </w:rPr>
        <w:t>LSB INDUSTRIES, INC.</w:t>
      </w:r>
    </w:p>
    <w:p>
      <w:pPr>
        <w:spacing w:after="0" w:line="200" w:lineRule="exact"/>
        <w:rPr>
          <w:sz w:val="20"/>
          <w:szCs w:val="20"/>
          <w:color w:val="auto"/>
        </w:rPr>
      </w:pPr>
    </w:p>
    <w:p>
      <w:pPr>
        <w:spacing w:after="0" w:line="26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Daniel D. Greenwell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Chief Executive Officer</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D. Greenwell, certify that:</w:t>
      </w:r>
    </w:p>
    <w:p>
      <w:pPr>
        <w:spacing w:after="0" w:line="117"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540" w:hanging="506"/>
        <w:spacing w:after="0" w:line="342" w:lineRule="auto"/>
        <w:tabs>
          <w:tab w:leader="none" w:pos="15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540" w:hanging="506"/>
        <w:spacing w:after="0" w:line="264" w:lineRule="auto"/>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40" w:hanging="506"/>
        <w:spacing w:after="0" w:line="308" w:lineRule="auto"/>
        <w:tabs>
          <w:tab w:leader="none" w:pos="15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540" w:hanging="506"/>
        <w:spacing w:after="0" w:line="277" w:lineRule="auto"/>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D. Greenwell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President, Chief Executive Officer andChairman of</w:t>
      </w:r>
    </w:p>
    <w:p>
      <w:pPr>
        <w:spacing w:after="0"/>
        <w:rPr>
          <w:sz w:val="20"/>
          <w:szCs w:val="20"/>
          <w:color w:val="auto"/>
        </w:rPr>
      </w:pPr>
      <w:r>
        <w:rPr>
          <w:rFonts w:ascii="Arial" w:cs="Arial" w:eastAsia="Arial" w:hAnsi="Arial"/>
          <w:sz w:val="22"/>
          <w:szCs w:val="22"/>
          <w:color w:val="auto"/>
        </w:rPr>
        <w:t>the Board of Directors</w:t>
      </w:r>
    </w:p>
    <w:p>
      <w:pPr>
        <w:sectPr>
          <w:pgSz w:w="11900" w:h="16838" w:orient="portrait"/>
          <w:cols w:equalWidth="0" w:num="1">
            <w:col w:w="11420"/>
          </w:cols>
          <w:pgMar w:left="240" w:top="337"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T. Behrman, certify that:</w:t>
      </w:r>
    </w:p>
    <w:p>
      <w:pPr>
        <w:spacing w:after="0" w:line="117"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540" w:hanging="506"/>
        <w:spacing w:after="0" w:line="342" w:lineRule="auto"/>
        <w:tabs>
          <w:tab w:leader="none" w:pos="15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540" w:hanging="506"/>
        <w:spacing w:after="0" w:line="264" w:lineRule="auto"/>
        <w:tabs>
          <w:tab w:leader="none" w:pos="15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40" w:hanging="506"/>
        <w:spacing w:after="0" w:line="308" w:lineRule="auto"/>
        <w:tabs>
          <w:tab w:leader="none" w:pos="154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540" w:hanging="506"/>
        <w:spacing w:after="0" w:line="277" w:lineRule="auto"/>
        <w:tabs>
          <w:tab w:leader="none" w:pos="15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T. Behrman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of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337"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September 30, 2018 as filed with the Securities and Exchange Commission on the date hereof (the “Report”). I, Daniel D. Greenwell, President and Chief Executive Officer of LSB, certify pursuant to 18 U.S.C. §1350, as adopted pursuant to §906 of the Sarbanes-Oxley Act of 2002, that:</w:t>
      </w:r>
    </w:p>
    <w:p>
      <w:pPr>
        <w:spacing w:after="0" w:line="73"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Daniel D. Greenwell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of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October 24, 2018</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420"/>
          </w:cols>
          <w:pgMar w:left="240" w:top="337"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September 30, 2018 as filed with the Securities and Exchange Commission on the date hereof (the “Report”), I, Mark T. Behrman, Executive Vice President of Finance and Chief Financial Officer of LSB, certify pursuant to 18 U.S.C. §1350, as adopted pursuant to §906 of the Sarbanes-Oxley Act of 2002, that:</w:t>
      </w:r>
    </w:p>
    <w:p>
      <w:pPr>
        <w:spacing w:after="0" w:line="73"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Mark T. Behrman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of Finance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October 24, 2018</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upperLetter"/>
      <w:start w:val="1"/>
    </w:lvl>
  </w:abstractNum>
  <w:abstractNum w:abstractNumId="6">
    <w:nsid w:val="7C83E458"/>
    <w:multiLevelType w:val="hybridMultilevel"/>
    <w:lvl w:ilvl="0">
      <w:lvlJc w:val="left"/>
      <w:lvlText w:val="(%1)"/>
      <w:numFmt w:val="upperLetter"/>
      <w:start w:val="2"/>
    </w:lvl>
  </w:abstractNum>
  <w:abstractNum w:abstractNumId="7">
    <w:nsid w:val="257130A3"/>
    <w:multiLevelType w:val="hybridMultilevel"/>
    <w:lvl w:ilvl="0">
      <w:lvlJc w:val="left"/>
      <w:lvlText w:val="(%1)"/>
      <w:numFmt w:val="upperLetter"/>
      <w:start w:val="3"/>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71" Type="http://schemas.openxmlformats.org/officeDocument/2006/relationships/hyperlink" Target="http://www.sec.gov/Archives/edgar/data/60714/000119312513084410/d447083dex3i1.htm" TargetMode="External"/><Relationship Id="rId72" Type="http://schemas.openxmlformats.org/officeDocument/2006/relationships/hyperlink" Target="http://www.sec.gov/Archives/edgar/data/60714/000119312514323405/d781455dex3ii.htm" TargetMode="External"/><Relationship Id="rId73" Type="http://schemas.openxmlformats.org/officeDocument/2006/relationships/hyperlink" Target="http://www.sec.gov/Archives/edgar/data/60714/000119312515161375/d918969dex3ii.htm" TargetMode="External"/><Relationship Id="rId74" Type="http://schemas.openxmlformats.org/officeDocument/2006/relationships/hyperlink" Target="http://www.sec.gov/Archives/edgar/data/60714/000119312515397856/d22963dex3ii.htm" TargetMode="External"/><Relationship Id="rId75" Type="http://schemas.openxmlformats.org/officeDocument/2006/relationships/hyperlink" Target="http://www.sec.gov/Archives/edgar/data/60714/000119312515415325/d102136dex3ii.htm" TargetMode="External"/><Relationship Id="rId76" Type="http://schemas.openxmlformats.org/officeDocument/2006/relationships/hyperlink" Target="http://www.sec.gov/Archives/edgar/data/60714/000119312518303142/d635267dex41.htm" TargetMode="External"/><Relationship Id="rId77" Type="http://schemas.openxmlformats.org/officeDocument/2006/relationships/hyperlink" Target="http://www.sec.gov/Archives/edgar/data/60714/000119312518303142/d635267dex42.htm" TargetMode="External"/><Relationship Id="rId78" Type="http://schemas.openxmlformats.org/officeDocument/2006/relationships/hyperlink" Target="http://www.sec.gov/Archives/edgar/data/60714/000119312518303142/d635267dex101.htm" TargetMode="External"/><Relationship Id="rId79" Type="http://schemas.openxmlformats.org/officeDocument/2006/relationships/hyperlink" Target="http://www.sec.gov/Archives/edgar/data/60714/000119312518303142/d63526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2019-12-28T19:14:19Z</dcterms:created>
  <dcterms:modified xsi:type="dcterms:W3CDTF">2019-12-28T19:14:19Z</dcterms:modified>
</cp:coreProperties>
</file>