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2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UNITED STATES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center"/>
        <w:ind w:right="-2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SECURITIES AND EXCHANGE COMMISSION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jc w:val="center"/>
        <w:ind w:right="-2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Washington, D.C. 20549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jc w:val="center"/>
        <w:ind w:right="-2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SCHEDULE 14A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jc w:val="center"/>
        <w:ind w:right="-2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Proxy Statement Pursuant to Section 14(a) of the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-2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Securities Exchange Act of 1934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</w:p>
    <w:p>
      <w:pPr>
        <w:spacing w:after="0" w:line="92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0" w:hanging="396"/>
        <w:spacing w:after="0"/>
        <w:tabs>
          <w:tab w:leader="none" w:pos="40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Preliminary Proxy Statement</w:t>
      </w:r>
    </w:p>
    <w:p>
      <w:pPr>
        <w:spacing w:after="0" w:line="5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00" w:hanging="396"/>
        <w:spacing w:after="0"/>
        <w:tabs>
          <w:tab w:leader="none" w:pos="40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Confidential, for Use of the Commission Only (as permitted by Rule 14a-6(e)(2))</w:t>
      </w:r>
    </w:p>
    <w:p>
      <w:pPr>
        <w:spacing w:after="0" w:line="49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00" w:hanging="396"/>
        <w:spacing w:after="0"/>
        <w:tabs>
          <w:tab w:leader="none" w:pos="40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Proxy Statement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0" w:hanging="396"/>
        <w:spacing w:after="0"/>
        <w:tabs>
          <w:tab w:leader="none" w:pos="40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Additional Materials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0" w:hanging="396"/>
        <w:spacing w:after="0"/>
        <w:tabs>
          <w:tab w:leader="none" w:pos="40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Soliciting Material Pursuant to §240.14a-12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center"/>
        <w:ind w:right="-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3"/>
          <w:szCs w:val="43"/>
          <w:b w:val="1"/>
          <w:bCs w:val="1"/>
          <w:color w:val="auto"/>
        </w:rPr>
        <w:t>LSB Industries,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53975</wp:posOffset>
            </wp:positionV>
            <wp:extent cx="617220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4" w:lineRule="exact"/>
        <w:rPr>
          <w:sz w:val="24"/>
          <w:szCs w:val="24"/>
          <w:color w:val="auto"/>
        </w:rPr>
      </w:pPr>
    </w:p>
    <w:p>
      <w:pPr>
        <w:jc w:val="center"/>
        <w:ind w:right="-3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94615</wp:posOffset>
            </wp:positionV>
            <wp:extent cx="617220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1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Payment of Filing Fee (Check the appropriate box):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400" w:hanging="396"/>
        <w:spacing w:after="0"/>
        <w:tabs>
          <w:tab w:leader="none" w:pos="40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No fee required.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00" w:hanging="396"/>
        <w:spacing w:after="0"/>
        <w:tabs>
          <w:tab w:leader="none" w:pos="40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Fee paid previously with preliminary materials.</w:t>
      </w:r>
    </w:p>
    <w:p>
      <w:pPr>
        <w:spacing w:after="0" w:line="63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00" w:hanging="396"/>
        <w:spacing w:after="0"/>
        <w:tabs>
          <w:tab w:leader="none" w:pos="40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Arial" w:cs="Arial" w:eastAsia="Arial" w:hAnsi="Arial"/>
          <w:sz w:val="17"/>
          <w:szCs w:val="17"/>
          <w:color w:val="333333"/>
        </w:rPr>
        <w:t>Fee computed on table in exhibit required by Item 25(b) per Exchange Act Rules 14a-6(i)(1)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-429895</wp:posOffset>
            </wp:positionH>
            <wp:positionV relativeFrom="paragraph">
              <wp:posOffset>4564380</wp:posOffset>
            </wp:positionV>
            <wp:extent cx="7037705" cy="425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7705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9379"/>
          </w:cols>
          <w:pgMar w:left="1080" w:top="922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637540</wp:posOffset>
            </wp:positionV>
            <wp:extent cx="7157720" cy="84137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8413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637540</wp:posOffset>
            </wp:positionV>
            <wp:extent cx="7157720" cy="84137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8413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2026-04-15T05:26:45Z</dcterms:created>
  <dcterms:modified xsi:type="dcterms:W3CDTF">2026-04-15T05:26:45Z</dcterms:modified>
</cp:coreProperties>
</file>