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ind w:left="500" w:right="20" w:hanging="492"/>
        <w:spacing w:after="0" w:line="248"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18"/>
        </w:trPr>
        <w:tc>
          <w:tcPr>
            <w:tcW w:w="328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-213995</wp:posOffset>
            </wp:positionV>
            <wp:extent cx="457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8"/>
        </w:trPr>
        <w:tc>
          <w:tcPr>
            <w:tcW w:w="7400" w:type="dxa"/>
            <w:vAlign w:val="bottom"/>
          </w:tcPr>
          <w:p>
            <w:pPr>
              <w:jc w:val="center"/>
              <w:ind w:right="27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00" w:type="dxa"/>
            <w:vAlign w:val="bottom"/>
          </w:tcPr>
          <w:p>
            <w:pPr>
              <w:jc w:val="center"/>
              <w:ind w:right="2762"/>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1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400" w:type="dxa"/>
            <w:vAlign w:val="bottom"/>
          </w:tcPr>
          <w:p>
            <w:pPr>
              <w:jc w:val="center"/>
              <w:ind w:right="274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7400" w:type="dxa"/>
            <w:vAlign w:val="bottom"/>
          </w:tcPr>
          <w:p>
            <w:pPr>
              <w:ind w:left="2940"/>
              <w:spacing w:after="0"/>
              <w:rPr>
                <w:sz w:val="20"/>
                <w:szCs w:val="20"/>
                <w:color w:val="auto"/>
              </w:rPr>
            </w:pPr>
            <w:r>
              <w:rPr>
                <w:rFonts w:ascii="Arial" w:cs="Arial" w:eastAsia="Arial" w:hAnsi="Arial"/>
                <w:sz w:val="14"/>
                <w:szCs w:val="14"/>
                <w:b w:val="1"/>
                <w:bCs w:val="1"/>
                <w:color w:val="auto"/>
                <w:w w:val="93"/>
              </w:rPr>
              <w:t xml:space="preserve">(Registrant's telephone number, including area code) </w:t>
            </w:r>
            <w:r>
              <w:rPr>
                <w:rFonts w:ascii="Arial" w:cs="Arial" w:eastAsia="Arial" w:hAnsi="Arial"/>
                <w:sz w:val="17"/>
                <w:szCs w:val="17"/>
                <w:b w:val="1"/>
                <w:bCs w:val="1"/>
                <w:color w:val="auto"/>
                <w:w w:val="93"/>
              </w:rPr>
              <w:t>(405) 235-4546</w:t>
            </w:r>
          </w:p>
        </w:tc>
        <w:tc>
          <w:tcPr>
            <w:tcW w:w="1180" w:type="dxa"/>
            <w:vAlign w:val="bottom"/>
          </w:tcPr>
          <w:p>
            <w:pPr>
              <w:spacing w:after="0"/>
              <w:rPr>
                <w:sz w:val="24"/>
                <w:szCs w:val="24"/>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1"/>
        </w:trPr>
        <w:tc>
          <w:tcPr>
            <w:tcW w:w="4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LXU</w:t>
            </w:r>
          </w:p>
        </w:tc>
        <w:tc>
          <w:tcPr>
            <w:tcW w:w="5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63"/>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00" w:type="dxa"/>
            <w:vAlign w:val="bottom"/>
            <w:gridSpan w:val="2"/>
            <w:vMerge w:val="continue"/>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186"/>
        </w:trPr>
        <w:tc>
          <w:tcPr>
            <w:tcW w:w="440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4" w:lineRule="exact"/>
        <w:rPr>
          <w:sz w:val="24"/>
          <w:szCs w:val="24"/>
          <w:color w:val="auto"/>
        </w:rPr>
      </w:pPr>
    </w:p>
    <w:p>
      <w:pPr>
        <w:jc w:val="both"/>
        <w:spacing w:after="0" w:line="28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8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020" w:type="dxa"/>
            <w:vAlign w:val="bottom"/>
          </w:tcPr>
          <w:p>
            <w:pPr>
              <w:ind w:left="288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88,851,277 shares as of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1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3"/>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II – Other Information</w:t>
            </w:r>
          </w:p>
        </w:tc>
        <w:tc>
          <w:tcPr>
            <w:tcW w:w="6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832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87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53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Mining Safety Disclosures</w:t>
              </w:r>
            </w:hyperlink>
          </w:p>
        </w:tc>
        <w:tc>
          <w:tcPr>
            <w:tcW w:w="73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600" w:type="dxa"/>
            <w:vAlign w:val="bottom"/>
            <w:tcBorders>
              <w:top w:val="single" w:sz="8" w:color="0000EE"/>
            </w:tcBorders>
            <w:gridSpan w:val="4"/>
          </w:tcPr>
          <w:p>
            <w:pPr>
              <w:spacing w:after="0"/>
              <w:rPr>
                <w:sz w:val="24"/>
                <w:szCs w:val="24"/>
                <w:color w:val="auto"/>
              </w:rPr>
            </w:pPr>
          </w:p>
        </w:tc>
        <w:tc>
          <w:tcPr>
            <w:tcW w:w="77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88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840" w:type="dxa"/>
            <w:vAlign w:val="bottom"/>
            <w:gridSpan w:val="10"/>
          </w:tcPr>
          <w:p>
            <w:pPr>
              <w:jc w:val="right"/>
              <w:ind w:right="1700"/>
              <w:spacing w:after="0"/>
              <w:rPr>
                <w:sz w:val="20"/>
                <w:szCs w:val="20"/>
                <w:color w:val="auto"/>
              </w:rPr>
            </w:pPr>
            <w:r>
              <w:rPr>
                <w:rFonts w:ascii="Arial" w:cs="Arial" w:eastAsia="Arial" w:hAnsi="Arial"/>
                <w:sz w:val="18"/>
                <w:szCs w:val="18"/>
                <w:color w:val="auto"/>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(Information at June 30, 2022 is unaudited)</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r>
      <w:tr>
        <w:trPr>
          <w:trHeight w:val="230"/>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7"/>
        </w:trPr>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6"/>
          </w:tcPr>
          <w:p>
            <w:pPr>
              <w:jc w:val="right"/>
              <w:ind w:right="1360"/>
              <w:spacing w:after="0"/>
              <w:rPr>
                <w:sz w:val="20"/>
                <w:szCs w:val="20"/>
                <w:color w:val="auto"/>
              </w:rPr>
            </w:pPr>
            <w:r>
              <w:rPr>
                <w:rFonts w:ascii="Arial" w:cs="Arial" w:eastAsia="Arial" w:hAnsi="Arial"/>
                <w:sz w:val="16"/>
                <w:szCs w:val="16"/>
                <w:color w:val="auto"/>
              </w:rPr>
              <w:t>(In Thousands)</w:t>
            </w:r>
          </w:p>
        </w:tc>
      </w:tr>
      <w:tr>
        <w:trPr>
          <w:trHeight w:val="23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4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125,231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325,566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Accounts receivable</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86,902</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Allowance for doubtful accounts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r>
      <w:tr>
        <w:trPr>
          <w:trHeight w:val="223"/>
        </w:trPr>
        <w:tc>
          <w:tcPr>
            <w:tcW w:w="33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4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96,754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Finished goods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14,688</w:t>
            </w:r>
          </w:p>
        </w:tc>
        <w:tc>
          <w:tcPr>
            <w:tcW w:w="120" w:type="dxa"/>
            <w:vAlign w:val="bottom"/>
            <w:shd w:val="clear" w:color="auto" w:fill="CFF0FC"/>
          </w:tcPr>
          <w:p>
            <w:pPr>
              <w:spacing w:after="0"/>
              <w:rPr>
                <w:sz w:val="19"/>
                <w:szCs w:val="19"/>
                <w:color w:val="auto"/>
              </w:rPr>
            </w:pPr>
          </w:p>
        </w:tc>
      </w:tr>
      <w:tr>
        <w:trPr>
          <w:trHeight w:val="230"/>
        </w:trPr>
        <w:tc>
          <w:tcPr>
            <w:tcW w:w="33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Raw materials</w:t>
            </w:r>
          </w:p>
        </w:tc>
        <w:tc>
          <w:tcPr>
            <w:tcW w:w="4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inventories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16,583</w:t>
            </w: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Supplies, prepaid items and other:</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insurance</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14,244</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Precious metals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14,945</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Supplies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26,558</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4"/>
              </w:rPr>
              <w:t>Total supplies, prepaid items and other</w:t>
            </w: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57,981</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243,136</w:t>
            </w:r>
          </w:p>
        </w:tc>
        <w:tc>
          <w:tcPr>
            <w:tcW w:w="120" w:type="dxa"/>
            <w:vAlign w:val="bottom"/>
          </w:tcPr>
          <w:p>
            <w:pPr>
              <w:spacing w:after="0"/>
              <w:rPr>
                <w:sz w:val="19"/>
                <w:szCs w:val="19"/>
                <w:color w:val="auto"/>
              </w:rPr>
            </w:pPr>
          </w:p>
        </w:tc>
      </w:tr>
      <w:tr>
        <w:trPr>
          <w:trHeight w:val="229"/>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839,411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858,480</w:t>
            </w:r>
          </w:p>
        </w:tc>
        <w:tc>
          <w:tcPr>
            <w:tcW w:w="120" w:type="dxa"/>
            <w:vAlign w:val="bottom"/>
          </w:tcPr>
          <w:p>
            <w:pPr>
              <w:spacing w:after="0"/>
              <w:rPr>
                <w:sz w:val="19"/>
                <w:szCs w:val="19"/>
                <w:color w:val="auto"/>
              </w:rPr>
            </w:pPr>
          </w:p>
        </w:tc>
      </w:tr>
      <w:tr>
        <w:trPr>
          <w:trHeight w:val="230"/>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27,317</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Intangible and other assets, net</w:t>
            </w:r>
          </w:p>
        </w:tc>
        <w:tc>
          <w:tcPr>
            <w:tcW w:w="4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Borders>
              <w:bottom w:val="single" w:sz="8" w:color="CFF0FC"/>
            </w:tcBorders>
          </w:tcPr>
          <w:p>
            <w:pPr>
              <w:spacing w:after="0"/>
              <w:rPr>
                <w:sz w:val="19"/>
                <w:szCs w:val="19"/>
                <w:color w:val="auto"/>
              </w:rPr>
            </w:pPr>
          </w:p>
        </w:tc>
      </w:tr>
      <w:tr>
        <w:trPr>
          <w:trHeight w:val="223"/>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31,224</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4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2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1,507,714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1,132,840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2022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December 31,</w:t>
            </w:r>
          </w:p>
        </w:tc>
      </w:tr>
      <w:tr>
        <w:trPr>
          <w:trHeight w:val="230"/>
        </w:trPr>
        <w:tc>
          <w:tcPr>
            <w:tcW w:w="7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7"/>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right"/>
              <w:ind w:right="1380"/>
              <w:spacing w:after="0"/>
              <w:rPr>
                <w:sz w:val="20"/>
                <w:szCs w:val="20"/>
                <w:color w:val="auto"/>
              </w:rPr>
            </w:pPr>
            <w:r>
              <w:rPr>
                <w:rFonts w:ascii="Arial" w:cs="Arial" w:eastAsia="Arial" w:hAnsi="Arial"/>
                <w:sz w:val="16"/>
                <w:szCs w:val="16"/>
                <w:color w:val="auto"/>
              </w:rPr>
              <w:t>(In Thousands)</w:t>
            </w:r>
          </w:p>
        </w:tc>
      </w:tr>
      <w:tr>
        <w:trPr>
          <w:trHeight w:val="23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69,308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49,458</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Short-term financing</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12,716</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117,292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104,929</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704,427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518,190</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19,568</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Common stock, $.10 par value; 150 million shares authorized, 91.2 million</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shares issued</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9,117</w:t>
            </w:r>
          </w:p>
        </w:tc>
        <w:tc>
          <w:tcPr>
            <w:tcW w:w="120" w:type="dxa"/>
            <w:vAlign w:val="bottom"/>
          </w:tcPr>
          <w:p>
            <w:pPr>
              <w:spacing w:after="0"/>
              <w:rPr>
                <w:sz w:val="20"/>
                <w:szCs w:val="20"/>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495,330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493,161</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Retained earnings (accumulated deficit)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130,910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(31,255)</w:t>
            </w:r>
          </w:p>
        </w:tc>
      </w:tr>
      <w:tr>
        <w:trPr>
          <w:trHeight w:val="223"/>
        </w:trPr>
        <w:tc>
          <w:tcPr>
            <w:tcW w:w="7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635,357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Less treasury stock, at cost:</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2.3 million shares (1.4 million shares at December 31, 2021)</w:t>
            </w: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609,559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460,490</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1,507,714</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1,132,840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w:t>
            </w:r>
          </w:p>
        </w:tc>
      </w:t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47"/>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7"/>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7"/>
          </w:tcPr>
          <w:p>
            <w:pPr>
              <w:jc w:val="right"/>
              <w:ind w:right="60"/>
              <w:spacing w:after="0"/>
              <w:rPr>
                <w:sz w:val="20"/>
                <w:szCs w:val="20"/>
                <w:color w:val="auto"/>
              </w:rPr>
            </w:pPr>
            <w:r>
              <w:rPr>
                <w:rFonts w:ascii="Arial" w:cs="Arial" w:eastAsia="Arial" w:hAnsi="Arial"/>
                <w:sz w:val="16"/>
                <w:szCs w:val="16"/>
                <w:color w:val="auto"/>
                <w:w w:val="90"/>
              </w:rPr>
              <w:t>(In Thousands, Except Per Share Amounts)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284,803</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140,696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483,784</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238,812</w:t>
            </w:r>
          </w:p>
        </w:tc>
        <w:tc>
          <w:tcPr>
            <w:tcW w:w="100" w:type="dxa"/>
            <w:vAlign w:val="bottom"/>
            <w:shd w:val="clear" w:color="auto" w:fill="CFF0FC"/>
          </w:tcPr>
          <w:p>
            <w:pPr>
              <w:spacing w:after="0"/>
              <w:rPr>
                <w:sz w:val="20"/>
                <w:szCs w:val="20"/>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141,879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105,688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250,130</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195,744</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233,654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43,068</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132,658</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212,629</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24,662</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Loss (gain) on extinguishment of debt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(3,408)</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before provision (benefit) for income taxes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23,422</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193,662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162,165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Dividends on convertible preferred stocks</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Dividends on Series E redeemable preferred stock</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Accretion of Series E redeemable preferred stock</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participating securities</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103,399</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162,165</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84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3"/>
                <w:szCs w:val="23"/>
                <w:color w:val="auto"/>
              </w:rPr>
            </w:pP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23"/>
                <w:szCs w:val="23"/>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3"/>
                <w:szCs w:val="23"/>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Non-</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3"/>
              </w:rPr>
              <w:t>Common</w:t>
            </w:r>
          </w:p>
        </w:tc>
        <w:tc>
          <w:tcPr>
            <w:tcW w:w="22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Capital in</w:t>
            </w:r>
          </w:p>
        </w:tc>
        <w:tc>
          <w:tcPr>
            <w:tcW w:w="14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Retained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Common</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Stock-</w:t>
            </w:r>
          </w:p>
        </w:tc>
        <w:tc>
          <w:tcPr>
            <w:tcW w:w="1180" w:type="dxa"/>
            <w:vAlign w:val="bottom"/>
            <w:gridSpan w:val="4"/>
          </w:tcPr>
          <w:p>
            <w:pPr>
              <w:ind w:left="80"/>
              <w:spacing w:after="0"/>
              <w:rPr>
                <w:sz w:val="20"/>
                <w:szCs w:val="20"/>
                <w:color w:val="auto"/>
              </w:rPr>
            </w:pPr>
            <w:r>
              <w:rPr>
                <w:rFonts w:ascii="Arial" w:cs="Arial" w:eastAsia="Arial" w:hAnsi="Arial"/>
                <w:sz w:val="18"/>
                <w:szCs w:val="18"/>
                <w:color w:val="auto"/>
              </w:rPr>
              <w:t>Redeemable</w:t>
            </w:r>
          </w:p>
        </w:tc>
        <w:tc>
          <w:tcPr>
            <w:tcW w:w="120" w:type="dxa"/>
            <w:vAlign w:val="bottom"/>
          </w:tcPr>
          <w:p>
            <w:pPr>
              <w:spacing w:after="0"/>
              <w:rPr>
                <w:sz w:val="18"/>
                <w:szCs w:val="18"/>
                <w:color w:val="auto"/>
              </w:rPr>
            </w:pPr>
          </w:p>
        </w:tc>
        <w:tc>
          <w:tcPr>
            <w:tcW w:w="600" w:type="dxa"/>
            <w:vAlign w:val="bottom"/>
          </w:tcPr>
          <w:p>
            <w:pPr>
              <w:jc w:val="center"/>
              <w:ind w:right="43"/>
              <w:spacing w:after="0"/>
              <w:rPr>
                <w:sz w:val="20"/>
                <w:szCs w:val="20"/>
                <w:color w:val="auto"/>
              </w:rPr>
            </w:pPr>
            <w:r>
              <w:rPr>
                <w:rFonts w:ascii="Arial" w:cs="Arial" w:eastAsia="Arial" w:hAnsi="Arial"/>
                <w:sz w:val="18"/>
                <w:szCs w:val="18"/>
                <w:color w:val="auto"/>
                <w:w w:val="88"/>
              </w:rPr>
              <w:t>Stock</w:t>
            </w:r>
          </w:p>
        </w:tc>
        <w:tc>
          <w:tcPr>
            <w:tcW w:w="22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Excess of</w:t>
            </w:r>
          </w:p>
        </w:tc>
        <w:tc>
          <w:tcPr>
            <w:tcW w:w="14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Earnings</w:t>
            </w:r>
          </w:p>
        </w:tc>
        <w:tc>
          <w:tcPr>
            <w:tcW w:w="80" w:type="dxa"/>
            <w:vAlign w:val="bottom"/>
          </w:tcPr>
          <w:p>
            <w:pPr>
              <w:spacing w:after="0"/>
              <w:rPr>
                <w:sz w:val="18"/>
                <w:szCs w:val="18"/>
                <w:color w:val="auto"/>
              </w:rPr>
            </w:pPr>
          </w:p>
        </w:tc>
        <w:tc>
          <w:tcPr>
            <w:tcW w:w="920" w:type="dxa"/>
            <w:vAlign w:val="bottom"/>
            <w:gridSpan w:val="3"/>
          </w:tcPr>
          <w:p>
            <w:pPr>
              <w:jc w:val="center"/>
              <w:ind w:right="179"/>
              <w:spacing w:after="0"/>
              <w:rPr>
                <w:sz w:val="20"/>
                <w:szCs w:val="20"/>
                <w:color w:val="auto"/>
              </w:rPr>
            </w:pPr>
            <w:r>
              <w:rPr>
                <w:rFonts w:ascii="Arial" w:cs="Arial" w:eastAsia="Arial" w:hAnsi="Arial"/>
                <w:sz w:val="18"/>
                <w:szCs w:val="18"/>
                <w:color w:val="auto"/>
                <w:w w:val="87"/>
              </w:rPr>
              <w:t>Treasury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Preferred</w:t>
            </w:r>
          </w:p>
        </w:tc>
        <w:tc>
          <w:tcPr>
            <w:tcW w:w="120" w:type="dxa"/>
            <w:vAlign w:val="bottom"/>
          </w:tcPr>
          <w:p>
            <w:pPr>
              <w:spacing w:after="0"/>
              <w:rPr>
                <w:sz w:val="18"/>
                <w:szCs w:val="18"/>
                <w:color w:val="auto"/>
              </w:rPr>
            </w:pPr>
          </w:p>
        </w:tc>
        <w:tc>
          <w:tcPr>
            <w:tcW w:w="600" w:type="dxa"/>
            <w:vAlign w:val="bottom"/>
          </w:tcPr>
          <w:p>
            <w:pPr>
              <w:jc w:val="center"/>
              <w:ind w:right="43"/>
              <w:spacing w:after="0"/>
              <w:rPr>
                <w:sz w:val="20"/>
                <w:szCs w:val="20"/>
                <w:color w:val="auto"/>
              </w:rPr>
            </w:pPr>
            <w:r>
              <w:rPr>
                <w:rFonts w:ascii="Arial" w:cs="Arial" w:eastAsia="Arial" w:hAnsi="Arial"/>
                <w:sz w:val="18"/>
                <w:szCs w:val="18"/>
                <w:color w:val="auto"/>
                <w:w w:val="85"/>
              </w:rPr>
              <w:t>Par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Par</w:t>
            </w:r>
          </w:p>
        </w:tc>
        <w:tc>
          <w:tcPr>
            <w:tcW w:w="116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259"/>
              <w:spacing w:after="0"/>
              <w:rPr>
                <w:sz w:val="20"/>
                <w:szCs w:val="20"/>
                <w:color w:val="auto"/>
              </w:rPr>
            </w:pPr>
            <w:r>
              <w:rPr>
                <w:rFonts w:ascii="Arial" w:cs="Arial" w:eastAsia="Arial" w:hAnsi="Arial"/>
                <w:sz w:val="18"/>
                <w:szCs w:val="18"/>
                <w:color w:val="auto"/>
                <w:w w:val="90"/>
              </w:rPr>
              <w:t>Stock-</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20"/>
                <w:szCs w:val="20"/>
                <w:color w:val="auto"/>
              </w:rPr>
            </w:pPr>
          </w:p>
        </w:tc>
        <w:tc>
          <w:tcPr>
            <w:tcW w:w="600" w:type="dxa"/>
            <w:vAlign w:val="bottom"/>
          </w:tcPr>
          <w:p>
            <w:pPr>
              <w:jc w:val="center"/>
              <w:ind w:right="43"/>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Deficit)</w:t>
            </w:r>
          </w:p>
        </w:tc>
        <w:tc>
          <w:tcPr>
            <w:tcW w:w="80" w:type="dxa"/>
            <w:vAlign w:val="bottom"/>
          </w:tcPr>
          <w:p>
            <w:pPr>
              <w:spacing w:after="0"/>
              <w:rPr>
                <w:sz w:val="20"/>
                <w:szCs w:val="20"/>
                <w:color w:val="auto"/>
              </w:rPr>
            </w:pPr>
          </w:p>
        </w:tc>
        <w:tc>
          <w:tcPr>
            <w:tcW w:w="920" w:type="dxa"/>
            <w:vAlign w:val="bottom"/>
            <w:gridSpan w:val="3"/>
          </w:tcPr>
          <w:p>
            <w:pPr>
              <w:jc w:val="center"/>
              <w:ind w:right="179"/>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Total</w:t>
            </w:r>
          </w:p>
        </w:tc>
      </w:tr>
      <w:tr>
        <w:trPr>
          <w:trHeight w:val="207"/>
        </w:trPr>
        <w:tc>
          <w:tcPr>
            <w:tcW w:w="34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5"/>
          </w:tcPr>
          <w:p>
            <w:pPr>
              <w:jc w:val="right"/>
              <w:ind w:right="480"/>
              <w:spacing w:after="0"/>
              <w:rPr>
                <w:sz w:val="20"/>
                <w:szCs w:val="20"/>
                <w:color w:val="auto"/>
              </w:rPr>
            </w:pPr>
            <w:r>
              <w:rPr>
                <w:rFonts w:ascii="Arial" w:cs="Arial" w:eastAsia="Arial" w:hAnsi="Arial"/>
                <w:sz w:val="16"/>
                <w:szCs w:val="16"/>
                <w:color w:val="auto"/>
              </w:rPr>
              <w:t>(In Thousands)</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5"/>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2021</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91,168</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(1,375)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493,161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(31,255)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(10,533)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460,490</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58,766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58,766</w:t>
            </w:r>
          </w:p>
        </w:tc>
        <w:tc>
          <w:tcPr>
            <w:tcW w:w="100" w:type="dxa"/>
            <w:vAlign w:val="bottom"/>
          </w:tcPr>
          <w:p>
            <w:pPr>
              <w:spacing w:after="0"/>
              <w:rPr>
                <w:sz w:val="14"/>
                <w:szCs w:val="14"/>
                <w:color w:val="auto"/>
              </w:rPr>
            </w:pP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Other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(1,871)</w:t>
            </w: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(1,871)</w:t>
            </w:r>
          </w:p>
        </w:tc>
      </w:tr>
      <w:tr>
        <w:trPr>
          <w:trHeight w:val="156"/>
        </w:trPr>
        <w:tc>
          <w:tcPr>
            <w:tcW w:w="3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2022</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91,168</w:t>
            </w: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9,117</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493,964</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27,511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(12,404)</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518,188</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103,399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103,399</w:t>
            </w:r>
          </w:p>
        </w:tc>
        <w:tc>
          <w:tcPr>
            <w:tcW w:w="100" w:type="dxa"/>
            <w:vAlign w:val="bottom"/>
          </w:tcPr>
          <w:p>
            <w:pPr>
              <w:spacing w:after="0"/>
              <w:rPr>
                <w:sz w:val="14"/>
                <w:szCs w:val="14"/>
                <w:color w:val="auto"/>
              </w:rPr>
            </w:pP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1,366</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Purchase of common stock</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(13,394)</w:t>
            </w: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(13,394)</w:t>
            </w:r>
          </w:p>
        </w:tc>
      </w:tr>
      <w:tr>
        <w:trPr>
          <w:trHeight w:val="156"/>
        </w:trPr>
        <w:tc>
          <w:tcPr>
            <w:tcW w:w="34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2022</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91,168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(2,317)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9,117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495,330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130,910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(25,798</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609,559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39,926</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(2,075)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197,350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(41,487)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(13,213)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149,643</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Net loss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(13,279)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(13,279)</w:t>
            </w:r>
          </w:p>
        </w:tc>
      </w:tr>
      <w:tr>
        <w:trPr>
          <w:trHeight w:val="143"/>
        </w:trPr>
        <w:tc>
          <w:tcPr>
            <w:tcW w:w="34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(9,511)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(9,511)</w:t>
            </w: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Accretion of redeemable preferred stock</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(511)</w:t>
            </w: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740" w:type="dxa"/>
            <w:vAlign w:val="bottom"/>
          </w:tcPr>
          <w:p>
            <w:pPr>
              <w:jc w:val="right"/>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(5,335)</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w:t>
            </w:r>
          </w:p>
        </w:tc>
      </w:tr>
      <w:tr>
        <w:trPr>
          <w:trHeight w:val="156"/>
        </w:trPr>
        <w:tc>
          <w:tcPr>
            <w:tcW w:w="3420" w:type="dxa"/>
            <w:vAlign w:val="bottom"/>
          </w:tcPr>
          <w:p>
            <w:pPr>
              <w:spacing w:after="0" w:line="155" w:lineRule="exact"/>
              <w:rPr>
                <w:sz w:val="20"/>
                <w:szCs w:val="20"/>
                <w:color w:val="auto"/>
              </w:rPr>
            </w:pPr>
            <w:r>
              <w:rPr>
                <w:rFonts w:ascii="Arial" w:cs="Arial" w:eastAsia="Arial" w:hAnsi="Arial"/>
                <w:sz w:val="14"/>
                <w:szCs w:val="14"/>
                <w:color w:val="auto"/>
              </w:rPr>
              <w:t>Balance at March 31, 2021</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40,176</w:t>
            </w:r>
          </w:p>
        </w:tc>
        <w:tc>
          <w:tcPr>
            <w:tcW w:w="20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3,000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4,018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192,728</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(64,788)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(7,921)</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127,037</w:t>
            </w:r>
          </w:p>
        </w:tc>
        <w:tc>
          <w:tcPr>
            <w:tcW w:w="100" w:type="dxa"/>
            <w:vAlign w:val="bottom"/>
          </w:tcPr>
          <w:p>
            <w:pPr>
              <w:spacing w:after="0"/>
              <w:rPr>
                <w:sz w:val="13"/>
                <w:szCs w:val="13"/>
                <w:color w:val="auto"/>
              </w:rPr>
            </w:pP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23,670</w:t>
            </w:r>
          </w:p>
        </w:tc>
        <w:tc>
          <w:tcPr>
            <w:tcW w:w="100" w:type="dxa"/>
            <w:vAlign w:val="bottom"/>
            <w:shd w:val="clear" w:color="auto" w:fill="CFF0FC"/>
          </w:tcPr>
          <w:p>
            <w:pPr>
              <w:spacing w:after="0"/>
              <w:rPr>
                <w:sz w:val="14"/>
                <w:szCs w:val="14"/>
                <w:color w:val="auto"/>
              </w:rPr>
            </w:pPr>
          </w:p>
        </w:tc>
      </w:tr>
      <w:tr>
        <w:trPr>
          <w:trHeight w:val="143"/>
        </w:trPr>
        <w:tc>
          <w:tcPr>
            <w:tcW w:w="3420" w:type="dxa"/>
            <w:vAlign w:val="bottom"/>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2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(10,213)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(10,213)</w:t>
            </w: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Accretion of redeemable preferred stock</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(513)</w:t>
            </w: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4"/>
                <w:szCs w:val="14"/>
                <w:color w:val="auto"/>
              </w:rPr>
            </w:pP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Issuance of unrestricted stock</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(1,708)</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Other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r>
      <w:tr>
        <w:trPr>
          <w:trHeight w:val="156"/>
        </w:trPr>
        <w:tc>
          <w:tcPr>
            <w:tcW w:w="34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2021</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40,256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192,082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(51,844)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(6,249)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141,015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Six Months Ended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gridSpan w:val="3"/>
          </w:tcPr>
          <w:p>
            <w:pPr>
              <w:jc w:val="center"/>
              <w:ind w:left="570"/>
              <w:spacing w:after="0"/>
              <w:rPr>
                <w:sz w:val="20"/>
                <w:szCs w:val="20"/>
                <w:color w:val="auto"/>
              </w:rPr>
            </w:pPr>
            <w:r>
              <w:rPr>
                <w:rFonts w:ascii="Arial" w:cs="Arial" w:eastAsia="Arial" w:hAnsi="Arial"/>
                <w:sz w:val="16"/>
                <w:szCs w:val="16"/>
                <w:color w:val="auto"/>
                <w:w w:val="92"/>
              </w:rPr>
              <w:t>(In Thousands)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162,165</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10,391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30,600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extinguishment of debt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(10,000)</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33,883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33,725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(8,631)</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(23,369)</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(19,392)</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insurance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8,070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(1,008)</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other liabilities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(7,900)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220,813</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(16,431)</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(14,849)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(325,566)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(341,934)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debt facility</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revolving debt facility</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6.25% senior secured notes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other long-term debt</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(8,907)</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(5,520)</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short-term financing</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(7,034)</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(9,060)</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Payments of debt-related costs, including</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extinguishment costs</w:t>
            </w: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(4,454)</w:t>
            </w:r>
          </w:p>
        </w:tc>
        <w:tc>
          <w:tcPr>
            <w:tcW w:w="5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treasury stock</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(15,264)</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financing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164,208</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125,231</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accompanying unaudited interim financial statements and notes of LSB Industries, Inc.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2021, filed with the SEC on February 24, 2022, as amended by the </w:t>
      </w:r>
      <w:r>
        <w:rPr>
          <w:rFonts w:ascii="Arial" w:cs="Arial" w:eastAsia="Arial" w:hAnsi="Arial"/>
          <w:sz w:val="16"/>
          <w:szCs w:val="16"/>
          <w:u w:val="single" w:color="auto"/>
          <w:color w:val="auto"/>
        </w:rPr>
        <w:t>Form 10-K/A</w:t>
      </w:r>
      <w:r>
        <w:rPr>
          <w:rFonts w:ascii="Arial" w:cs="Arial" w:eastAsia="Arial" w:hAnsi="Arial"/>
          <w:sz w:val="16"/>
          <w:szCs w:val="16"/>
          <w:color w:val="auto"/>
        </w:rPr>
        <w:t xml:space="preserve"> filed on March 25, 2022 (“2021 Form 10-K”). The accompanying unaudited interim financial statements in this report reflect all adjustments that are, in the opinion of management, necessary for a fair statement of the Company’s results of operations and cash flows for the three-month and six-month periods ended June 30, 2022 and 2021 and the Company’s financial position as of June 30, 2022.</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Basis of Consolidation – </w:t>
      </w:r>
      <w:r>
        <w:rPr>
          <w:rFonts w:ascii="Arial" w:cs="Arial" w:eastAsia="Arial" w:hAnsi="Arial"/>
          <w:sz w:val="18"/>
          <w:szCs w:val="18"/>
          <w:color w:val="auto"/>
        </w:rPr>
        <w:t>LSB and its subsidiaries (the “Company,” “we,” “us,” or “our”) are consolidated in the accompanying condensed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 including all share and per share information relating to the stock split in the form of a stock dividend on October 8, 2021.</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and Canada.</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7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Stock Repurchase Program – </w:t>
      </w:r>
      <w:r>
        <w:rPr>
          <w:rFonts w:ascii="Arial" w:cs="Arial" w:eastAsia="Arial" w:hAnsi="Arial"/>
          <w:sz w:val="16"/>
          <w:szCs w:val="16"/>
          <w:color w:val="auto"/>
        </w:rPr>
        <w:t>During May 2022, our Board authorized a stock repurchase program.</w:t>
      </w:r>
      <w:r>
        <w:rPr>
          <w:rFonts w:ascii="Arial" w:cs="Arial" w:eastAsia="Arial" w:hAnsi="Arial"/>
          <w:sz w:val="16"/>
          <w:szCs w:val="16"/>
          <w:b w:val="1"/>
          <w:bCs w:val="1"/>
          <w:color w:val="auto"/>
        </w:rPr>
        <w:t xml:space="preserve"> </w:t>
      </w:r>
      <w:r>
        <w:rPr>
          <w:rFonts w:ascii="Arial" w:cs="Arial" w:eastAsia="Arial" w:hAnsi="Arial"/>
          <w:sz w:val="16"/>
          <w:szCs w:val="16"/>
          <w:color w:val="444444"/>
          <w:highlight w:val="white"/>
        </w:rPr>
        <w:t>Under the repurchase program, we may repurchase up</w:t>
      </w:r>
      <w:r>
        <w:rPr>
          <w:rFonts w:ascii="Arial" w:cs="Arial" w:eastAsia="Arial" w:hAnsi="Arial"/>
          <w:sz w:val="16"/>
          <w:szCs w:val="16"/>
          <w:b w:val="1"/>
          <w:bCs w:val="1"/>
          <w:color w:val="auto"/>
        </w:rPr>
        <w:t xml:space="preserve"> </w:t>
      </w:r>
      <w:r>
        <w:rPr>
          <w:rFonts w:ascii="Arial" w:cs="Arial" w:eastAsia="Arial" w:hAnsi="Arial"/>
          <w:sz w:val="16"/>
          <w:szCs w:val="16"/>
          <w:color w:val="444444"/>
          <w:highlight w:val="white"/>
        </w:rPr>
        <w:t xml:space="preserve">to </w:t>
      </w:r>
      <w:r>
        <w:rPr>
          <w:rFonts w:ascii="Arial" w:cs="Arial" w:eastAsia="Arial" w:hAnsi="Arial"/>
          <w:sz w:val="16"/>
          <w:szCs w:val="16"/>
          <w:color w:val="000000"/>
        </w:rPr>
        <w:t>$50 million of our outstanding common stock through the duration of the authorization. The repurchase program may be suspended, terminated or</w:t>
      </w:r>
      <w:r>
        <w:rPr>
          <w:rFonts w:ascii="Arial" w:cs="Arial" w:eastAsia="Arial" w:hAnsi="Arial"/>
          <w:sz w:val="16"/>
          <w:szCs w:val="16"/>
          <w:color w:val="444444"/>
          <w:highlight w:val="white"/>
        </w:rPr>
        <w:t xml:space="preserve"> </w:t>
      </w:r>
      <w:r>
        <w:rPr>
          <w:rFonts w:ascii="Arial" w:cs="Arial" w:eastAsia="Arial" w:hAnsi="Arial"/>
          <w:sz w:val="16"/>
          <w:szCs w:val="16"/>
          <w:color w:val="000000"/>
          <w:highlight w:val="white"/>
        </w:rPr>
        <w:t xml:space="preserve">modified at any time for any reason, including market conditions, the cost of repurchasing shares, the availability of alternative investment opportunities, liquidity, and other factors deemed appropriate. The repurchase program does not obligate </w:t>
      </w:r>
      <w:r>
        <w:rPr>
          <w:rFonts w:ascii="Arial" w:cs="Arial" w:eastAsia="Arial" w:hAnsi="Arial"/>
          <w:sz w:val="16"/>
          <w:szCs w:val="16"/>
          <w:color w:val="000000"/>
        </w:rPr>
        <w:t>LSB Industries to purchase any particular number of shares.</w:t>
      </w:r>
      <w:r>
        <w:rPr>
          <w:rFonts w:ascii="Arial" w:cs="Arial" w:eastAsia="Arial" w:hAnsi="Arial"/>
          <w:sz w:val="16"/>
          <w:szCs w:val="16"/>
          <w:color w:val="000000"/>
          <w:highlight w:val="white"/>
        </w:rPr>
        <w:t xml:space="preserve"> During the second quarter of 2022, we repurchased approximately 0.7 million shares at an average cost of approximately $18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-575945</wp:posOffset>
            </wp:positionV>
            <wp:extent cx="646366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3665" cy="1289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-301625</wp:posOffset>
            </wp:positionV>
            <wp:extent cx="214312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128905"/>
                    </a:xfrm>
                    <a:prstGeom prst="rect">
                      <a:avLst/>
                    </a:prstGeom>
                    <a:noFill/>
                  </pic:spPr>
                </pic:pic>
              </a:graphicData>
            </a:graphic>
          </wp:anchor>
        </w:drawing>
      </w:r>
    </w:p>
    <w:p>
      <w:pPr>
        <w:spacing w:after="0" w:line="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 of U.S. treasury bills with an original maturity up to and less than 52 weeks, were considered short-term investments. These investments are carried at cost which approximated fair value.</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measured at fair value. Changes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7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2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ASU 2020-06 </w:t>
      </w:r>
      <w:r>
        <w:rPr>
          <w:rFonts w:ascii="Arial" w:cs="Arial" w:eastAsia="Arial" w:hAnsi="Arial"/>
          <w:sz w:val="17"/>
          <w:szCs w:val="17"/>
          <w:color w:val="auto"/>
        </w:rPr>
        <w:t>- In August 2020, the FASB issued ASU 2020-06,</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252525"/>
        </w:rPr>
        <w:t>Debt-Debt with Conversion and other Options (Subtopic 470-20) and Derivatives and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252525"/>
        </w:rPr>
        <w:t>Hedging – Contracts in Entity’s own Equity (Subtopic 815-40)</w:t>
      </w:r>
      <w:r>
        <w:rPr>
          <w:rFonts w:ascii="Arial" w:cs="Arial" w:eastAsia="Arial" w:hAnsi="Arial"/>
          <w:sz w:val="17"/>
          <w:szCs w:val="17"/>
          <w:color w:val="252525"/>
        </w:rPr>
        <w:t>. This ASU</w:t>
      </w:r>
      <w:r>
        <w:rPr>
          <w:rFonts w:ascii="Arial" w:cs="Arial" w:eastAsia="Arial" w:hAnsi="Arial"/>
          <w:sz w:val="17"/>
          <w:szCs w:val="17"/>
          <w:i w:val="1"/>
          <w:iCs w:val="1"/>
          <w:color w:val="252525"/>
        </w:rPr>
        <w:t xml:space="preserve"> </w:t>
      </w:r>
      <w:r>
        <w:rPr>
          <w:rFonts w:ascii="Arial" w:cs="Arial" w:eastAsia="Arial" w:hAnsi="Arial"/>
          <w:sz w:val="17"/>
          <w:szCs w:val="17"/>
          <w:color w:val="000000"/>
        </w:rPr>
        <w:t>addresses the complexity associated with applying GAAP to certain financial</w:t>
      </w:r>
      <w:r>
        <w:rPr>
          <w:rFonts w:ascii="Arial" w:cs="Arial" w:eastAsia="Arial" w:hAnsi="Arial"/>
          <w:sz w:val="17"/>
          <w:szCs w:val="17"/>
          <w:i w:val="1"/>
          <w:iCs w:val="1"/>
          <w:color w:val="252525"/>
        </w:rPr>
        <w:t xml:space="preserve"> </w:t>
      </w:r>
      <w:r>
        <w:rPr>
          <w:rFonts w:ascii="Arial" w:cs="Arial" w:eastAsia="Arial" w:hAnsi="Arial"/>
          <w:sz w:val="17"/>
          <w:szCs w:val="17"/>
          <w:color w:val="000000"/>
        </w:rPr>
        <w:t>instruments with characteristics of liabilities and equity.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Additionally, the ASU requires entities to use the “if-converted” method when calculating diluted earnings per share for convertible instruments. This ASU will be effective for us on January 1, 2024; however, early adoption was permitted beginning January 1, 2021. We no longer believe this ASU is applicable to our consolidated financial statements and related disclosures. We will continue to evaluate this ASU if our financial instruments change.</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evaluated the effect of this ASU on our contracts and debt agreement that include LIBOR rates and concluded any impact is not expected to be material.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Income (Loss) Per Common Share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600"/>
              <w:spacing w:after="0"/>
              <w:rPr>
                <w:sz w:val="20"/>
                <w:szCs w:val="20"/>
                <w:color w:val="auto"/>
              </w:rPr>
            </w:pPr>
            <w:r>
              <w:rPr>
                <w:rFonts w:ascii="Arial" w:cs="Arial" w:eastAsia="Arial" w:hAnsi="Arial"/>
                <w:sz w:val="18"/>
                <w:szCs w:val="18"/>
                <w:color w:val="auto"/>
                <w:w w:val="98"/>
              </w:rPr>
              <w:t>Three Months Ended</w:t>
            </w:r>
          </w:p>
        </w:tc>
        <w:tc>
          <w:tcPr>
            <w:tcW w:w="200" w:type="dxa"/>
            <w:vAlign w:val="bottom"/>
          </w:tcPr>
          <w:p>
            <w:pPr>
              <w:spacing w:after="0"/>
              <w:rPr>
                <w:sz w:val="24"/>
                <w:szCs w:val="24"/>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7"/>
              <w:spacing w:after="0"/>
              <w:rPr>
                <w:sz w:val="20"/>
                <w:szCs w:val="20"/>
                <w:color w:val="auto"/>
              </w:rPr>
            </w:pPr>
            <w:r>
              <w:rPr>
                <w:rFonts w:ascii="Arial" w:cs="Arial" w:eastAsia="Arial" w:hAnsi="Arial"/>
                <w:sz w:val="18"/>
                <w:szCs w:val="18"/>
                <w:color w:val="auto"/>
              </w:rPr>
              <w:t>June 30,</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gridSpan w:val="9"/>
          </w:tcPr>
          <w:p>
            <w:pPr>
              <w:jc w:val="right"/>
              <w:ind w:right="127"/>
              <w:spacing w:after="0"/>
              <w:rPr>
                <w:sz w:val="20"/>
                <w:szCs w:val="20"/>
                <w:color w:val="auto"/>
              </w:rPr>
            </w:pPr>
            <w:r>
              <w:rPr>
                <w:rFonts w:ascii="Arial" w:cs="Arial" w:eastAsia="Arial" w:hAnsi="Arial"/>
                <w:sz w:val="16"/>
                <w:szCs w:val="16"/>
                <w:color w:val="auto"/>
              </w:rPr>
              <w:t>(In Thousands, Except Per Share Amounts)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103,399</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23,670</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162,165</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income (loss) per common share: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(10,213)</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(19,724)</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Net income attributable to participating securities</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Numerator for basic net income (loss) per common</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share - net income (loss) attributable to common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stockholders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103,399</w:t>
            </w:r>
          </w:p>
        </w:tc>
        <w:tc>
          <w:tcPr>
            <w:tcW w:w="22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12,646</w:t>
            </w:r>
          </w:p>
        </w:tc>
        <w:tc>
          <w:tcPr>
            <w:tcW w:w="2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162,165</w:t>
            </w:r>
          </w:p>
        </w:tc>
        <w:tc>
          <w:tcPr>
            <w:tcW w:w="22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(10,507)</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Dividends on Series B and Series D Preferred</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assumed to be converted, if dilutive</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Numerator for diluted net income (loss) per common</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103,399</w:t>
            </w:r>
          </w:p>
        </w:tc>
        <w:tc>
          <w:tcPr>
            <w:tcW w:w="22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12,721</w:t>
            </w:r>
          </w:p>
        </w:tc>
        <w:tc>
          <w:tcPr>
            <w:tcW w:w="22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162,165</w:t>
            </w:r>
          </w:p>
        </w:tc>
        <w:tc>
          <w:tcPr>
            <w:tcW w:w="22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(10,507)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basic net income (loss) per common</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 - adjusted weighted-average shares (1)</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88,181</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37,031</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88,301</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vMerge w:val="restart"/>
          </w:tcPr>
          <w:p>
            <w:pPr>
              <w:ind w:left="480"/>
              <w:spacing w:after="0"/>
              <w:rPr>
                <w:sz w:val="20"/>
                <w:szCs w:val="20"/>
                <w:color w:val="auto"/>
              </w:rPr>
            </w:pPr>
            <w:r>
              <w:rPr>
                <w:rFonts w:ascii="Arial" w:cs="Arial" w:eastAsia="Arial" w:hAnsi="Arial"/>
                <w:sz w:val="18"/>
                <w:szCs w:val="18"/>
                <w:color w:val="auto"/>
              </w:rPr>
              <w:t>Effect of dilutive securities: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Convertible preferred stocks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tcPr>
          <w:p>
            <w:pPr>
              <w:ind w:left="740"/>
              <w:spacing w:after="0"/>
              <w:rPr>
                <w:sz w:val="20"/>
                <w:szCs w:val="20"/>
                <w:color w:val="auto"/>
              </w:rPr>
            </w:pPr>
            <w:r>
              <w:rPr>
                <w:rFonts w:ascii="Arial" w:cs="Arial" w:eastAsia="Arial" w:hAnsi="Arial"/>
                <w:sz w:val="18"/>
                <w:szCs w:val="18"/>
                <w:color w:val="auto"/>
              </w:rPr>
              <w:t>Unvested restricted stock and stock units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Dilutive potential common shares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Denominator for diluted net income (loss) per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52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89,564</w:t>
            </w:r>
          </w:p>
        </w:tc>
        <w:tc>
          <w:tcPr>
            <w:tcW w:w="2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39,187</w:t>
            </w:r>
          </w:p>
        </w:tc>
        <w:tc>
          <w:tcPr>
            <w:tcW w:w="2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89,665</w:t>
            </w:r>
          </w:p>
        </w:tc>
        <w:tc>
          <w:tcPr>
            <w:tcW w:w="2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8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36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Six Months 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60" w:type="dxa"/>
            <w:vAlign w:val="bottom"/>
            <w:gridSpan w:val="2"/>
          </w:tcPr>
          <w:p>
            <w:pPr>
              <w:jc w:val="right"/>
              <w:ind w:right="25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8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41,037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2,142,335</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840" w:type="dxa"/>
            <w:vAlign w:val="bottom"/>
          </w:tcPr>
          <w:p>
            <w:pPr>
              <w:spacing w:after="0"/>
              <w:rPr>
                <w:sz w:val="19"/>
                <w:szCs w:val="19"/>
                <w:color w:val="auto"/>
              </w:rPr>
            </w:pP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1,191,666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84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 options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81,274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3,732,037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9"/>
              </w:rPr>
              <w:t>2022</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6"/>
          </w:tcPr>
          <w:p>
            <w:pPr>
              <w:jc w:val="right"/>
              <w:ind w:right="9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1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Accrued interest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Accrued death and other executive benefits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9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31,325</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Arial" w:cs="Arial" w:eastAsia="Arial" w:hAnsi="Arial"/>
                <w:sz w:val="18"/>
                <w:szCs w:val="18"/>
                <w:color w:val="auto"/>
              </w:rPr>
              <w:t>Our long-term debt consists of the following:</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9"/>
              </w:rPr>
              <w:t>2022</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6"/>
          </w:tcPr>
          <w:p>
            <w:pPr>
              <w:jc w:val="right"/>
              <w:ind w:right="9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5.25% (A)</w:t>
            </w:r>
          </w:p>
        </w:tc>
        <w:tc>
          <w:tcPr>
            <w:tcW w:w="11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Senior Secured Notes due 2028, with an interest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rate of 6.25% (B)</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(C)</w:t>
            </w: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Secured Financing due 2025, with an interest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rate of 8.75% (D)</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Secured Loan Agreement due 2025 (E)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net of premium and debt issuance</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costs</w:t>
            </w: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(13,398)</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715,404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1140"/>
              <w:spacing w:after="0"/>
              <w:rPr>
                <w:sz w:val="20"/>
                <w:szCs w:val="20"/>
                <w:color w:val="auto"/>
              </w:rPr>
            </w:pPr>
            <w:r>
              <w:rPr>
                <w:rFonts w:ascii="Arial" w:cs="Arial" w:eastAsia="Arial" w:hAnsi="Arial"/>
                <w:sz w:val="18"/>
                <w:szCs w:val="18"/>
                <w:color w:val="auto"/>
              </w:rPr>
              <w:t>Long-term debt due after one year, net</w:t>
            </w:r>
          </w:p>
        </w:tc>
        <w:tc>
          <w:tcPr>
            <w:tcW w:w="9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89" w:lineRule="auto"/>
        <w:tabs>
          <w:tab w:leader="none" w:pos="307"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as of June 30, 2022, was $1.6 million, which reduces the available for borrowing under the Working Capital Revolver Loan. At June 30, 2022, our available borrowings under our Working Capital Revolver Loan were approximately $63.4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121" w:lineRule="exact"/>
        <w:rPr>
          <w:sz w:val="20"/>
          <w:szCs w:val="20"/>
          <w:color w:val="auto"/>
        </w:rPr>
      </w:pPr>
    </w:p>
    <w:p>
      <w:pPr>
        <w:jc w:val="both"/>
        <w:ind w:firstLine="8"/>
        <w:spacing w:after="0" w:line="263" w:lineRule="auto"/>
        <w:tabs>
          <w:tab w:leader="none" w:pos="28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On October 14, 2021, LSB completed the issuance and sale of $500 million aggregate principal amount of the Notes of its 6.25% Senior Secured Notes due 2028 (the “Notes”), pursuant to an indenture (the “Indenture”), dated as of October 14, 2021. The Notes were issued at a price equal to 100% of their face value.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8, 2022, LSB completed the issuance and sale of an additional $200 million aggregate principal amount of the Notes (the “New Notes”), which were issued pursuant to the Indenture (the Notes together with the New Notes, the “Senior Secured Notes”). The New Notes were issued at a price equal to 100% of their face value, plus accrued interest from October 14, 2021 to March 7,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Notes mature on October 15, 2028</w:t>
      </w:r>
      <w:r>
        <w:rPr>
          <w:rFonts w:ascii="Arial" w:cs="Arial" w:eastAsia="Arial" w:hAnsi="Arial"/>
          <w:sz w:val="18"/>
          <w:szCs w:val="18"/>
          <w:color w:val="0000FF"/>
        </w:rPr>
        <w:t>.</w:t>
      </w:r>
      <w:r>
        <w:rPr>
          <w:rFonts w:ascii="Arial" w:cs="Arial" w:eastAsia="Arial" w:hAnsi="Arial"/>
          <w:sz w:val="18"/>
          <w:szCs w:val="18"/>
          <w:color w:val="auto"/>
        </w:rPr>
        <w:t xml:space="preserve"> Interest is to be paid in arrears on May 15 and October 15.</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it relates to the issuance of the Notes in October 2021, most of the proceeds from the Notes were used to purchase/redeem the previously outstanding $435 million aggregate principal amount of senior secured notes scheduled to mature in 2023. The remaining net proceeds were primarily used to pay related transaction fees. This transaction was accounted for as an extinguishment of debt. As a result, we recognized a loss on extinguishment of debt of approximately $20.3 million in 2021, primarily consisting of a portion of the contractual redemption premium paid and the expensing of unamortized debt issuance costs associated with the senior secured notes purchased/redeemed.</w:t>
      </w:r>
    </w:p>
    <w:p>
      <w:pPr>
        <w:spacing w:after="0" w:line="68" w:lineRule="exact"/>
        <w:rPr>
          <w:sz w:val="20"/>
          <w:szCs w:val="20"/>
          <w:color w:val="auto"/>
        </w:rPr>
      </w:pPr>
    </w:p>
    <w:p>
      <w:pPr>
        <w:ind w:firstLine="8"/>
        <w:spacing w:after="0" w:line="308" w:lineRule="auto"/>
        <w:tabs>
          <w:tab w:leader="none" w:pos="325"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El Dorado Chemical Company (“EDC”), one of our subsidiaries, is party to a secured financing arrangement with an affiliate of LSB Funding. Principal and interest are payable in 48 equal monthly installments with a final balloon payment of approximately $3 million due in June 2023.</w:t>
      </w:r>
    </w:p>
    <w:p>
      <w:pPr>
        <w:spacing w:after="0" w:line="38" w:lineRule="exact"/>
        <w:rPr>
          <w:rFonts w:ascii="Arial" w:cs="Arial" w:eastAsia="Arial" w:hAnsi="Arial"/>
          <w:sz w:val="17"/>
          <w:szCs w:val="17"/>
          <w:b w:val="1"/>
          <w:bCs w:val="1"/>
          <w:color w:val="auto"/>
        </w:rPr>
      </w:pPr>
    </w:p>
    <w:p>
      <w:pPr>
        <w:jc w:val="both"/>
        <w:ind w:firstLine="8"/>
        <w:spacing w:after="0" w:line="311" w:lineRule="auto"/>
        <w:tabs>
          <w:tab w:leader="none" w:pos="30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In August 2020, El Dorado Ammonia L.L.C. (“EDA”), one of our subsidiaries, entered into a $30 million secured financing arrangement with an affiliate of LSB Funding. Beginning in September 2020, principal and interest are payable in 60 equal monthly installments with a final balloon payment of approximately $5 million due in August 2025. This financing arrangement is secured by an ammonia storage tank and is guaranteed by LSB.</w:t>
      </w:r>
    </w:p>
    <w:p>
      <w:pPr>
        <w:spacing w:after="0" w:line="40" w:lineRule="exact"/>
        <w:rPr>
          <w:rFonts w:ascii="Arial" w:cs="Arial" w:eastAsia="Arial" w:hAnsi="Arial"/>
          <w:sz w:val="16"/>
          <w:szCs w:val="16"/>
          <w:b w:val="1"/>
          <w:bCs w:val="1"/>
          <w:color w:val="auto"/>
        </w:rPr>
      </w:pPr>
    </w:p>
    <w:p>
      <w:pPr>
        <w:ind w:firstLine="8"/>
        <w:spacing w:after="0" w:line="277" w:lineRule="auto"/>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2022 EDC’s secured loan agreement with an affiliate of LSB Funding was paid off resulting in a minimal loss on extinguishment of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 xml:space="preserve">Outstanding Natural Gas Purchase Commitments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June 30, 2022, certain of our natural gas contracts qualify as normal purchases under GAAP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thus are not mark-to-market. These contracts included volume purchase commitments with fixed costs of approximately 11.5 million MMBtus of natural gas and 22.9 million MMBtus of locked basis differential. Further, the natural gas contracts extend through December 2023 at a weighted-average cost of $6.44 per MMBtu ($73.8 million) and a weighted-average market value of $5.17 per MMBtu ($59.2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2022, our accrued liabilities for environmental matters totaled approximately $0.5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w:t>
      </w:r>
    </w:p>
    <w:p>
      <w:pPr>
        <w:spacing w:after="0" w:line="49"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 2017, the Pryor Chemical Company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Since that time, PCC and ODEQ engaged in ongoing discussions related to the renewal of the injection well to address the wastewater stream. In 2022, ODEQ responded to the application in the form of an information request. PCC is currently corresponding with ODEQ general council regarding the well integrity and appropriate methods for establishing injection pressure in order to respond.</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assessment was submitted in 2007. In 2015, the ADEQ stated that El Dorado Chemical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No liability has been established as of June 30, 2022, in connection with this ADEQ matter.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June 30, 2022, no liability reserve has been established in connection with this matter.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This judgement was accrued for at the time of the ruling.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liability was established at June 30, 2022 or December 31, 2021, in connection with the cross-claims in Part (2) of the matter, except for certain invoices held in accounts payable.</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72" w:lineRule="exact"/>
        <w:rPr>
          <w:sz w:val="20"/>
          <w:szCs w:val="20"/>
          <w:color w:val="auto"/>
        </w:rPr>
      </w:pPr>
    </w:p>
    <w:p>
      <w:pPr>
        <w:ind w:left="200" w:right="7400" w:hanging="192"/>
        <w:spacing w:after="0" w:line="377" w:lineRule="auto"/>
        <w:tabs>
          <w:tab w:leader="none" w:pos="23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Hedges and Financial Instruments Natural Gas Contracts</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Periodically, we entered into certain forward natural gas contracts, which are accounted for on a mark-to-market basis. We are utilizing these natural gas contracts as economic hedges for risk management purposes but are not designated as hedging instruments. At June 30, 2022 and December 31, 2021, we had no outstanding natural gas contracts. When present the valuations of the natural gas contracts are classified as Level 2.</w:t>
      </w:r>
    </w:p>
    <w:p>
      <w:pPr>
        <w:spacing w:after="0" w:line="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months ended June 30, 2021 we had no outstanding natural gas contracts. For the six months ended June 30, 2021, we recognized a gain of $2.7 million (includes a realized gain of $1.5 million), all of which was recognized in the first quarter. The gain is classified as a reduction of cost of sales.</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2022 and December 31, 2021, we did not have any financial instruments with fair values materially different from their carrying amounts (which excludes issuance costs, if applicable) except for our Senior Secured Notes included in the table below. The carrying value of our Senior Secured Notes approximates fair value and is classified as a Level 2 fair value measurement. The fair value of financial instruments is not indicative of the overall fair value of our assets and liabilities since financial instruments do not include all assets, including intangibles and all liabilities.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jc w:val="right"/>
              <w:ind w:right="472"/>
              <w:spacing w:after="0"/>
              <w:rPr>
                <w:sz w:val="20"/>
                <w:szCs w:val="20"/>
                <w:color w:val="auto"/>
              </w:rPr>
            </w:pPr>
            <w:r>
              <w:rPr>
                <w:rFonts w:ascii="Arial" w:cs="Arial" w:eastAsia="Arial" w:hAnsi="Arial"/>
                <w:sz w:val="18"/>
                <w:szCs w:val="18"/>
                <w:color w:val="auto"/>
              </w:rPr>
              <w:t>June 30, 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5"/>
          </w:tcPr>
          <w:p>
            <w:pPr>
              <w:ind w:left="180"/>
              <w:spacing w:after="0"/>
              <w:rPr>
                <w:sz w:val="20"/>
                <w:szCs w:val="20"/>
                <w:color w:val="auto"/>
              </w:rPr>
            </w:pPr>
            <w:r>
              <w:rPr>
                <w:rFonts w:ascii="Arial" w:cs="Arial" w:eastAsia="Arial" w:hAnsi="Arial"/>
                <w:sz w:val="18"/>
                <w:szCs w:val="18"/>
                <w:color w:val="auto"/>
              </w:rPr>
              <w:t>December 31, 2021</w:t>
            </w:r>
          </w:p>
        </w:tc>
      </w:tr>
      <w:tr>
        <w:trPr>
          <w:trHeight w:val="222"/>
        </w:trPr>
        <w:tc>
          <w:tcPr>
            <w:tcW w:w="3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4"/>
              </w:rPr>
              <w:t>Carrying</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Estimated</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4"/>
              </w:rPr>
              <w:t>Carrying</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Estimated</w:t>
            </w:r>
          </w:p>
        </w:tc>
        <w:tc>
          <w:tcPr>
            <w:tcW w:w="60" w:type="dxa"/>
            <w:vAlign w:val="bottom"/>
          </w:tcPr>
          <w:p>
            <w:pPr>
              <w:spacing w:after="0"/>
              <w:rPr>
                <w:sz w:val="19"/>
                <w:szCs w:val="19"/>
                <w:color w:val="auto"/>
              </w:rPr>
            </w:pPr>
          </w:p>
        </w:tc>
      </w:tr>
      <w:tr>
        <w:trPr>
          <w:trHeight w:val="230"/>
        </w:trPr>
        <w:tc>
          <w:tcPr>
            <w:tcW w:w="3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Fair Value</w:t>
            </w:r>
          </w:p>
        </w:tc>
      </w:tr>
      <w:tr>
        <w:trPr>
          <w:trHeight w:val="203"/>
        </w:trPr>
        <w:tc>
          <w:tcPr>
            <w:tcW w:w="3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4"/>
          </w:tcPr>
          <w:p>
            <w:pPr>
              <w:ind w:left="480"/>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Senior Secured Notes </w:t>
            </w:r>
            <w:r>
              <w:rPr>
                <w:rFonts w:ascii="Arial" w:cs="Arial" w:eastAsia="Arial" w:hAnsi="Arial"/>
                <w:sz w:val="14"/>
                <w:szCs w:val="14"/>
                <w:color w:val="auto"/>
              </w:rPr>
              <w:t>(1)</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FF0FC"/>
          </w:tcPr>
          <w:p>
            <w:pPr>
              <w:spacing w:after="0"/>
              <w:rPr>
                <w:sz w:val="20"/>
                <w:szCs w:val="20"/>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ind w:left="5540" w:right="4380" w:hanging="5168"/>
        <w:spacing w:after="0" w:line="527" w:lineRule="auto"/>
        <w:tabs>
          <w:tab w:leader="none" w:pos="7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a quoted price of 89.50 at June 30, 2022 and 103.25 at December 31, 2021.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7. 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840" w:type="dxa"/>
            <w:vAlign w:val="bottom"/>
          </w:tcPr>
          <w:p>
            <w:pPr>
              <w:spacing w:after="0"/>
              <w:rPr>
                <w:sz w:val="20"/>
                <w:szCs w:val="20"/>
                <w:color w:val="auto"/>
              </w:rPr>
            </w:pPr>
            <w:r>
              <w:rPr>
                <w:rFonts w:ascii="Arial" w:cs="Arial" w:eastAsia="Arial" w:hAnsi="Arial"/>
                <w:sz w:val="18"/>
                <w:szCs w:val="18"/>
                <w:color w:val="auto"/>
              </w:rPr>
              <w:t>Provision (benefit) for income taxes is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right"/>
              <w:ind w:right="64"/>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w:t>
            </w:r>
          </w:p>
        </w:tc>
      </w:t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right"/>
              <w:ind w:right="524"/>
              <w:spacing w:after="0"/>
              <w:rPr>
                <w:sz w:val="20"/>
                <w:szCs w:val="20"/>
                <w:color w:val="auto"/>
              </w:rPr>
            </w:pPr>
            <w:r>
              <w:rPr>
                <w:rFonts w:ascii="Arial" w:cs="Arial" w:eastAsia="Arial" w:hAnsi="Arial"/>
                <w:sz w:val="18"/>
                <w:szCs w:val="18"/>
                <w:color w:val="auto"/>
              </w:rPr>
              <w:t>June 30,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4"/>
          </w:tcPr>
          <w:p>
            <w:pPr>
              <w:jc w:val="right"/>
              <w:ind w:right="27"/>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2022</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7"/>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w w:val="91"/>
              </w:rPr>
              <w:t>(In Thousands)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(175)</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(462)</w:t>
            </w: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(175)</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19,294</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30,679</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19,777</w:t>
            </w:r>
          </w:p>
        </w:tc>
        <w:tc>
          <w:tcPr>
            <w:tcW w:w="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7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(248)</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six months ended June 30, 2022 and 2021, the current provision (benefit) for state income taxes shown above includes regular state income tax, provisions for uncertain state income tax positions, the impact of state tax law changes and other similar adjustments.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rate for 2022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our federal deferred tax assets will be able to be utilized. Thus, we estimate a $12.7 million reduction in the related valuation allowance associated with these federal deferred tax assets will be recognized throughout the year as part of the estimated annual effective tax rate applied to ordinary income. We have determined it is more-likely-than-not that a portion of our state deferred tax assets will not be able to be utilized. However, we estimate a $6.6 million reduction in the related valuation allowance associated with these state deferred tax assets will be recognized throughout the year as part of the estimated annual effective tax rate applied to ordinary income.</w:t>
      </w:r>
    </w:p>
    <w:p>
      <w:pPr>
        <w:spacing w:after="0" w:line="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provision for the six months ended June 30, 2022 was $31.5 million (16.3% provision on pre-tax income). The tax benefit for the six months ended June 30, 2021 was $0.2 million (2% benefit on pre-tax income). For both periods, the effective tax rate is less than the statutory tax rate primarily due to the impact of the valuation allowances. For the six months ended June 30, 2021, the effective tax rate was also impacted by the PPP loan forgiveness and state tax law changes.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2018-2021 years remain open for all purposes of examination by the U.S. Internal Revenue Service (“IRS”) and other major tax jurisdictions. Additionally, the 2013-2017 years remain subject to examination for determining the amount of net operating loss and other carryforwards.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sales disaggregated by our principal product types: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431"/>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5"/>
          </w:tcPr>
          <w:p>
            <w:pPr>
              <w:ind w:left="220"/>
              <w:spacing w:after="0"/>
              <w:rPr>
                <w:sz w:val="20"/>
                <w:szCs w:val="20"/>
                <w:color w:val="auto"/>
              </w:rPr>
            </w:pPr>
            <w:r>
              <w:rPr>
                <w:rFonts w:ascii="Arial" w:cs="Arial" w:eastAsia="Arial" w:hAnsi="Arial"/>
                <w:sz w:val="18"/>
                <w:szCs w:val="18"/>
                <w:color w:val="auto"/>
              </w:rPr>
              <w:t>Six Months Ended</w:t>
            </w:r>
          </w:p>
        </w:tc>
      </w:t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3"/>
          </w:tcPr>
          <w:p>
            <w:pPr>
              <w:jc w:val="right"/>
              <w:ind w:right="47"/>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2022</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7"/>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AN &amp; Nitric Acid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96,142</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56,739</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167,942</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106,576</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Urea ammonium nitrate (UAN)</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Ammonia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38,541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148,786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59,706</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33,501</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24,993</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284,803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140,696</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483,784</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238,812</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22 months at June 30, 2022.</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$0.4 million and $1.6 million of contract liabilities as of June 30, 2022 and December 31, 2021, respectively. For the three and six months ended June 30, 2022, revenues of $1.5 million and $1.4 million, respectively, were recognized and included in the balance at the beginning of the respective period. For the three and six months ended June 30, 2021, revenues of $1.0 million and $1.6 million, respectively, were recognized and included in the balance at the beginning of the respective period.</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At June 30, 2022,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$72 million, of which approximately 35% of this amount relates to 2022 through 2024, approximately 31% relates to 2025 through 2026, with the remainder thereafter.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we have two separate outstanding financing arrangements by an affiliate of LSB Funding as discussed in footnotes (C) and (D) of Note 4. An affiliate of LSB Funding holds $30 million of the New Notes.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party to a death benefit agreement (“2005 Agreement”) with Jack E. Golsen (“J. Golsen”), who retired effective December 31, 2017. The 2005 Agreement provided that, upon J. Golsen’s death, we will pay to the designated beneficiary, a lump-sum payment of $2.5 million. J. Golsen passed away in April 2022. Further the Company has maintained and owns a life insurance policy with a face value of $3.0 million for which the Company is the beneficiary. The policy did not have any cash surrender value, premium payments were current and the policy was in force at the time of Golsen’s death. The $2.5 million death benefit payable to the Golsen beneficiary is recorded as a current liability. Our insurer has approved the insurance claim which causes it to be realizable at June 30, 2022 under our insurance policy. We have recorded $3.0 million in other accounts receivable in our June 30, 2022 condensed consolidated balance sheet and a settlement of life insurance presented within non-operating other expense (income), net within our condensed consolidated statements of operations for the three and six months ended June 30, 2022. The settlement of life insurance is included in our condensed consolidated statement of cash flows in “Other” under adjustments to reconcile net income to net cash provided by operating activities. We received the settlement payment of $3.0 million and paid the death benefit of $2.5 million in July 2022.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center"/>
              <w:ind w:right="420"/>
              <w:spacing w:after="0"/>
              <w:rPr>
                <w:sz w:val="20"/>
                <w:szCs w:val="20"/>
                <w:color w:val="auto"/>
              </w:rPr>
            </w:pPr>
            <w:r>
              <w:rPr>
                <w:rFonts w:ascii="Arial" w:cs="Arial" w:eastAsia="Arial" w:hAnsi="Arial"/>
                <w:sz w:val="18"/>
                <w:szCs w:val="18"/>
                <w:color w:val="auto"/>
                <w:w w:val="91"/>
              </w:rPr>
              <w:t>Six Months Ended</w:t>
            </w:r>
          </w:p>
        </w:tc>
      </w:tr>
      <w:tr>
        <w:trPr>
          <w:trHeight w:val="229"/>
        </w:trPr>
        <w:tc>
          <w:tcPr>
            <w:tcW w:w="5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center"/>
              <w:ind w:left="551"/>
              <w:spacing w:after="0"/>
              <w:rPr>
                <w:sz w:val="20"/>
                <w:szCs w:val="20"/>
                <w:color w:val="auto"/>
              </w:rPr>
            </w:pPr>
            <w:r>
              <w:rPr>
                <w:rFonts w:ascii="Arial" w:cs="Arial" w:eastAsia="Arial" w:hAnsi="Arial"/>
                <w:sz w:val="18"/>
                <w:szCs w:val="18"/>
                <w:color w:val="auto"/>
                <w:w w:val="86"/>
              </w:rPr>
              <w:t>June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7"/>
        </w:trPr>
        <w:tc>
          <w:tcPr>
            <w:tcW w:w="5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center"/>
              <w:ind w:left="571"/>
              <w:spacing w:after="0"/>
              <w:rPr>
                <w:sz w:val="20"/>
                <w:szCs w:val="20"/>
                <w:color w:val="auto"/>
              </w:rPr>
            </w:pPr>
            <w:r>
              <w:rPr>
                <w:rFonts w:ascii="Arial" w:cs="Arial" w:eastAsia="Arial" w:hAnsi="Arial"/>
                <w:sz w:val="16"/>
                <w:szCs w:val="16"/>
                <w:color w:val="auto"/>
                <w:w w:val="91"/>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578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870</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780" w:type="dxa"/>
            <w:vAlign w:val="bottom"/>
          </w:tcPr>
          <w:p>
            <w:pPr>
              <w:ind w:left="240"/>
              <w:spacing w:after="0"/>
              <w:rPr>
                <w:sz w:val="20"/>
                <w:szCs w:val="20"/>
                <w:color w:val="auto"/>
              </w:rPr>
            </w:pPr>
            <w:r>
              <w:rPr>
                <w:rFonts w:ascii="Arial" w:cs="Arial" w:eastAsia="Arial" w:hAnsi="Arial"/>
                <w:sz w:val="18"/>
                <w:szCs w:val="18"/>
                <w:color w:val="auto"/>
              </w:rPr>
              <w:t>Accounts receivable, supplies, other assets, accounts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tcPr>
          <w:p>
            <w:pPr>
              <w:ind w:left="420"/>
              <w:spacing w:after="0"/>
              <w:rPr>
                <w:sz w:val="20"/>
                <w:szCs w:val="20"/>
                <w:color w:val="auto"/>
              </w:rPr>
            </w:pPr>
            <w:r>
              <w:rPr>
                <w:rFonts w:ascii="Arial" w:cs="Arial" w:eastAsia="Arial" w:hAnsi="Arial"/>
                <w:sz w:val="18"/>
                <w:szCs w:val="18"/>
                <w:color w:val="auto"/>
              </w:rPr>
              <w:t>payable and accrued liabilities associated with additions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80" w:type="dxa"/>
            <w:vAlign w:val="bottom"/>
          </w:tcPr>
          <w:p>
            <w:pPr>
              <w:ind w:left="420"/>
              <w:spacing w:after="0"/>
              <w:rPr>
                <w:sz w:val="20"/>
                <w:szCs w:val="20"/>
                <w:color w:val="auto"/>
              </w:rPr>
            </w:pPr>
            <w:r>
              <w:rPr>
                <w:rFonts w:ascii="Arial" w:cs="Arial" w:eastAsia="Arial" w:hAnsi="Arial"/>
                <w:sz w:val="18"/>
                <w:szCs w:val="18"/>
                <w:color w:val="auto"/>
              </w:rPr>
              <w:t>of property, plant and equipment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15,353</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15,484</w:t>
            </w:r>
          </w:p>
        </w:tc>
        <w:tc>
          <w:tcPr>
            <w:tcW w:w="120" w:type="dxa"/>
            <w:vAlign w:val="bottom"/>
          </w:tcPr>
          <w:p>
            <w:pPr>
              <w:spacing w:after="0"/>
              <w:rPr>
                <w:sz w:val="20"/>
                <w:szCs w:val="20"/>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Settlement of life insurance </w:t>
            </w:r>
            <w:r>
              <w:rPr>
                <w:rFonts w:ascii="Arial" w:cs="Arial" w:eastAsia="Arial" w:hAnsi="Arial"/>
                <w:sz w:val="14"/>
                <w:szCs w:val="14"/>
                <w:color w:val="auto"/>
              </w:rPr>
              <w:t>(1)</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3,000</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Accounts payable associated with debt-related costs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19,724</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Gain on extinguishment of PPP loan</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associated with financing professional fees</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74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settlement of life insurance is included in our condensed consolidated statement of cash flows in “Other” under adjustments to reconcile net income to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June 30, 2022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on behalf of Covestro in Baytown, Texas. Our products are sold through distributors and directly to end customers primarily throughout the U.S. and parts of Mexico and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Initiatives for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expect our future results of operations and financial condition to benefit from the following key initiatives:</w:t>
      </w:r>
    </w:p>
    <w:p>
      <w:pPr>
        <w:spacing w:after="0" w:line="117" w:lineRule="exact"/>
        <w:rPr>
          <w:sz w:val="20"/>
          <w:szCs w:val="20"/>
          <w:color w:val="auto"/>
        </w:rPr>
      </w:pPr>
    </w:p>
    <w:p>
      <w:pPr>
        <w:ind w:left="540" w:right="20" w:hanging="357"/>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Investing to improve Environmental, Health &amp; Safety and Reliability at our Facilities to further our Progress Towards Becoming a “Best in Class” Chemical Plant Operator while Supplying our Customers with Products of the Highest Quality.</w:t>
      </w:r>
    </w:p>
    <w:p>
      <w:pPr>
        <w:spacing w:after="0" w:line="75" w:lineRule="exact"/>
        <w:rPr>
          <w:rFonts w:ascii="Arial" w:cs="Arial" w:eastAsia="Arial" w:hAnsi="Arial"/>
          <w:sz w:val="18"/>
          <w:szCs w:val="18"/>
          <w:color w:val="auto"/>
        </w:rPr>
      </w:pPr>
    </w:p>
    <w:p>
      <w:pPr>
        <w:jc w:val="both"/>
        <w:ind w:left="1260" w:hanging="375"/>
        <w:spacing w:after="0" w:line="255" w:lineRule="auto"/>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believe that our operational progress over the past several years represents proof that high safety standards not only enable us to protect what matters, which is the well-being of our employees, but also translates into improved plant performance. With that in mind, in 2022 we remain acutely focused on our efforts to further the progress we’ve made in creating a high performing safety culture as we advance the safety programs we have underway and implement new ones. We intend to invest additional capital at all three of our facilities to further promote safe and reliable operations in order to build upon the success we have had in implementing enhanced safety programs during the last three years.</w:t>
      </w:r>
    </w:p>
    <w:p>
      <w:pPr>
        <w:spacing w:after="0" w:line="84" w:lineRule="exact"/>
        <w:rPr>
          <w:rFonts w:ascii="Arial" w:cs="Arial" w:eastAsia="Arial" w:hAnsi="Arial"/>
          <w:sz w:val="18"/>
          <w:szCs w:val="18"/>
          <w:color w:val="auto"/>
        </w:rPr>
      </w:pPr>
    </w:p>
    <w:p>
      <w:pPr>
        <w:jc w:val="both"/>
        <w:ind w:left="1260" w:hanging="375"/>
        <w:spacing w:after="0" w:line="255" w:lineRule="auto"/>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have several initiatives currently underway focused on continuing to improve the reliability of our plants which we expect will enable us to produce greater volumes of product for sale while lowering our unit cost of production and increasing our overall profitability. These initiatives are focused on operational excellence through enhancements in leadership at certain of our facilities, bolstering our operating procedures, leveraging the technology investments we have made to improve the optimization of our asset health monitoring and asset care maintenance programs. Additionally, our product quality program continues to focus on providing products to our customers that meet our quality standards.</w:t>
      </w:r>
    </w:p>
    <w:p>
      <w:pPr>
        <w:spacing w:after="0" w:line="84" w:lineRule="exact"/>
        <w:rPr>
          <w:rFonts w:ascii="Arial" w:cs="Arial" w:eastAsia="Arial" w:hAnsi="Arial"/>
          <w:sz w:val="18"/>
          <w:szCs w:val="18"/>
          <w:color w:val="auto"/>
        </w:rPr>
      </w:pPr>
    </w:p>
    <w:p>
      <w:pPr>
        <w:jc w:val="both"/>
        <w:ind w:left="540" w:hanging="357"/>
        <w:spacing w:after="0" w:line="25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and Optimization of our Product Mix. </w:t>
      </w:r>
      <w:r>
        <w:rPr>
          <w:rFonts w:ascii="Arial" w:cs="Arial" w:eastAsia="Arial" w:hAnsi="Arial"/>
          <w:sz w:val="18"/>
          <w:szCs w:val="18"/>
          <w:color w:val="auto"/>
        </w:rPr>
        <w:t>Over the course of 2021 we were successful in improving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capacity of our plants and we plan to continue to expand the distribution of our products by partnering with customers to take product into different markets while also focusing on opportunities to upgrade our margins through the optimization of our product mix. Additionally, we are evaluating several capital improvement projects for 2022 focused on margin enhancement opportunities related to our storage and distribution capabilities.</w:t>
      </w:r>
    </w:p>
    <w:p>
      <w:pPr>
        <w:spacing w:after="0" w:line="79" w:lineRule="exact"/>
        <w:rPr>
          <w:rFonts w:ascii="Arial" w:cs="Arial" w:eastAsia="Arial" w:hAnsi="Arial"/>
          <w:sz w:val="18"/>
          <w:szCs w:val="18"/>
          <w:color w:val="auto"/>
        </w:rPr>
      </w:pPr>
    </w:p>
    <w:p>
      <w:pPr>
        <w:jc w:val="both"/>
        <w:ind w:left="540" w:hanging="357"/>
        <w:spacing w:after="0" w:line="269"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Development and Implementation of a Strategy to Capitalize on Low Carbon Ammonia and Clean Energy Opportunities. </w:t>
      </w:r>
      <w:r>
        <w:rPr>
          <w:rFonts w:ascii="Arial" w:cs="Arial" w:eastAsia="Arial" w:hAnsi="Arial"/>
          <w:sz w:val="17"/>
          <w:szCs w:val="17"/>
          <w:color w:val="auto"/>
        </w:rPr>
        <w:t>The reduction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particularly related to carbon dioxide, has been and we expect will increasingly become a global environmental priority as part of efforts to stem the harmful effects of climate change. There is increasing evidence from a variety of industry studies to indicate that ammonia can play a significant role in making meaningful progress towards this objective. As a result, we are currently evaluating and developing projects that could enable us to become a producer and marketer of blue and green ammonia and other derivative products. Blue ammonia is produced using natural gas and conventional processes but includes an additional stage where the carbon dioxide emissions are captured and permanently stored in deep underground rock formations, resulting in a low carbon emission product that, we believe, can be sold at a premium to agricultural, industrial, mining, power generation and marine customers seeking to reduce their carbon footprint and potentially capitalize on government incentives. Green ammonia is ammonia produced using renewable energy to power electrolyzers that extract hydrogen from water, resulting in zero-carbon production of ammonia, which we believe can also be sold at a premium to a variety of customers and industries around the world.</w:t>
      </w:r>
    </w:p>
    <w:p>
      <w:pPr>
        <w:spacing w:after="0" w:line="74" w:lineRule="exact"/>
        <w:rPr>
          <w:sz w:val="20"/>
          <w:szCs w:val="20"/>
          <w:color w:val="auto"/>
        </w:rPr>
      </w:pPr>
    </w:p>
    <w:p>
      <w:pPr>
        <w:jc w:val="both"/>
        <w:ind w:left="560"/>
        <w:spacing w:after="0" w:line="254" w:lineRule="auto"/>
        <w:rPr>
          <w:sz w:val="20"/>
          <w:szCs w:val="20"/>
          <w:color w:val="auto"/>
        </w:rPr>
      </w:pPr>
      <w:r>
        <w:rPr>
          <w:rFonts w:ascii="Arial" w:cs="Arial" w:eastAsia="Arial" w:hAnsi="Arial"/>
          <w:sz w:val="18"/>
          <w:szCs w:val="18"/>
          <w:color w:val="auto"/>
        </w:rPr>
        <w:t>Ammonia has continued to emerge as one of the more viable alternatives to serve as a hydrogen-based energy source for a variety of applications due to its higher energy density and ease of storage relative to hydrogen gas. Blue and green ammonia can be used as zero carbon fuel in the maritime sector, as a carbon free fertilizer and as a coal substitute in power generation. If ammonia were to be adopted for these and other energy needs globally, some studies have indicated that future demand could increase significantly from current levels of global annual production of ammonia. We believe we are well-positioned to capitalize on this opportunity and become a market leader given our potential to retrofit our existing plants rather than needing to invest entirely in greenfield projects, which we believe can reduce our time to market for this product and also reduce the upfront capital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left="560"/>
        <w:spacing w:after="0"/>
        <w:rPr>
          <w:sz w:val="20"/>
          <w:szCs w:val="20"/>
          <w:color w:val="auto"/>
        </w:rPr>
      </w:pPr>
      <w:r>
        <w:rPr>
          <w:rFonts w:ascii="Arial" w:cs="Arial" w:eastAsia="Arial" w:hAnsi="Arial"/>
          <w:sz w:val="17"/>
          <w:szCs w:val="17"/>
          <w:color w:val="auto"/>
        </w:rPr>
        <w:t>expenditures necessary to enable us to produce this product, thereby enhancing the economic attractiveness for us to such investments.</w:t>
      </w:r>
    </w:p>
    <w:p>
      <w:pPr>
        <w:spacing w:after="0" w:line="129" w:lineRule="exact"/>
        <w:rPr>
          <w:sz w:val="20"/>
          <w:szCs w:val="20"/>
          <w:color w:val="auto"/>
        </w:rPr>
      </w:pPr>
    </w:p>
    <w:p>
      <w:pPr>
        <w:jc w:val="both"/>
        <w:ind w:left="540" w:hanging="357"/>
        <w:spacing w:after="0" w:line="28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Evaluate and Pursue Organic Capacity Expansion. </w:t>
      </w:r>
      <w:r>
        <w:rPr>
          <w:rFonts w:ascii="Arial" w:cs="Arial" w:eastAsia="Arial" w:hAnsi="Arial"/>
          <w:sz w:val="17"/>
          <w:szCs w:val="17"/>
          <w:color w:val="auto"/>
        </w:rPr>
        <w:t>We are evaluating opportunities across all of our facilities to increase production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implementation of several potential debottlenecking projects. Our initial calculations suggest that, assuming mid-market pricing assumptions for Tampa ammonia, UAN and natural gas, these projects could potentially represent significant incremental annual profitability.</w:t>
      </w:r>
    </w:p>
    <w:p>
      <w:pPr>
        <w:spacing w:after="0" w:line="57" w:lineRule="exact"/>
        <w:rPr>
          <w:rFonts w:ascii="Arial" w:cs="Arial" w:eastAsia="Arial" w:hAnsi="Arial"/>
          <w:sz w:val="17"/>
          <w:szCs w:val="17"/>
          <w:color w:val="auto"/>
        </w:rPr>
      </w:pPr>
    </w:p>
    <w:p>
      <w:pPr>
        <w:jc w:val="both"/>
        <w:ind w:left="540" w:hanging="357"/>
        <w:spacing w:after="0" w:line="279"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Pursue Acquisitions of Strategic Assets or Companies. </w:t>
      </w:r>
      <w:r>
        <w:rPr>
          <w:rFonts w:ascii="Arial" w:cs="Arial" w:eastAsia="Arial" w:hAnsi="Arial"/>
          <w:sz w:val="17"/>
          <w:szCs w:val="17"/>
          <w:color w:val="auto"/>
        </w:rPr>
        <w:t>We are actively engaged in evaluating and pursuing various opportunities to acquire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companies, where we believe those acquisitions will enhance the value of the Company and provide attractive returns. We evaluate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Reduced Cost of Capital through Debt Refinancing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our September 2021 preferred stock exchange transaction, in October 2021 we received credit upgrades by Moody’s and S&amp;P and proceeded to complete a senior secured notes offering of $500 million of 6.25% which we used to refinance or existing higher cost debt and add liquidity to our balance sheet. In February and March of 2022, we received additional credit upgrades from S&amp;P and Moody’s, respectively, after which we completed an offering of $200 million of senior secured notes due 2028, bearing an interest rate of 6.25%. The proceeds from this “tack on” offering in combination with the enhanced liquidity we attained through our October 2021 offering along with our current level of strong cash flow provide us with ample capital for use in pursuing and investing in the Key Operating Initiatives summarized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Signed Agreements for Low and No Carbon Ammonia Projects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April 2022 we entered into an agreement with Lapis Energy to develop a project to capture and permanently sequester CO</w:t>
      </w:r>
      <w:r>
        <w:rPr>
          <w:rFonts w:ascii="Arial" w:cs="Arial" w:eastAsia="Arial" w:hAnsi="Arial"/>
          <w:sz w:val="13"/>
          <w:szCs w:val="13"/>
          <w:color w:val="auto"/>
        </w:rPr>
        <w:t>2</w:t>
      </w:r>
      <w:r>
        <w:rPr>
          <w:rFonts w:ascii="Arial" w:cs="Arial" w:eastAsia="Arial" w:hAnsi="Arial"/>
          <w:sz w:val="16"/>
          <w:szCs w:val="16"/>
          <w:color w:val="auto"/>
        </w:rPr>
        <w:t xml:space="preserve"> at our El Dorado, Arkansas facility. Lapis, backed by Cresta Fund Management, a Dallas-based middle-market infrastructure investment firm, will make 100% of the capital investment required for the project development. The project is expected to be completed by 2025, subject to the approval of a Class VI permit, at which time CO</w:t>
      </w:r>
      <w:r>
        <w:rPr>
          <w:rFonts w:ascii="Arial" w:cs="Arial" w:eastAsia="Arial" w:hAnsi="Arial"/>
          <w:sz w:val="13"/>
          <w:szCs w:val="13"/>
          <w:color w:val="auto"/>
        </w:rPr>
        <w:t>2</w:t>
      </w:r>
      <w:r>
        <w:rPr>
          <w:rFonts w:ascii="Arial" w:cs="Arial" w:eastAsia="Arial" w:hAnsi="Arial"/>
          <w:sz w:val="16"/>
          <w:szCs w:val="16"/>
          <w:color w:val="auto"/>
        </w:rPr>
        <w:t xml:space="preserve"> injections are expected to begin. Once operational, the project at the El Dorado site will initially capture and permanently sequester more than 450,000 metric tons of CO</w:t>
      </w:r>
      <w:r>
        <w:rPr>
          <w:rFonts w:ascii="Arial" w:cs="Arial" w:eastAsia="Arial" w:hAnsi="Arial"/>
          <w:sz w:val="13"/>
          <w:szCs w:val="13"/>
          <w:color w:val="auto"/>
        </w:rPr>
        <w:t>2</w:t>
      </w:r>
      <w:r>
        <w:rPr>
          <w:rFonts w:ascii="Arial" w:cs="Arial" w:eastAsia="Arial" w:hAnsi="Arial"/>
          <w:sz w:val="16"/>
          <w:szCs w:val="16"/>
          <w:color w:val="auto"/>
        </w:rPr>
        <w:t xml:space="preserve"> per year in underground saline aquifers, with the potential to increase this quantity based on potential debottlenecking projects at the facility. The permanently sequestered CO</w:t>
      </w:r>
      <w:r>
        <w:rPr>
          <w:rFonts w:ascii="Arial" w:cs="Arial" w:eastAsia="Arial" w:hAnsi="Arial"/>
          <w:sz w:val="13"/>
          <w:szCs w:val="13"/>
          <w:color w:val="auto"/>
        </w:rPr>
        <w:t>2</w:t>
      </w:r>
      <w:r>
        <w:rPr>
          <w:rFonts w:ascii="Arial" w:cs="Arial" w:eastAsia="Arial" w:hAnsi="Arial"/>
          <w:sz w:val="16"/>
          <w:szCs w:val="16"/>
          <w:color w:val="auto"/>
        </w:rPr>
        <w:t xml:space="preserve"> generated from the facility’s ammonia production is expected to qualify for federal tax credits under Internal Revenue Code Section 45Q, which are currently $50 per metric ton of CO</w:t>
      </w:r>
      <w:r>
        <w:rPr>
          <w:rFonts w:ascii="Arial" w:cs="Arial" w:eastAsia="Arial" w:hAnsi="Arial"/>
          <w:sz w:val="13"/>
          <w:szCs w:val="13"/>
          <w:color w:val="auto"/>
        </w:rPr>
        <w:t>2</w:t>
      </w:r>
      <w:r>
        <w:rPr>
          <w:rFonts w:ascii="Arial" w:cs="Arial" w:eastAsia="Arial" w:hAnsi="Arial"/>
          <w:sz w:val="16"/>
          <w:szCs w:val="16"/>
          <w:color w:val="auto"/>
        </w:rPr>
        <w:t xml:space="preserve"> captured beginning in 2026, but under evaluation by Congress to increase the 45Q tax credit to $85 per metric ton of CO</w:t>
      </w:r>
      <w:r>
        <w:rPr>
          <w:rFonts w:ascii="Arial" w:cs="Arial" w:eastAsia="Arial" w:hAnsi="Arial"/>
          <w:sz w:val="13"/>
          <w:szCs w:val="13"/>
          <w:color w:val="auto"/>
        </w:rPr>
        <w:t>2</w:t>
      </w:r>
      <w:r>
        <w:rPr>
          <w:rFonts w:ascii="Arial" w:cs="Arial" w:eastAsia="Arial" w:hAnsi="Arial"/>
          <w:sz w:val="16"/>
          <w:szCs w:val="16"/>
          <w:color w:val="auto"/>
        </w:rPr>
        <w:t>. Once in operation, the sequestered CO</w:t>
      </w:r>
      <w:r>
        <w:rPr>
          <w:rFonts w:ascii="Arial" w:cs="Arial" w:eastAsia="Arial" w:hAnsi="Arial"/>
          <w:sz w:val="13"/>
          <w:szCs w:val="13"/>
          <w:color w:val="auto"/>
        </w:rPr>
        <w:t>2</w:t>
      </w:r>
      <w:r>
        <w:rPr>
          <w:rFonts w:ascii="Arial" w:cs="Arial" w:eastAsia="Arial" w:hAnsi="Arial"/>
          <w:sz w:val="16"/>
          <w:szCs w:val="16"/>
          <w:color w:val="auto"/>
        </w:rPr>
        <w:t xml:space="preserve"> is expected to reduce LSB’s scope 1 GHG emissions by approximately 25% from current levels. In addition, sequestering more than 450,000 metric tons of CO</w:t>
      </w:r>
      <w:r>
        <w:rPr>
          <w:rFonts w:ascii="Arial" w:cs="Arial" w:eastAsia="Arial" w:hAnsi="Arial"/>
          <w:sz w:val="13"/>
          <w:szCs w:val="13"/>
          <w:color w:val="auto"/>
        </w:rPr>
        <w:t>2</w:t>
      </w:r>
      <w:r>
        <w:rPr>
          <w:rFonts w:ascii="Arial" w:cs="Arial" w:eastAsia="Arial" w:hAnsi="Arial"/>
          <w:sz w:val="16"/>
          <w:szCs w:val="16"/>
          <w:color w:val="auto"/>
        </w:rPr>
        <w:t xml:space="preserve"> annually is expected to enable LSB to produce over 375,000 metric tons of blue ammonia annually, a product that could potentially be sold at higher price levels than conventional ammonia.</w:t>
      </w:r>
    </w:p>
    <w:p>
      <w:pPr>
        <w:spacing w:after="0" w:line="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2022 we entered into agreements with Thyssenkrupp Uhde USA, LLC and Bloom Energy, (NYSE:BE) to develop a project to produce approximately 30,000 metric tons of zero-carbon or “green” ammonia per year at our Pryor, Oklahoma facility. Thyssenkrupp Uhde will develop the engineering design to convert a small portion of Pryor’s existing conventional or “grey” ammonia capacity into green ammonia. Pending results of the feasibility study currently underway and subsequent board approval, the project is planned to be constructed in two phases: first with Bloom supplying a 10-megawatt solid oxide electrolyzer, followed by the installation of an additional 20-megawatt alkaline electrolyzer unit, which we plan to source from a leading manufacturer. Bloom will own, operate and maintain the solid oxide electrolyzer. The green hydrogen produced from the electrolyzers as part of the ammonia production process could qualify for federal incentive programs such as the production and investment tax credits under evaluation by Congress.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Continued Improvement in Product Sales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prices for all of our major products were higher for the second quarter of 2022 as compared to the same quarter of 2021 driven by a combination of supply and demand factors. Elevated corn prices over the past year have been driven, in part, by strong production levels of ethanol, a gasoline additive that consumes a significant portion of total U.S. annual corn production. Recent U.S. Department of Agriculture forecasts point to U.S. corn acreage to be planted in the 2022-2023 planting season to be approximately 90 million acres, modestly lower than the 2021-2022 estimate of 93.4 million acres, but still a very healthy level to support strong demand for fertilizers.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supporting the strength in fertilizer prices has been the high cost of natural gas in Europe. Natural gas is the primary feedstock for production of ammonia. Natural gas prices in European markets have risen to levels that have negatively impacted the economics of ammonia production in that region, prompting producers to cease operations at some Europe-based facilities. The resultant decrease in global production of ammonia has supported the strength in nitrogen-based fertilizer prices and benefitted U.S. producers which have materially lower production costs given the significantly lower price of natural gas in the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8"/>
          <w:szCs w:val="18"/>
          <w:color w:val="auto"/>
        </w:rPr>
        <w:t>Further contributing to increased fertilizer prices as compared to year-ago levels has been the impact of the Russian invasion of Ukraine. Ukraine is one of the world’s largest exporters of corn and the current unstable geopolitical situation has and is expected to continue to disrupt the nation’s corn production and exports in 2022 and 2023. This should translate into constrained global supply for corn and provide support for elevated corn prices in markets throughout the world. As a result, corn farmers will likely be motivated to maximize yields by applying fertilizers, thus supporting nitrogen prices. With respect to global nitrogen supply, Russia has historically been one of the top exporters of ammonia worldwide. Current economic sanctions against Russia by numerous countries around the world have further reduced the supply of ammonia flowing into the global fertilizer market, contributing to historically high prices. Finally, the war in Ukraine has resulted in continued high prices for natural gas in Europe, which imports a large amount of its gas from Russia, making ammonia production even more uneconomical for European ammonia producers. On top of the dynamics already resulting in elevated nitrogen prices during the first half of 2022, Russia’s aggression toward Ukraine is likely to have impacts on the global ammonia market far beyond when the conflict ends.</w:t>
      </w:r>
    </w:p>
    <w:p>
      <w:pPr>
        <w:spacing w:after="0" w:line="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factors discussed above collectively drove fertilizer prices higher over the course of 2021 and into the early part of the second quarter of 2022. Since that time, while still materially above prior year levels, pricing has declined from peak levels as a result of wet weather throughout the Midwest during the spring planting season, which caused farmers to forego purchases of ammonia and UAN. While this was a headwind to our fertilizer sales volumes in the second quarter, we believe that the limited fertilizer application during the spring may translate into a heavier than typical application of agricultural ammonia in the fall as farmers seek to replenish the nitrogen in their soil ahead of the 2023 planting season.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our industrial products, selling prices remain materially higher than a year ago largely as a result of the aforementioned factors pertaining to natural gas. The Tampa Ammonia benchmark price declined over the past several months from the all-time high levels attained earlier in 2022 due to lower demand from Asian industrial suppliers coupled with the impact of increased supply following the commissioning of a new plant in Saudi Arabia and the restart of a plant in Louisiana that had been offline for repair. However, the Tampa price remains well above its average price level of the past ten years. This is favorable for our selling prices as many of our industrial contracts are indexed to this benchmark price. Demand trends for our nitric acid, our largest industrial product category, have remained strong and we benefitted from the long-term nitric acid supply contract we commenced in 2021. Although we are yet to experience a significant drop in demand for our industrial and mining products overall because of a slowing economy, we believe we have a meaningful degree of downside protection from the impacts of a potential economic recession given the nature of our contracts for these products.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See a more detailed discussion below under “Key Industry Factors.”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Fertilizer</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 at which our fertilizer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the June 2022 USDA annual Acreage Report, farmers intend to plant 89.9 million acres of corn in 2022 down 4 percent compared to the 2021 planting season. As it relates to the 2023 Crop as noted in the table below, the USDA estimates the U.S. ending stocks will be approximately 37.3 million metric tons, a 3% decrease from the current estimate for the 2022 Crop. The USDA also is estimating another record yield for the 2023 Crop matching the 2022 Crop of 177 bushels per acre.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July 2022 estimates are associated with the corn market: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2023 Crop</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2022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2021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(2022 Harvest)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(2021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(2020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4"/>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July Report (1)</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July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(2)</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July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400" w:type="dxa"/>
            <w:vAlign w:val="bottom"/>
          </w:tcPr>
          <w:p>
            <w:pPr>
              <w:jc w:val="right"/>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380" w:type="dxa"/>
            <w:vAlign w:val="bottom"/>
          </w:tcPr>
          <w:p>
            <w:pPr>
              <w:jc w:val="right"/>
              <w:spacing w:after="0"/>
              <w:rPr>
                <w:sz w:val="20"/>
                <w:szCs w:val="20"/>
                <w:color w:val="auto"/>
              </w:rPr>
            </w:pPr>
            <w:r>
              <w:rPr>
                <w:rFonts w:ascii="Arial" w:cs="Arial" w:eastAsia="Arial" w:hAnsi="Arial"/>
                <w:sz w:val="18"/>
                <w:szCs w:val="18"/>
                <w:color w:val="auto"/>
              </w:rPr>
              <w:t>14,505</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15,115</w:t>
            </w: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400" w:type="dxa"/>
            <w:vAlign w:val="bottom"/>
          </w:tcPr>
          <w:p>
            <w:pPr>
              <w:jc w:val="right"/>
              <w:spacing w:after="0"/>
              <w:rPr>
                <w:sz w:val="20"/>
                <w:szCs w:val="20"/>
                <w:color w:val="auto"/>
              </w:rPr>
            </w:pPr>
            <w:r>
              <w:rPr>
                <w:rFonts w:ascii="Arial" w:cs="Arial" w:eastAsia="Arial" w:hAnsi="Arial"/>
                <w:sz w:val="18"/>
                <w:szCs w:val="18"/>
                <w:color w:val="auto"/>
              </w:rPr>
              <w:t>14,111</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380" w:type="dxa"/>
            <w:vAlign w:val="bottom"/>
          </w:tcPr>
          <w:p>
            <w:pPr>
              <w:jc w:val="right"/>
              <w:spacing w:after="0"/>
              <w:rPr>
                <w:sz w:val="20"/>
                <w:szCs w:val="20"/>
                <w:color w:val="auto"/>
              </w:rPr>
            </w:pPr>
            <w:r>
              <w:rPr>
                <w:rFonts w:ascii="Arial" w:cs="Arial" w:eastAsia="Arial" w:hAnsi="Arial"/>
                <w:sz w:val="18"/>
                <w:szCs w:val="18"/>
                <w:color w:val="auto"/>
              </w:rPr>
              <w:t>312.9</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312.3</w:t>
            </w:r>
          </w:p>
        </w:tc>
        <w:tc>
          <w:tcPr>
            <w:tcW w:w="24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400" w:type="dxa"/>
            <w:vAlign w:val="bottom"/>
          </w:tcPr>
          <w:p>
            <w:pPr>
              <w:jc w:val="right"/>
              <w:spacing w:after="0"/>
              <w:rPr>
                <w:sz w:val="20"/>
                <w:szCs w:val="20"/>
                <w:color w:val="auto"/>
              </w:rPr>
            </w:pPr>
            <w:r>
              <w:rPr>
                <w:rFonts w:ascii="Arial" w:cs="Arial" w:eastAsia="Arial" w:hAnsi="Arial"/>
                <w:sz w:val="18"/>
                <w:szCs w:val="18"/>
                <w:color w:val="auto"/>
              </w:rPr>
              <w:t>293.3</w:t>
            </w:r>
          </w:p>
        </w:tc>
        <w:tc>
          <w:tcPr>
            <w:tcW w:w="24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40" w:hanging="368"/>
        <w:spacing w:after="0" w:line="25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obtained from WASDE reports dated July 12, 2022 (“July Report”) for the 2022/2023 (“2023 Crop”), 2021/2022 (“2022 Crop”) and 2020/2021 (“2021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percentage change between the 2023 Crop amounts compared to the 2022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percentage change between the 2023 Crop amounts compared to the 2021 Crop amounts.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current USDA corn outlook for the U.S. is for larger supplies and higher ending stocks in the report. Corn beginning stocks are raised 25 million bushels, based on reduced feed and residual use for the 2022 Crop as indicated in the June 30, 2022 Grain Stocks report. The USDA did not change production, food, seed and industrial use. Domestic corn demand to produce ethanol has rebounded to pre-pandemic levels as the continued roll-out of vaccines has allowed for the re-opening of the vast majority of the U.S. economy, promoting increased mobility and a return to historical levels of gasoline consumption. Most gasoline has 10% ethanol content. The Biden administration announced the Environmental Protection Agency would issue an emergency waiver from the Clean Air Act that will permit the sale of gasoline that is 15 percent ethanol, 5 percent more than the typical blend, from June 1 to Sept. 15. Ethanol is commonly made from corn and ethanol production is the largest user of U.S. corn, currently representing approximately 40% of total U.S. corn demand.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 and Mining Products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industrial products sales volumes are dependent upon general economic conditions primarily in the housing, automotive and paper industries. According to the American Chemistry Council, the U.S. economic indicators are improving and pointing towards continued improvement in the markets we serve. Our sales prices generally vary with the market price of ammonia or natural gas, as applicable, in our pricing arrangements with customers.</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mining products are LDAN and AN solution, which are primarily used as AN fuel oil and specialty emulsions for usage in the quarry and the construction industries, for metals mining and to a lesser extent, for coal. Demand for our products from mining end-markets continues to improve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and for a fixed supply quantity. We are able to purchase natural gas at competitive prices due to our connections to large distribution systems and their proximity to interstate pipeline systems.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volume of natural gas we purchased and the average cost per MMBtu:</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gridSpan w:val="4"/>
          </w:tcPr>
          <w:p>
            <w:pPr>
              <w:jc w:val="center"/>
              <w:ind w:left="250"/>
              <w:spacing w:after="0"/>
              <w:rPr>
                <w:sz w:val="20"/>
                <w:szCs w:val="20"/>
                <w:color w:val="auto"/>
              </w:rPr>
            </w:pPr>
            <w:r>
              <w:rPr>
                <w:rFonts w:ascii="Arial" w:cs="Arial" w:eastAsia="Arial" w:hAnsi="Arial"/>
                <w:sz w:val="18"/>
                <w:szCs w:val="18"/>
                <w:color w:val="auto"/>
                <w:w w:val="89"/>
              </w:rPr>
              <w:t>Three Months Ended</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3"/>
          </w:tcPr>
          <w:p>
            <w:pPr>
              <w:jc w:val="center"/>
              <w:ind w:right="358"/>
              <w:spacing w:after="0"/>
              <w:rPr>
                <w:sz w:val="20"/>
                <w:szCs w:val="20"/>
                <w:color w:val="auto"/>
              </w:rPr>
            </w:pPr>
            <w:r>
              <w:rPr>
                <w:rFonts w:ascii="Arial" w:cs="Arial" w:eastAsia="Arial" w:hAnsi="Arial"/>
                <w:sz w:val="18"/>
                <w:szCs w:val="18"/>
                <w:color w:val="auto"/>
                <w:w w:val="86"/>
              </w:rPr>
              <w:t>June 30,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700"/>
              <w:spacing w:after="0"/>
              <w:rPr>
                <w:sz w:val="20"/>
                <w:szCs w:val="20"/>
                <w:color w:val="auto"/>
              </w:rPr>
            </w:pPr>
            <w:r>
              <w:rPr>
                <w:rFonts w:ascii="Arial" w:cs="Arial" w:eastAsia="Arial" w:hAnsi="Arial"/>
                <w:sz w:val="18"/>
                <w:szCs w:val="18"/>
                <w:color w:val="auto"/>
              </w:rPr>
              <w:t>Natural gas average cost per MMBtu</w:t>
            </w:r>
          </w:p>
        </w:tc>
        <w:tc>
          <w:tcPr>
            <w:tcW w:w="2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7.15</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80" w:type="dxa"/>
            <w:vAlign w:val="bottom"/>
            <w:vMerge w:val="restart"/>
          </w:tcPr>
          <w:p>
            <w:pPr>
              <w:jc w:val="right"/>
              <w:ind w:right="1210"/>
              <w:spacing w:after="0"/>
              <w:rPr>
                <w:sz w:val="20"/>
                <w:szCs w:val="20"/>
                <w:color w:val="auto"/>
              </w:rPr>
            </w:pPr>
            <w:r>
              <w:rPr>
                <w:rFonts w:ascii="Arial" w:cs="Arial" w:eastAsia="Arial" w:hAnsi="Arial"/>
                <w:sz w:val="18"/>
                <w:szCs w:val="18"/>
                <w:color w:val="auto"/>
              </w:rPr>
              <w:t>22</w:t>
            </w: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were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spacing w:after="0" w:line="76"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Consistent, reliable and safe operations at our chemical plants are critical to our financial performance and results of operations. The financial effects of planned downtime at our plants, including Turnarounds (primarily associated with our ammonia plants),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completing with the next ammonia plant Turnaround planned in the third quarter of 2024.</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El Dorado and Pryor Facilities are both currently scheduled for their next ammonia plant Turnarounds during the third quarter of 2022. Following those Turnarounds, they will be on a three-year and two-year ammonia plant Turnaround cycle, respectively.</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2022, we are targeting total ammonia production of approximately 750,000 tons to 780,000 tons despite Turnarounds at our Pryor and El Dorado Facilities, which will lower ammonia production during the third quarter by approximately 55,000 to 65,000 tons.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continuous improvement in reliability as discussed in key operating initiatives will result in year over year improvement in ammonia production for 2022.</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Second Quarter of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second quarter of 2022 were $284.8 million compared to $140.7 million for the same period in 2021. Our consolidated operating income for the second quarter of 2022 was $132.7 million compared to $26.5 million for the same period in 2021. The items impacting our operating results are discussed in more detail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Second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2022, average selling prices for our key products increased approximately 96% to 160% compared to the second quarter of 2021. As discussed above under “Recent Business Developments,” increased demand, higher corn prices and tighter supplies of nitrogen products contributed to the improved pricing.</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2022, average industrial selling prices for most of our products were also higher compared to the same period of 2021, primarily driven by the $712 per metric ton increase in the Tampa Ammonia benchmark price, as many of our industrial contracts are indexed to the Tampa Ammonia benchmark price.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Settlement of Life Insurance (2022 only)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we recognized a settlement on our company owned life insurance resulting from the approval by our insurer of a death benefit relating to the death of J. Golsen as discussed in Note 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i w:val="1"/>
          <w:iCs w:val="1"/>
          <w:color w:val="auto"/>
        </w:rPr>
        <w:t>Gain on Extinguishment of Debt – PPP Loan Forgiven (2021 only)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we entered into a federally guaranteed PPP loan for $10 million with a lender pursuant to a new loan program through the SBA as the result of the PPP established by the CARES Act and amended by the PPP Flexibility Act of 2020. In April 2021, we submitted the PPP loan forgiveness application to the lender. In June 2021, the PPP loan was fully forgiven by the SBA and lender. As a result, we recognized a gain on extinguishment of debt of $10 million for the second quarter of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and six months ended June 30, 2022 and 2021 and accompanying notes and the discussions under “Overview” and “Liquidity and Capital Resources” included in this MD&amp;A.</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2022 Compared to Three Months Ended June 30,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4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6"/>
                <w:szCs w:val="16"/>
                <w:color w:val="auto"/>
                <w:w w:val="97"/>
              </w:rPr>
              <w:t>(Dollars In Thousands)</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AN &amp; Nitric Acid</w:t>
            </w:r>
          </w:p>
        </w:tc>
        <w:tc>
          <w:tcPr>
            <w:tcW w:w="9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96,142</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56,739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39,403</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Urea ammonium nitrate (UAN)</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47,087</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Ammonia</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89,444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50,903</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22,231</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sales</w:t>
            </w:r>
          </w:p>
        </w:tc>
        <w:tc>
          <w:tcPr>
            <w:tcW w:w="7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284,803</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140,696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144,107</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162,865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(16,646)</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(16,941)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(3,295)</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(2,588)</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Total gross profit</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142,924</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107,916</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106,201</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(gain) on extinguishment of debt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(3,430)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(4,175)</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20,630</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103,399</w:t>
            </w:r>
          </w:p>
        </w:tc>
        <w:tc>
          <w:tcPr>
            <w:tcW w:w="3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79,729</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information:</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25.3%</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57.2%</w:t>
            </w:r>
          </w:p>
        </w:tc>
        <w:tc>
          <w:tcPr>
            <w:tcW w:w="2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7"/>
          </w:tcPr>
          <w:p>
            <w:pPr>
              <w:ind w:left="1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Percentage</w:t>
            </w:r>
          </w:p>
        </w:tc>
        <w:tc>
          <w:tcPr>
            <w:tcW w:w="0" w:type="dxa"/>
            <w:vAlign w:val="bottom"/>
          </w:tcPr>
          <w:p>
            <w:pPr>
              <w:spacing w:after="0"/>
              <w:rPr>
                <w:sz w:val="1"/>
                <w:szCs w:val="1"/>
                <w:color w:val="auto"/>
              </w:rPr>
            </w:pPr>
          </w:p>
        </w:tc>
      </w:tr>
      <w:tr>
        <w:trPr>
          <w:trHeight w:val="217"/>
        </w:trPr>
        <w:tc>
          <w:tcPr>
            <w:tcW w:w="5180" w:type="dxa"/>
            <w:vAlign w:val="bottom"/>
            <w:gridSpan w:val="4"/>
          </w:tcPr>
          <w:p>
            <w:pPr>
              <w:spacing w:after="0"/>
              <w:rPr>
                <w:sz w:val="20"/>
                <w:szCs w:val="20"/>
                <w:color w:val="auto"/>
              </w:rPr>
            </w:pPr>
            <w:r>
              <w:rPr>
                <w:rFonts w:ascii="Arial" w:cs="Arial" w:eastAsia="Arial" w:hAnsi="Arial"/>
                <w:sz w:val="14"/>
                <w:szCs w:val="14"/>
                <w:color w:val="auto"/>
              </w:rPr>
              <w:t>Product (tons sold)</w:t>
            </w:r>
          </w:p>
        </w:tc>
        <w:tc>
          <w:tcPr>
            <w:tcW w:w="20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w w:val="91"/>
              </w:rPr>
              <w:t>Change</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FF0FC"/>
            </w:tcBorders>
            <w:shd w:val="clear" w:color="auto" w:fill="000000"/>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6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Borders>
              <w:right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rPr>
              <w:t>AN &amp; Nitric Acid</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162,014</w:t>
            </w:r>
          </w:p>
        </w:tc>
        <w:tc>
          <w:tcPr>
            <w:tcW w:w="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186,962</w:t>
            </w:r>
          </w:p>
        </w:tc>
        <w:tc>
          <w:tcPr>
            <w:tcW w:w="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(24,948)</w:t>
            </w:r>
          </w:p>
        </w:tc>
        <w:tc>
          <w:tcPr>
            <w:tcW w:w="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gridSpan w:val="4"/>
          </w:tcPr>
          <w:p>
            <w:pPr>
              <w:ind w:left="240"/>
              <w:spacing w:after="0"/>
              <w:rPr>
                <w:sz w:val="20"/>
                <w:szCs w:val="20"/>
                <w:color w:val="auto"/>
              </w:rPr>
            </w:pPr>
            <w:r>
              <w:rPr>
                <w:rFonts w:ascii="Arial" w:cs="Arial" w:eastAsia="Arial" w:hAnsi="Arial"/>
                <w:sz w:val="18"/>
                <w:szCs w:val="18"/>
                <w:color w:val="auto"/>
              </w:rPr>
              <w:t>Urea ammonium nitrate (UAN)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130,561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121,995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8,566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180" w:type="dxa"/>
            <w:vAlign w:val="bottom"/>
            <w:tcBorders>
              <w:right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75,526</w:t>
            </w:r>
          </w:p>
        </w:tc>
        <w:tc>
          <w:tcPr>
            <w:tcW w:w="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84,540</w:t>
            </w:r>
          </w:p>
        </w:tc>
        <w:tc>
          <w:tcPr>
            <w:tcW w:w="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(9,014)</w:t>
            </w: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180" w:type="dxa"/>
            <w:vAlign w:val="bottom"/>
            <w:gridSpan w:val="4"/>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393,497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7"/>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center"/>
              <w:ind w:left="470"/>
              <w:spacing w:after="0"/>
              <w:rPr>
                <w:sz w:val="20"/>
                <w:szCs w:val="20"/>
                <w:color w:val="auto"/>
              </w:rPr>
            </w:pPr>
            <w:r>
              <w:rPr>
                <w:rFonts w:ascii="Arial" w:cs="Arial" w:eastAsia="Arial" w:hAnsi="Arial"/>
                <w:sz w:val="18"/>
                <w:szCs w:val="18"/>
                <w:color w:val="auto"/>
                <w:w w:val="86"/>
              </w:rPr>
              <w:t>June 30,</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7"/>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Change</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
        </w:trPr>
        <w:tc>
          <w:tcPr>
            <w:tcW w:w="5180" w:type="dxa"/>
            <w:vAlign w:val="bottom"/>
            <w:tcBorders>
              <w:right w:val="single" w:sz="8" w:color="CFF0FC"/>
            </w:tcBorders>
            <w:gridSpan w:val="4"/>
            <w:vMerge w:val="restart"/>
            <w:shd w:val="clear" w:color="auto" w:fill="CFF0FC"/>
          </w:tcPr>
          <w:p>
            <w:pPr>
              <w:ind w:left="240"/>
              <w:spacing w:after="0"/>
              <w:rPr>
                <w:sz w:val="20"/>
                <w:szCs w:val="20"/>
                <w:color w:val="auto"/>
              </w:rPr>
            </w:pPr>
            <w:r>
              <w:rPr>
                <w:rFonts w:ascii="Arial" w:cs="Arial" w:eastAsia="Arial" w:hAnsi="Arial"/>
                <w:sz w:val="18"/>
                <w:szCs w:val="18"/>
                <w:color w:val="auto"/>
              </w:rPr>
              <w:t>AN &amp; Nitric Acid</w:t>
            </w:r>
          </w:p>
        </w:tc>
        <w:tc>
          <w:tcPr>
            <w:tcW w:w="2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Borders>
              <w:right w:val="single" w:sz="8" w:color="CFF0FC"/>
            </w:tcBorders>
            <w:gridSpan w:val="4"/>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5180" w:type="dxa"/>
            <w:vAlign w:val="bottom"/>
            <w:gridSpan w:val="4"/>
          </w:tcPr>
          <w:p>
            <w:pPr>
              <w:ind w:left="240"/>
              <w:spacing w:after="0"/>
              <w:rPr>
                <w:sz w:val="20"/>
                <w:szCs w:val="20"/>
                <w:color w:val="auto"/>
              </w:rPr>
            </w:pPr>
            <w:r>
              <w:rPr>
                <w:rFonts w:ascii="Arial" w:cs="Arial" w:eastAsia="Arial" w:hAnsi="Arial"/>
                <w:sz w:val="18"/>
                <w:szCs w:val="18"/>
                <w:color w:val="auto"/>
              </w:rPr>
              <w:t>Urea ammonium nitrate (UAN)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5180" w:type="dxa"/>
            <w:vAlign w:val="bottom"/>
            <w:tcBorders>
              <w:right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661"/>
        </w:trPr>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7"/>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center"/>
              <w:ind w:left="470"/>
              <w:spacing w:after="0"/>
              <w:rPr>
                <w:sz w:val="20"/>
                <w:szCs w:val="20"/>
                <w:color w:val="auto"/>
              </w:rPr>
            </w:pPr>
            <w:r>
              <w:rPr>
                <w:rFonts w:ascii="Arial" w:cs="Arial" w:eastAsia="Arial" w:hAnsi="Arial"/>
                <w:sz w:val="18"/>
                <w:szCs w:val="18"/>
                <w:color w:val="auto"/>
                <w:w w:val="86"/>
              </w:rPr>
              <w:t>June 30,</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Change</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Average Benchmark Prices (price per ton)</w:t>
            </w:r>
          </w:p>
        </w:tc>
        <w:tc>
          <w:tcPr>
            <w:tcW w:w="2760" w:type="dxa"/>
            <w:vAlign w:val="bottom"/>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Borders>
              <w:right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rPr>
              <w:t>Tampa Ammonia Benchmark</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180" w:type="dxa"/>
            <w:vAlign w:val="bottom"/>
            <w:gridSpan w:val="4"/>
          </w:tcPr>
          <w:p>
            <w:pPr>
              <w:ind w:left="240"/>
              <w:spacing w:after="0"/>
              <w:rPr>
                <w:sz w:val="20"/>
                <w:szCs w:val="20"/>
                <w:color w:val="auto"/>
              </w:rPr>
            </w:pPr>
            <w:r>
              <w:rPr>
                <w:rFonts w:ascii="Arial" w:cs="Arial" w:eastAsia="Arial" w:hAnsi="Arial"/>
                <w:sz w:val="18"/>
                <w:szCs w:val="18"/>
                <w:color w:val="auto"/>
              </w:rPr>
              <w:t>UAN Southern Plains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our primary products increased during the second quarter of 2022 compared to the prior year period driven by stronger pricing for all of our products. Partially offsetting the benefit of stronger pricing was lower sales volumes for fertilizer products including UAN, AN and ammonia caused by wet weather delaying the planting season. AN sales were also impacted by a shift in product mix as we optimize our sales of nitric acid. Historically, we have built inventory of HDAN used for fertilizer in the second half of the year, to sell in season, during the first six months of the following year. Due to a shift in product mix to nitric acid volumes beginning in the second quarter of 2021, which are more ratable, we did not have significant inventory build of AN over the latter half of 2021 to sell during the fertilizer season in 2022.</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Demand for our industrial and mining products remain robust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 Also, certain mining sales contracts are linked to natural gas indexes and as the cost of natural gas increases, the pricing for these products increase accordingly.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noted in the table above, we recognized a gross profit of $142.9 million for the second quarter of 2022 compared to $35.0 million for the same period in 2021, or an $107.9 million improvement. Overall, our gross profit percentage was 50.2% compared to 24.9% for the same period in 2021. Our adjusted gross profit percentage increased to 57.2% for the second quarter of 2022 from 37.4% for the second quarter of 2021.</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gross profit was primarily driven by higher sales prices for our products partially offset by lower volumes of our agricultural products. The improvement in gross profit was also partially offset by overall higher average natural gas costs, which averaged $7.15 per MMBtu for 2022 as compared to $2.78 per MMBtu for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SG&amp;A expenses were $9.6 million for the second quarter of 2022, an increase of $1.1 million compared to the same period in 2021. The net increase was primarily driven by miscellaneous corporate related expense and professional fees.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Gain on Extinguishment of Debt – PPP Loan Forgiven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2021, our PPP loan was fully forgiven by the SBA and lender. As a result, we recognized a gain on extinguishment of debt of $10 million for the second quarter of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Non-operating other income for the second quarter of 2022 was $3.4 million primarily relating to a recognized settlement on our company owned life insurance resulting from the approval by our insurer of a death benefit relating to the death of J. Golsen as discussed in Note 9 and interest income from to our short term investments. For the same period in 2021, we had non-operating operating expense of $0.7 million which primarily related to the change in fair value of the embedded derivative included in the Series E Redeemable Preferred prior to its extinguishment through the completion of the Exchange Transaction during September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provision for income taxes for the second quarter of 2022 was $20.4 million and the benefit for income taxes for the second quarter of 2021 was $0.2 million. The resulting effective tax rate for the second quarter of 2022 was 16.5%. For the second quarter of 2022, the effective tax rate is less than the statutory rate primarily due to the impact of valuation allowances. For the second quarter of 2021, the effective tax rate is less than the statutory rate primarily due to the impact of the PPP loan forgiveness, state tax law changes and valuation allowances. Also see discussion in Note 7.</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 Months Ended June 30, 2022 Compared to Six Months Ended June 30,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5"/>
          </w:tcPr>
          <w:p>
            <w:pPr>
              <w:jc w:val="right"/>
              <w:ind w:right="880"/>
              <w:spacing w:after="0"/>
              <w:rPr>
                <w:sz w:val="20"/>
                <w:szCs w:val="20"/>
                <w:color w:val="auto"/>
              </w:rPr>
            </w:pPr>
            <w:r>
              <w:rPr>
                <w:rFonts w:ascii="Arial" w:cs="Arial" w:eastAsia="Arial" w:hAnsi="Arial"/>
                <w:sz w:val="18"/>
                <w:szCs w:val="18"/>
                <w:color w:val="auto"/>
              </w:rPr>
              <w:t>Six Months Ended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6"/>
                <w:szCs w:val="16"/>
                <w:color w:val="auto"/>
                <w:w w:val="97"/>
              </w:rPr>
              <w:t>(Dollars In Thousands)</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AN &amp; Nitric Acid</w:t>
            </w:r>
          </w:p>
        </w:tc>
        <w:tc>
          <w:tcPr>
            <w:tcW w:w="9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167,942</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106,576</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61,366</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Urea ammonium nitrate (UAN)</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86,018</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Ammonia</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148,786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59,706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89,080</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33,501</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8,508</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sales</w:t>
            </w:r>
          </w:p>
        </w:tc>
        <w:tc>
          <w:tcPr>
            <w:tcW w:w="7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483,784</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244,972</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9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273,282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77,596</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195,686</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(33,802)</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(33,681)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(5,826)</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(4,979)</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Total gross profit</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233,654</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190,586</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Operating income</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212,629</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186,642</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22,262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24,662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(gain) on extinguishment of debt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(3,408)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(4,548)</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162,165</w:t>
            </w:r>
          </w:p>
        </w:tc>
        <w:tc>
          <w:tcPr>
            <w:tcW w:w="3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151,774</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information:</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30.3%</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8"/>
          </w:tcPr>
          <w:p>
            <w:pPr>
              <w:ind w:left="320"/>
              <w:spacing w:after="0"/>
              <w:rPr>
                <w:sz w:val="20"/>
                <w:szCs w:val="20"/>
                <w:color w:val="auto"/>
              </w:rPr>
            </w:pPr>
            <w:r>
              <w:rPr>
                <w:rFonts w:ascii="Arial" w:cs="Arial" w:eastAsia="Arial" w:hAnsi="Arial"/>
                <w:sz w:val="18"/>
                <w:szCs w:val="18"/>
                <w:color w:val="auto"/>
              </w:rPr>
              <w:t>Six Months Ended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5"/>
          </w:tcPr>
          <w:p>
            <w:pPr>
              <w:jc w:val="right"/>
              <w:ind w:right="4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16"/>
        </w:trPr>
        <w:tc>
          <w:tcPr>
            <w:tcW w:w="574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Product (tons sold)</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w w:val="95"/>
              </w:rPr>
              <w:t>Change</w:t>
            </w:r>
          </w:p>
        </w:tc>
        <w:tc>
          <w:tcPr>
            <w:tcW w:w="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60" w:type="dxa"/>
            <w:vAlign w:val="bottom"/>
            <w:tcBorders>
              <w:bottom w:val="single" w:sz="8" w:color="auto"/>
            </w:tcBorders>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880" w:type="dxa"/>
            <w:vAlign w:val="bottom"/>
            <w:tcBorders>
              <w:bottom w:val="single" w:sz="8" w:color="auto"/>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CFF0FC"/>
          </w:tcPr>
          <w:p>
            <w:pPr>
              <w:spacing w:after="0" w:line="20" w:lineRule="exact"/>
              <w:rPr>
                <w:sz w:val="1"/>
                <w:szCs w:val="1"/>
                <w:color w:val="auto"/>
              </w:rPr>
            </w:pPr>
          </w:p>
        </w:tc>
        <w:tc>
          <w:tcPr>
            <w:tcW w:w="840" w:type="dxa"/>
            <w:vAlign w:val="bottom"/>
            <w:tcBorders>
              <w:bottom w:val="single" w:sz="8" w:color="auto"/>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tcBorders>
              <w:bottom w:val="single" w:sz="8" w:color="auto"/>
            </w:tcBorders>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CFF0FC"/>
          </w:tcPr>
          <w:p>
            <w:pPr>
              <w:spacing w:after="0" w:line="20" w:lineRule="exact"/>
              <w:rPr>
                <w:sz w:val="1"/>
                <w:szCs w:val="1"/>
                <w:color w:val="auto"/>
              </w:rPr>
            </w:pPr>
          </w:p>
        </w:tc>
        <w:tc>
          <w:tcPr>
            <w:tcW w:w="920" w:type="dxa"/>
            <w:vAlign w:val="bottom"/>
            <w:tcBorders>
              <w:bottom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tcBorders>
              <w:bottom w:val="single" w:sz="8" w:color="auto"/>
            </w:tcBorders>
            <w:shd w:val="clear" w:color="auto" w:fill="CFF0FC"/>
          </w:tcPr>
          <w:p>
            <w:pPr>
              <w:spacing w:after="0" w:line="20" w:lineRule="exact"/>
              <w:rPr>
                <w:sz w:val="1"/>
                <w:szCs w:val="1"/>
                <w:color w:val="auto"/>
              </w:rPr>
            </w:pPr>
          </w:p>
        </w:tc>
        <w:tc>
          <w:tcPr>
            <w:tcW w:w="1080" w:type="dxa"/>
            <w:vAlign w:val="bottom"/>
            <w:tcBorders>
              <w:bottom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gridSpan w:val="4"/>
          </w:tcPr>
          <w:p>
            <w:pPr>
              <w:ind w:left="260"/>
              <w:spacing w:after="0"/>
              <w:rPr>
                <w:sz w:val="20"/>
                <w:szCs w:val="20"/>
                <w:color w:val="auto"/>
              </w:rPr>
            </w:pPr>
            <w:r>
              <w:rPr>
                <w:rFonts w:ascii="Arial" w:cs="Arial" w:eastAsia="Arial" w:hAnsi="Arial"/>
                <w:sz w:val="18"/>
                <w:szCs w:val="18"/>
                <w:color w:val="auto"/>
              </w:rPr>
              <w:t>AN &amp; Nitric Acid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306,531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373,244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Urea ammonium nitrate (UAN)</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230,714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231,239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(525)</w:t>
            </w:r>
          </w:p>
        </w:tc>
        <w:tc>
          <w:tcPr>
            <w:tcW w:w="13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5740" w:type="dxa"/>
            <w:vAlign w:val="bottom"/>
            <w:gridSpan w:val="4"/>
          </w:tcPr>
          <w:p>
            <w:pPr>
              <w:ind w:left="260"/>
              <w:spacing w:after="0"/>
              <w:rPr>
                <w:sz w:val="20"/>
                <w:szCs w:val="20"/>
                <w:color w:val="auto"/>
              </w:rPr>
            </w:pPr>
            <w:r>
              <w:rPr>
                <w:rFonts w:ascii="Arial" w:cs="Arial" w:eastAsia="Arial" w:hAnsi="Arial"/>
                <w:sz w:val="18"/>
                <w:szCs w:val="18"/>
                <w:color w:val="auto"/>
              </w:rPr>
              <w:t>Ammonia</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136,251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(13,536)</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4"/>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673,496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754,270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(80,774)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8"/>
          </w:tcPr>
          <w:p>
            <w:pPr>
              <w:jc w:val="center"/>
              <w:ind w:right="400"/>
              <w:spacing w:after="0"/>
              <w:rPr>
                <w:sz w:val="20"/>
                <w:szCs w:val="20"/>
                <w:color w:val="auto"/>
              </w:rPr>
            </w:pPr>
            <w:r>
              <w:rPr>
                <w:rFonts w:ascii="Arial" w:cs="Arial" w:eastAsia="Arial" w:hAnsi="Arial"/>
                <w:sz w:val="18"/>
                <w:szCs w:val="18"/>
                <w:color w:val="auto"/>
                <w:w w:val="91"/>
              </w:rPr>
              <w:t>Six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5"/>
          </w:tcPr>
          <w:p>
            <w:pPr>
              <w:jc w:val="center"/>
              <w:ind w:left="57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6"/>
        </w:trPr>
        <w:tc>
          <w:tcPr>
            <w:tcW w:w="574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Gross Average Selling Prices (price per ton)</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Change</w:t>
            </w:r>
          </w:p>
        </w:tc>
        <w:tc>
          <w:tcPr>
            <w:tcW w:w="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gridSpan w:val="3"/>
            <w:vMerge w:val="restart"/>
          </w:tcPr>
          <w:p>
            <w:pPr>
              <w:ind w:left="260"/>
              <w:spacing w:after="0"/>
              <w:rPr>
                <w:sz w:val="20"/>
                <w:szCs w:val="20"/>
                <w:color w:val="auto"/>
              </w:rPr>
            </w:pPr>
            <w:r>
              <w:rPr>
                <w:rFonts w:ascii="Arial" w:cs="Arial" w:eastAsia="Arial" w:hAnsi="Arial"/>
                <w:sz w:val="18"/>
                <w:szCs w:val="18"/>
                <w:color w:val="auto"/>
              </w:rPr>
              <w:t>AN &amp; Nitric Acid</w:t>
            </w:r>
          </w:p>
        </w:tc>
        <w:tc>
          <w:tcPr>
            <w:tcW w:w="3200" w:type="dxa"/>
            <w:vAlign w:val="bottom"/>
            <w:tcBorders>
              <w:top w:val="single" w:sz="8" w:color="CFF0FC"/>
            </w:tcBorders>
            <w:vMerge w:val="restart"/>
          </w:tcPr>
          <w:p>
            <w:pPr>
              <w:spacing w:after="0" w:line="20" w:lineRule="exact"/>
              <w:rPr>
                <w:sz w:val="1"/>
                <w:szCs w:val="1"/>
                <w:color w:val="auto"/>
              </w:rPr>
            </w:pPr>
          </w:p>
        </w:tc>
        <w:tc>
          <w:tcPr>
            <w:tcW w:w="60" w:type="dxa"/>
            <w:vAlign w:val="bottom"/>
            <w:tcBorders>
              <w:top w:val="single" w:sz="8" w:color="CFF0FC"/>
            </w:tcBorders>
            <w:vMerge w:val="restart"/>
          </w:tcPr>
          <w:p>
            <w:pPr>
              <w:spacing w:after="0" w:line="20" w:lineRule="exact"/>
              <w:rPr>
                <w:sz w:val="1"/>
                <w:szCs w:val="1"/>
                <w:color w:val="auto"/>
              </w:rPr>
            </w:pPr>
          </w:p>
        </w:tc>
        <w:tc>
          <w:tcPr>
            <w:tcW w:w="20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CFF0FC"/>
            </w:tcBorders>
            <w:gridSpan w:val="2"/>
            <w:shd w:val="clear" w:color="auto" w:fill="000000"/>
          </w:tcPr>
          <w:p>
            <w:pPr>
              <w:spacing w:after="0" w:line="20" w:lineRule="exact"/>
              <w:rPr>
                <w:sz w:val="1"/>
                <w:szCs w:val="1"/>
                <w:color w:val="auto"/>
              </w:rPr>
            </w:pPr>
          </w:p>
        </w:tc>
        <w:tc>
          <w:tcPr>
            <w:tcW w:w="180" w:type="dxa"/>
            <w:vAlign w:val="bottom"/>
            <w:tcBorders>
              <w:top w:val="single" w:sz="8" w:color="CFF0FC"/>
            </w:tcBorders>
            <w:vMerge w:val="restart"/>
          </w:tcPr>
          <w:p>
            <w:pPr>
              <w:spacing w:after="0" w:line="20" w:lineRule="exact"/>
              <w:rPr>
                <w:sz w:val="1"/>
                <w:szCs w:val="1"/>
                <w:color w:val="auto"/>
              </w:rPr>
            </w:pPr>
          </w:p>
        </w:tc>
        <w:tc>
          <w:tcPr>
            <w:tcW w:w="60" w:type="dxa"/>
            <w:vAlign w:val="bottom"/>
            <w:tcBorders>
              <w:top w:val="single" w:sz="8" w:color="CFF0FC"/>
            </w:tcBorders>
            <w:vMerge w:val="restart"/>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900" w:type="dxa"/>
            <w:vAlign w:val="bottom"/>
            <w:tcBorders>
              <w:top w:val="single" w:sz="8" w:color="CFF0FC"/>
            </w:tcBorders>
            <w:gridSpan w:val="2"/>
            <w:shd w:val="clear" w:color="auto" w:fill="000000"/>
          </w:tcPr>
          <w:p>
            <w:pPr>
              <w:spacing w:after="0" w:line="20" w:lineRule="exact"/>
              <w:rPr>
                <w:sz w:val="1"/>
                <w:szCs w:val="1"/>
                <w:color w:val="auto"/>
              </w:rPr>
            </w:pPr>
          </w:p>
        </w:tc>
        <w:tc>
          <w:tcPr>
            <w:tcW w:w="180" w:type="dxa"/>
            <w:vAlign w:val="bottom"/>
            <w:tcBorders>
              <w:top w:val="single" w:sz="8" w:color="CFF0FC"/>
            </w:tcBorders>
            <w:vMerge w:val="restart"/>
          </w:tcPr>
          <w:p>
            <w:pPr>
              <w:spacing w:after="0" w:line="20" w:lineRule="exact"/>
              <w:rPr>
                <w:sz w:val="1"/>
                <w:szCs w:val="1"/>
                <w:color w:val="auto"/>
              </w:rPr>
            </w:pPr>
          </w:p>
        </w:tc>
        <w:tc>
          <w:tcPr>
            <w:tcW w:w="60" w:type="dxa"/>
            <w:vAlign w:val="bottom"/>
            <w:tcBorders>
              <w:top w:val="single" w:sz="8" w:color="CFF0FC"/>
            </w:tcBorders>
            <w:vMerge w:val="restart"/>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960" w:type="dxa"/>
            <w:vAlign w:val="bottom"/>
            <w:tcBorders>
              <w:top w:val="single" w:sz="8" w:color="CFF0FC"/>
            </w:tcBorders>
            <w:gridSpan w:val="2"/>
            <w:shd w:val="clear" w:color="auto" w:fill="000000"/>
          </w:tcPr>
          <w:p>
            <w:pPr>
              <w:spacing w:after="0" w:line="20" w:lineRule="exact"/>
              <w:rPr>
                <w:sz w:val="1"/>
                <w:szCs w:val="1"/>
                <w:color w:val="auto"/>
              </w:rPr>
            </w:pPr>
          </w:p>
        </w:tc>
        <w:tc>
          <w:tcPr>
            <w:tcW w:w="200" w:type="dxa"/>
            <w:vAlign w:val="bottom"/>
            <w:tcBorders>
              <w:top w:val="single" w:sz="8" w:color="CFF0FC"/>
            </w:tcBorders>
            <w:vMerge w:val="restart"/>
          </w:tcPr>
          <w:p>
            <w:pPr>
              <w:spacing w:after="0" w:line="20" w:lineRule="exact"/>
              <w:rPr>
                <w:sz w:val="1"/>
                <w:szCs w:val="1"/>
                <w:color w:val="auto"/>
              </w:rPr>
            </w:pPr>
          </w:p>
        </w:tc>
        <w:tc>
          <w:tcPr>
            <w:tcW w:w="60" w:type="dxa"/>
            <w:vAlign w:val="bottom"/>
            <w:tcBorders>
              <w:top w:val="single" w:sz="8" w:color="CFF0FC"/>
            </w:tcBorders>
            <w:vMerge w:val="restart"/>
          </w:tcPr>
          <w:p>
            <w:pPr>
              <w:spacing w:after="0" w:line="20" w:lineRule="exact"/>
              <w:rPr>
                <w:sz w:val="1"/>
                <w:szCs w:val="1"/>
                <w:color w:val="auto"/>
              </w:rPr>
            </w:pPr>
          </w:p>
        </w:tc>
        <w:tc>
          <w:tcPr>
            <w:tcW w:w="1120" w:type="dxa"/>
            <w:vAlign w:val="bottom"/>
            <w:tcBorders>
              <w:top w:val="single" w:sz="8" w:color="CFF0FC"/>
            </w:tcBorders>
            <w:gridSpan w:val="2"/>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40" w:type="dxa"/>
            <w:vAlign w:val="bottom"/>
            <w:gridSpan w:val="3"/>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1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1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74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Urea ammonium nitrate (UAN)</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740" w:type="dxa"/>
            <w:vAlign w:val="bottom"/>
            <w:gridSpan w:val="4"/>
          </w:tcPr>
          <w:p>
            <w:pPr>
              <w:ind w:left="260"/>
              <w:spacing w:after="0"/>
              <w:rPr>
                <w:sz w:val="20"/>
                <w:szCs w:val="20"/>
                <w:color w:val="auto"/>
              </w:rPr>
            </w:pPr>
            <w:r>
              <w:rPr>
                <w:rFonts w:ascii="Arial" w:cs="Arial" w:eastAsia="Arial" w:hAnsi="Arial"/>
                <w:sz w:val="18"/>
                <w:szCs w:val="18"/>
                <w:color w:val="auto"/>
              </w:rPr>
              <w:t>Ammonia</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20"/>
                <w:szCs w:val="20"/>
                <w:color w:val="auto"/>
              </w:rPr>
            </w:pP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20"/>
                <w:szCs w:val="20"/>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20"/>
                <w:szCs w:val="20"/>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552"/>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8"/>
          </w:tcPr>
          <w:p>
            <w:pPr>
              <w:jc w:val="center"/>
              <w:ind w:right="400"/>
              <w:spacing w:after="0"/>
              <w:rPr>
                <w:sz w:val="20"/>
                <w:szCs w:val="20"/>
                <w:color w:val="auto"/>
              </w:rPr>
            </w:pPr>
            <w:r>
              <w:rPr>
                <w:rFonts w:ascii="Arial" w:cs="Arial" w:eastAsia="Arial" w:hAnsi="Arial"/>
                <w:sz w:val="18"/>
                <w:szCs w:val="18"/>
                <w:color w:val="auto"/>
                <w:w w:val="91"/>
              </w:rPr>
              <w:t>Six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5"/>
          </w:tcPr>
          <w:p>
            <w:pPr>
              <w:jc w:val="center"/>
              <w:ind w:left="57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Change</w:t>
            </w:r>
          </w:p>
        </w:tc>
        <w:tc>
          <w:tcPr>
            <w:tcW w:w="60" w:type="dxa"/>
            <w:vAlign w:val="bottom"/>
          </w:tcPr>
          <w:p>
            <w:pPr>
              <w:spacing w:after="0"/>
              <w:rPr>
                <w:sz w:val="20"/>
                <w:szCs w:val="20"/>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09"/>
        </w:trPr>
        <w:tc>
          <w:tcPr>
            <w:tcW w:w="5740" w:type="dxa"/>
            <w:vAlign w:val="bottom"/>
            <w:gridSpan w:val="4"/>
          </w:tcPr>
          <w:p>
            <w:pPr>
              <w:spacing w:after="0"/>
              <w:rPr>
                <w:sz w:val="20"/>
                <w:szCs w:val="20"/>
                <w:color w:val="auto"/>
              </w:rPr>
            </w:pPr>
            <w:r>
              <w:rPr>
                <w:rFonts w:ascii="Arial" w:cs="Arial" w:eastAsia="Arial" w:hAnsi="Arial"/>
                <w:sz w:val="14"/>
                <w:szCs w:val="14"/>
                <w:color w:val="auto"/>
              </w:rPr>
              <w:t>Average Benchmark Prices (price per ton)</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gridSpan w:val="2"/>
            <w:shd w:val="clear" w:color="auto" w:fill="CFF0FC"/>
          </w:tcPr>
          <w:p>
            <w:pPr>
              <w:ind w:left="260"/>
              <w:spacing w:after="0"/>
              <w:rPr>
                <w:sz w:val="20"/>
                <w:szCs w:val="20"/>
                <w:color w:val="auto"/>
              </w:rPr>
            </w:pPr>
            <w:r>
              <w:rPr>
                <w:rFonts w:ascii="Arial" w:cs="Arial" w:eastAsia="Arial" w:hAnsi="Arial"/>
                <w:sz w:val="18"/>
                <w:szCs w:val="18"/>
                <w:color w:val="auto"/>
                <w:w w:val="91"/>
              </w:rPr>
              <w:t>Tampa Ammonia Benchmark</w:t>
            </w:r>
          </w:p>
        </w:tc>
        <w:tc>
          <w:tcPr>
            <w:tcW w:w="3320" w:type="dxa"/>
            <w:vAlign w:val="bottom"/>
            <w:gridSpan w:val="2"/>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5740" w:type="dxa"/>
            <w:vAlign w:val="bottom"/>
            <w:gridSpan w:val="4"/>
          </w:tcPr>
          <w:p>
            <w:pPr>
              <w:ind w:left="260"/>
              <w:spacing w:after="0"/>
              <w:rPr>
                <w:sz w:val="20"/>
                <w:szCs w:val="20"/>
                <w:color w:val="auto"/>
              </w:rPr>
            </w:pPr>
            <w:r>
              <w:rPr>
                <w:rFonts w:ascii="Arial" w:cs="Arial" w:eastAsia="Arial" w:hAnsi="Arial"/>
                <w:sz w:val="18"/>
                <w:szCs w:val="18"/>
                <w:color w:val="auto"/>
              </w:rPr>
              <w:t>UAN Southern Plains</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21"/>
                <w:szCs w:val="21"/>
                <w:color w:val="auto"/>
              </w:rPr>
            </w:pP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1"/>
                <w:szCs w:val="21"/>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21"/>
                <w:szCs w:val="21"/>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Agricultural product sales increased driven primarily by higher sales prices for all of our agricultural products partially offset by lower sales volumes of HDAN and ammonia resulting from the impact of wet weather which delayed the application of fertilizer products. Historically, we have built inventory of HDAN used for fertilizer in the second half of the year, to sell in season, during the first six months of the following year. Due to a shift in product mix to nitric acid volumes beginning in the second quarter of 2021, which are more ratable, we did not have significant inventory build of AN over the latter half of 2021 to sell during the fertilizer season in 2022. As discussed above under “Recent Business Developments,” increased demand, higher corn prices and tighter supplies of nitrogen products contributed to the improved pricing.</w:t>
      </w:r>
    </w:p>
    <w:p>
      <w:pPr>
        <w:spacing w:after="0" w:line="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Demand for our industrial and mining products remains strong even considering the recent decline in Ammonia benchmark price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 Also, certain mining sales contracts are linked to natural gas indexes and as the cost of natural gas increases, the pricing for these products increase accordingly.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noted in the table above, we recognized a gross profit of $233.7 million for the first six months of 2022 compared to $43.1 million for the same period in 2021, or an $190.6 million improvement. Overall, our gross profit percentage was 48.3% compared to 18.0% for the same period in 2021. Our adjusted gross profit percentage increased to 56.5% for the first six months of 2022 from 32.5% for the first six months of 2021.</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gross profit was primarily driven by higher sales prices for our products partially offset by lower volumes for all of our products. The improvement in gross profit was partially offset by overall higher average natural gas costs, which averaged $5.96 per MMBtu for the first six months of 2022 as compared to $2.96 per MMBtu for the same period of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$20.6 million for the first six months of 2022, an increase of $3.2 million compared to the same period in 2021. The net increase was primarily driven by approximately $2.2 million of expense relating to nonrecurring transaction fees, $1.4 million in insurance and other miscellaneous fees.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for the first half of 2022 was $22.3 million compared to $24.7 million for the same period in 2021. The decrease relates primarily to lower interest expense incurred from the new senior secured notes held during the first quarter of 2022 which carry an interest rate of 6.25% compared to the same period in 2021 which the old senior secured notes interest rate was 9.625%.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Extinguishment of Debt – PPP Loan Forgiven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2021, our PPP loan was fully forgiven by the SBA and lender. As a result, we recognized a gain on extinguishment of debt of $10 million for the second quarter of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Non-operating other income for the first half of 2022 was $3.4 million primarily relating to a recognized settlement on our company owned life insurance resulting from the approval by our insurer of a death benefit relating to the death of J. Golsen as discussed in Note 9 and interest income from to our short term investments. For the same period in 2021, we had non-operating operating expense of $1.1 million which primarily related to the change in fair value of the embedded derivative included in the Series E Redeemable Preferred prior to its extinguishment through the completion of the Exchange Transaction during September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income taxes for the first six months of 2022 was $31.5 million compared to a benefit of $0.2 million for the same period in 2021. For the first six months of 2022, the effective tax rate is less than the statutory rate primarily due to the impact of valuation allowances. For the first six months of 2021, the effective tax rate is less than the statutory rate primarily due to the impact of the PPP loan forgiveness, state tax law changes and valuation allowances. Also see discussion in Note 7.</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740" w:type="dxa"/>
            <w:vAlign w:val="bottom"/>
            <w:gridSpan w:val="5"/>
          </w:tcPr>
          <w:p>
            <w:pPr>
              <w:spacing w:after="0"/>
              <w:rPr>
                <w:sz w:val="20"/>
                <w:szCs w:val="20"/>
                <w:color w:val="auto"/>
              </w:rPr>
            </w:pPr>
            <w:r>
              <w:rPr>
                <w:rFonts w:ascii="Arial" w:cs="Arial" w:eastAsia="Arial" w:hAnsi="Arial"/>
                <w:sz w:val="18"/>
                <w:szCs w:val="18"/>
                <w:color w:val="auto"/>
                <w:w w:val="94"/>
              </w:rPr>
              <w:t>The following table summarizes our cash flow activities for the six months ended June 30:</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59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220,813</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30,581</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190,232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(341,934)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(14,549)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(327,385)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(14,671)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Net Cash Flow from Operating Activities</w:t>
            </w:r>
          </w:p>
        </w:tc>
        <w:tc>
          <w:tcPr>
            <w:tcW w:w="3320" w:type="dxa"/>
            <w:vAlign w:val="bottom"/>
            <w:gridSpan w:val="2"/>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160" w:type="dxa"/>
            <w:vAlign w:val="bottom"/>
            <w:tcBorders>
              <w:bottom w:val="single" w:sz="8" w:color="auto"/>
            </w:tcBorders>
            <w:gridSpan w:val="2"/>
            <w:vMerge w:val="continue"/>
          </w:tcPr>
          <w:p>
            <w:pPr>
              <w:spacing w:after="0"/>
              <w:rPr>
                <w:sz w:val="22"/>
                <w:szCs w:val="22"/>
                <w:color w:val="auto"/>
              </w:rPr>
            </w:pPr>
          </w:p>
        </w:tc>
        <w:tc>
          <w:tcPr>
            <w:tcW w:w="33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$220.8 million for first half of 2022 compared to $30.6 million for the same period of 2021, a change of $190.2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2022, the net cash provided is the result of a net income of $162.2 million plus adjustments of $33.9 million for depreciation and amortization of PP&amp;E, $30.6 million for deferred taxes and other adjustments of $2.0 million net of cash used of $7.9 million primarily from our working capital.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of 2021, the net cash provided is the result of net income of $10.4 million plus adjustments of $33.7 million for depreciation and amortization of PP&amp;E, other adjustments of $2.6 million less $10.0 million for a gain on extinguishment of debt and net cash used of $6.1 million primarily from our working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investing activities was $341.9 million for the first half 2022 compared to $14.5 million for the same period of 2021, a change of $327.4 million.</w:t>
      </w:r>
    </w:p>
    <w:p>
      <w:pPr>
        <w:spacing w:after="0" w:line="62" w:lineRule="exact"/>
        <w:rPr>
          <w:sz w:val="20"/>
          <w:szCs w:val="20"/>
          <w:color w:val="auto"/>
        </w:rPr>
      </w:pPr>
    </w:p>
    <w:p>
      <w:pPr>
        <w:ind w:right="900"/>
        <w:spacing w:after="0" w:line="375" w:lineRule="auto"/>
        <w:rPr>
          <w:sz w:val="20"/>
          <w:szCs w:val="20"/>
          <w:color w:val="auto"/>
        </w:rPr>
      </w:pPr>
      <w:r>
        <w:rPr>
          <w:rFonts w:ascii="Arial" w:cs="Arial" w:eastAsia="Arial" w:hAnsi="Arial"/>
          <w:sz w:val="18"/>
          <w:szCs w:val="18"/>
          <w:color w:val="auto"/>
        </w:rPr>
        <w:t xml:space="preserve">For the first half of 2022, the net cash used primarily relates purchases of short-term investments of $325.6 million and expenditures for PP&amp;E. For the first half of 2021, the net cash used relates primarily to expenditures for PP&amp;E. </w:t>
      </w:r>
      <w:r>
        <w:rPr>
          <w:rFonts w:ascii="Arial" w:cs="Arial" w:eastAsia="Arial" w:hAnsi="Arial"/>
          <w:sz w:val="18"/>
          <w:szCs w:val="18"/>
          <w:b w:val="1"/>
          <w:bCs w:val="1"/>
          <w:u w:val="single" w:color="auto"/>
          <w:color w:val="auto"/>
        </w:rPr>
        <w:t>Net Cash Flow from Financing Activities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$164.2 million for the first half of 2022 compared to net cash used of $14.7 million for the same period of 2021, a change of $178.9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For the first half of 2022, the net cash provided primarily consists of proceeds of $200 million from the New Notes partially offset by payments on other long-term debt and short-term financing of $15.9 million, payments for the acquisition of treasury shares of $15.3 million, payments of $4.5 million for equity and debt-related cost and $0.1 million for other financing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2021, the net cash used primarily consists of payments on other long-term debt and short-term financing.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Capitalization</w:t>
            </w:r>
          </w:p>
        </w:tc>
        <w:tc>
          <w:tcPr>
            <w:tcW w:w="5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40" w:type="dxa"/>
            <w:vAlign w:val="bottom"/>
            <w:gridSpan w:val="3"/>
          </w:tcPr>
          <w:p>
            <w:pPr>
              <w:spacing w:after="0"/>
              <w:rPr>
                <w:sz w:val="20"/>
                <w:szCs w:val="20"/>
                <w:color w:val="auto"/>
              </w:rPr>
            </w:pPr>
            <w:r>
              <w:rPr>
                <w:rFonts w:ascii="Arial" w:cs="Arial" w:eastAsia="Arial" w:hAnsi="Arial"/>
                <w:sz w:val="18"/>
                <w:szCs w:val="18"/>
                <w:color w:val="auto"/>
              </w:rPr>
              <w:t>The following is our total current cash, long-term debt and stockholders’ equity:</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Long-term debt:</w:t>
            </w:r>
          </w:p>
        </w:tc>
        <w:tc>
          <w:tcPr>
            <w:tcW w:w="8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 xml:space="preserve">Senior Secured Notes due 2028 </w:t>
            </w:r>
            <w:r>
              <w:rPr>
                <w:rFonts w:ascii="Arial" w:cs="Arial" w:eastAsia="Arial" w:hAnsi="Arial"/>
                <w:sz w:val="14"/>
                <w:szCs w:val="14"/>
                <w:color w:val="auto"/>
              </w:rPr>
              <w:t>(1)</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Secured Financing due 2023</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Secured Financing due 2025</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Secured Loan Agreement due 2025</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long-term debt, including current portion, net</w:t>
            </w:r>
          </w:p>
        </w:tc>
        <w:tc>
          <w:tcPr>
            <w:tcW w:w="8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715.4</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See discussion contained in Note 4.</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June 30, 2022, our Working Capital Revolver Loan was undrawn and had approximately $63.4 million of availability.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full year of 2022, we expect capital expenditures to be approximately $65 million. This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42424"/>
        </w:rPr>
        <w:t>From time to time, when the Company exceeds the funding threshold in our natural gas purchase commitments the Company is required to fund cash collateral to our counterparty.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4, the Working Capital Revolver Loan requires, among other things, that we meet certain financial covenants. The Working Capital Revolver Loan does not include financial covenant requirements unless a defined covenant trigger event has occurred and is continuing. As of June 30, 2022,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w:t>
      </w:r>
    </w:p>
    <w:p>
      <w:pPr>
        <w:spacing w:after="0" w:line="117"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color w:val="auto"/>
        </w:rPr>
        <w:t xml:space="preserve">Senior Secured Notes due 2028 – </w:t>
      </w:r>
      <w:r>
        <w:rPr>
          <w:rFonts w:ascii="Arial" w:cs="Arial" w:eastAsia="Arial" w:hAnsi="Arial"/>
          <w:sz w:val="17"/>
          <w:szCs w:val="17"/>
          <w:color w:val="auto"/>
        </w:rPr>
        <w:t>LSB has $700 million aggregate principal amount of the 6.25% Senior Secured Notes currently outstanding,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$200 million associated with the New Notes as discussed in footnote (B) of Note 4. Interest is to be paid semiannually on May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and October 15</w:t>
      </w:r>
      <w:r>
        <w:rPr>
          <w:rFonts w:ascii="Arial" w:cs="Arial" w:eastAsia="Arial" w:hAnsi="Arial"/>
          <w:sz w:val="25"/>
          <w:szCs w:val="25"/>
          <w:color w:val="auto"/>
          <w:vertAlign w:val="superscript"/>
        </w:rPr>
        <w:t>th</w:t>
      </w:r>
      <w:r>
        <w:rPr>
          <w:rFonts w:ascii="Arial" w:cs="Arial" w:eastAsia="Arial" w:hAnsi="Arial"/>
          <w:sz w:val="17"/>
          <w:szCs w:val="17"/>
          <w:color w:val="auto"/>
        </w:rPr>
        <w:t>, maturing October 15, 2028. As a result of the financing transactions, our interest expense has increased and is expected to increase compared to 2021. The proceeds from the issuance of the New Notes were used to pay related transaction expenses, with the remainder intended to be used to pursue strategic acquisition opportunities, to fund organic growth and for general corporate purposes.</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2025 – </w:t>
      </w:r>
      <w:r>
        <w:rPr>
          <w:rFonts w:ascii="Arial" w:cs="Arial" w:eastAsia="Arial" w:hAnsi="Arial"/>
          <w:sz w:val="18"/>
          <w:szCs w:val="18"/>
          <w:color w:val="auto"/>
        </w:rPr>
        <w:t>EDA is party to a $30 million secured financing arrangement with an affiliate of LSB Funding. Principal and interest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60 equal monthly installments with a final balloon payment of approximately $5 million due in August 2025.</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June 30, 2022, our Working Capital Revolver Loan was undrawn and had approximately $63.4 million of availability,</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eligible collateral, less outstanding letters of credit as of that date. Also see discussion above under “Compliance with Long-Term Debt Covenants.”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Capital Expenditures – First Six Months of 2022</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2022, capital expenditures relating to PP&amp;E were $16.4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our expenses were $1.7 million during the first six months of 2022 in connection with environmental projects. For the remainder of 2022, we expect to incur expenses ranging from $1.7 million to $2.2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fertilizer products sold to the fertilizer industry are seasonal, while sales into the industrial and mining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fertilizer markets depend upon weather conditions and other circumstances beyond our control.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2022, we have agreed to indemnify the sureties for payments, up to $9.7 million, made by them in respect of such bonds. These insurance bonds are expected to expire or be renewed later in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See “Critical Accounting Policies and Estimates,” Item 7 of our 2021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Income taxes are accounted for under the asset and liability method. Deferred tax assets and liabilities are measured using enacted tax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June 30, 2022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June 30, 2022, we had no embedded losses associated with sales commitments with firm sales prices.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June 30, 2022, we had no outstanding natural gas contracts which are accounted for on a mark-to-market basis.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Generally, we are exposed to variable interest rate risk with respect to our revolving credit facility. As of June 30, 2022, we had no outstanding borrowings on this credit facility and no other variable rate borrowings. We currently do not hedge our interest rate risk associated with our variable interest loan.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2022. Based on this evaluation, the Company's Chief Executive Officer and Chief Financial Officer have concluded that the Company's disclosure controls and procedures were effective as of June 30, 2022,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w:t>
      </w:r>
    </w:p>
    <w:p>
      <w:pPr>
        <w:spacing w:after="0" w:line="159"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LSB Funding and its affiliate Eldridge holding a majority of our common stock;</w:t>
      </w: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20"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recent nitrogen expansion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40" w:hanging="368"/>
        <w:spacing w:after="0" w:line="273"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broaden the distribution of our products, including our ability to leverage our nitric acid production capacity at our El Dorado Facility;</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 strategy to capitalize on ammonia opportunities;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13" w:lineRule="exact"/>
        <w:rPr>
          <w:sz w:val="20"/>
          <w:szCs w:val="20"/>
          <w:color w:val="auto"/>
        </w:rPr>
      </w:pPr>
    </w:p>
    <w:p>
      <w:pPr>
        <w:ind w:left="740" w:hanging="368"/>
        <w:spacing w:after="0" w:line="273"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ownership percentage of Eldridge and its affiliate, LSB Funding, resulting in them no longer holding a majority of our outstanding common stock;</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associated with the COVID-19 pandemic and governmental and related responses;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widespread inflation, both domestic and foreign;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supply chain disruptions;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including environmental regulations, or in the interpretation of such;</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adequately evaluate potential acquisitions of strategic assets or companies;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improve our capital structure and overall cost of capital;</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6" w:lineRule="exact"/>
        <w:rPr>
          <w:rFonts w:ascii="Arial" w:cs="Arial" w:eastAsia="Arial" w:hAnsi="Arial"/>
          <w:sz w:val="18"/>
          <w:szCs w:val="18"/>
          <w:color w:val="auto"/>
        </w:rPr>
      </w:pPr>
    </w:p>
    <w:p>
      <w:pPr>
        <w:ind w:left="740" w:right="20" w:hanging="368"/>
        <w:spacing w:after="0" w:line="246"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other factors described in “Risk Factors” in our Form 10-K for the year ended December 31, 2021, as amended by the </w:t>
      </w:r>
      <w:r>
        <w:rPr>
          <w:rFonts w:ascii="Arial" w:cs="Arial" w:eastAsia="Arial" w:hAnsi="Arial"/>
          <w:sz w:val="18"/>
          <w:szCs w:val="18"/>
          <w:u w:val="single" w:color="auto"/>
          <w:color w:val="auto"/>
        </w:rPr>
        <w:t>Form 10-K/A</w:t>
      </w:r>
      <w:r>
        <w:rPr>
          <w:rFonts w:ascii="Arial" w:cs="Arial" w:eastAsia="Arial" w:hAnsi="Arial"/>
          <w:sz w:val="18"/>
          <w:szCs w:val="18"/>
          <w:color w:val="auto"/>
        </w:rPr>
        <w:t xml:space="preserve"> filed on March 25, 2022.</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Arkansas Department of Environmental Quality.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380" w:type="dxa"/>
            <w:vAlign w:val="bottom"/>
          </w:tcPr>
          <w:p>
            <w:pPr>
              <w:ind w:left="320"/>
              <w:spacing w:after="0"/>
              <w:rPr>
                <w:sz w:val="20"/>
                <w:szCs w:val="20"/>
                <w:color w:val="auto"/>
              </w:rPr>
            </w:pPr>
            <w:r>
              <w:rPr>
                <w:rFonts w:ascii="Arial" w:cs="Arial" w:eastAsia="Arial" w:hAnsi="Arial"/>
                <w:sz w:val="18"/>
                <w:szCs w:val="18"/>
                <w:color w:val="auto"/>
              </w:rPr>
              <w:t>- Ammonium nitrate.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380" w:type="dxa"/>
            <w:vAlign w:val="bottom"/>
          </w:tcPr>
          <w:p>
            <w:pPr>
              <w:ind w:left="320"/>
              <w:spacing w:after="0"/>
              <w:rPr>
                <w:sz w:val="20"/>
                <w:szCs w:val="20"/>
                <w:color w:val="auto"/>
              </w:rPr>
            </w:pPr>
            <w:r>
              <w:rPr>
                <w:rFonts w:ascii="Arial" w:cs="Arial" w:eastAsia="Arial" w:hAnsi="Arial"/>
                <w:sz w:val="18"/>
                <w:szCs w:val="18"/>
                <w:color w:val="auto"/>
              </w:rPr>
              <w:t>- Accounting Standard Update.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380" w:type="dxa"/>
            <w:vAlign w:val="bottom"/>
          </w:tcPr>
          <w:p>
            <w:pPr>
              <w:ind w:left="320"/>
              <w:spacing w:after="0"/>
              <w:rPr>
                <w:sz w:val="20"/>
                <w:szCs w:val="20"/>
                <w:color w:val="auto"/>
              </w:rPr>
            </w:pPr>
            <w:r>
              <w:rPr>
                <w:rFonts w:ascii="Arial" w:cs="Arial" w:eastAsia="Arial" w:hAnsi="Arial"/>
                <w:sz w:val="18"/>
                <w:szCs w:val="18"/>
                <w:color w:val="auto"/>
              </w:rPr>
              <w:t>- A consent administrative order.</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380" w:type="dxa"/>
            <w:vAlign w:val="bottom"/>
          </w:tcPr>
          <w:p>
            <w:pPr>
              <w:ind w:left="320"/>
              <w:spacing w:after="0"/>
              <w:rPr>
                <w:sz w:val="20"/>
                <w:szCs w:val="20"/>
                <w:color w:val="auto"/>
              </w:rPr>
            </w:pPr>
            <w:r>
              <w:rPr>
                <w:rFonts w:ascii="Arial" w:cs="Arial" w:eastAsia="Arial" w:hAnsi="Arial"/>
                <w:sz w:val="18"/>
                <w:szCs w:val="18"/>
                <w:color w:val="auto"/>
              </w:rPr>
              <w:t>- Chevron Environmental Management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novel coronavirus disease of 2019.</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Ammonia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Chemical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Eldridge</w:t>
            </w:r>
          </w:p>
        </w:tc>
        <w:tc>
          <w:tcPr>
            <w:tcW w:w="8380" w:type="dxa"/>
            <w:vAlign w:val="bottom"/>
          </w:tcPr>
          <w:p>
            <w:pPr>
              <w:ind w:left="320"/>
              <w:spacing w:after="0"/>
              <w:rPr>
                <w:sz w:val="20"/>
                <w:szCs w:val="20"/>
                <w:color w:val="auto"/>
              </w:rPr>
            </w:pPr>
            <w:r>
              <w:rPr>
                <w:rFonts w:ascii="Arial" w:cs="Arial" w:eastAsia="Arial" w:hAnsi="Arial"/>
                <w:sz w:val="18"/>
                <w:szCs w:val="18"/>
                <w:color w:val="auto"/>
              </w:rPr>
              <w:t>- Eldridge Industries, LLC, an affiliate of LSB Funding</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Environmental and Health Laws</w:t>
            </w:r>
          </w:p>
        </w:tc>
        <w:tc>
          <w:tcPr>
            <w:tcW w:w="8380" w:type="dxa"/>
            <w:vAlign w:val="bottom"/>
          </w:tcPr>
          <w:p>
            <w:pPr>
              <w:ind w:left="32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EUC</w:t>
            </w:r>
          </w:p>
        </w:tc>
        <w:tc>
          <w:tcPr>
            <w:tcW w:w="8380" w:type="dxa"/>
            <w:vAlign w:val="bottom"/>
          </w:tcPr>
          <w:p>
            <w:pPr>
              <w:ind w:left="320"/>
              <w:spacing w:after="0"/>
              <w:rPr>
                <w:sz w:val="20"/>
                <w:szCs w:val="20"/>
                <w:color w:val="auto"/>
              </w:rPr>
            </w:pPr>
            <w:r>
              <w:rPr>
                <w:rFonts w:ascii="Arial" w:cs="Arial" w:eastAsia="Arial" w:hAnsi="Arial"/>
                <w:sz w:val="18"/>
                <w:szCs w:val="18"/>
                <w:color w:val="auto"/>
              </w:rPr>
              <w:t>- Environmental Use Control.</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380" w:type="dxa"/>
            <w:vAlign w:val="bottom"/>
          </w:tcPr>
          <w:p>
            <w:pPr>
              <w:ind w:left="320"/>
              <w:spacing w:after="0"/>
              <w:rPr>
                <w:sz w:val="20"/>
                <w:szCs w:val="20"/>
                <w:color w:val="auto"/>
              </w:rPr>
            </w:pPr>
            <w:r>
              <w:rPr>
                <w:rFonts w:ascii="Arial" w:cs="Arial" w:eastAsia="Arial" w:hAnsi="Arial"/>
                <w:sz w:val="18"/>
                <w:szCs w:val="18"/>
                <w:color w:val="auto"/>
              </w:rPr>
              <w:t>- Financial Accounting Standards Board.</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380" w:type="dxa"/>
            <w:vAlign w:val="bottom"/>
          </w:tcPr>
          <w:p>
            <w:pPr>
              <w:ind w:left="32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380" w:type="dxa"/>
            <w:vAlign w:val="bottom"/>
          </w:tcPr>
          <w:p>
            <w:pPr>
              <w:ind w:left="32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380" w:type="dxa"/>
            <w:vAlign w:val="bottom"/>
          </w:tcPr>
          <w:p>
            <w:pPr>
              <w:ind w:left="32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agreement governing the 6.25% senior secured notes.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IRS</w:t>
            </w:r>
          </w:p>
        </w:tc>
        <w:tc>
          <w:tcPr>
            <w:tcW w:w="8380" w:type="dxa"/>
            <w:vAlign w:val="bottom"/>
          </w:tcPr>
          <w:p>
            <w:pPr>
              <w:ind w:left="320"/>
              <w:spacing w:after="0"/>
              <w:rPr>
                <w:sz w:val="20"/>
                <w:szCs w:val="20"/>
                <w:color w:val="auto"/>
              </w:rPr>
            </w:pPr>
            <w:r>
              <w:rPr>
                <w:rFonts w:ascii="Arial" w:cs="Arial" w:eastAsia="Arial" w:hAnsi="Arial"/>
                <w:sz w:val="18"/>
                <w:szCs w:val="18"/>
                <w:color w:val="auto"/>
              </w:rPr>
              <w:t>- Internal Revenue Service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Kansas Department of Health and Environment.</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380" w:type="dxa"/>
            <w:vAlign w:val="bottom"/>
          </w:tcPr>
          <w:p>
            <w:pPr>
              <w:ind w:left="3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8380" w:type="dxa"/>
            <w:vAlign w:val="bottom"/>
          </w:tcPr>
          <w:p>
            <w:pPr>
              <w:ind w:left="320"/>
              <w:spacing w:after="0"/>
              <w:rPr>
                <w:sz w:val="20"/>
                <w:szCs w:val="20"/>
                <w:color w:val="auto"/>
              </w:rPr>
            </w:pPr>
            <w:r>
              <w:rPr>
                <w:rFonts w:ascii="Arial" w:cs="Arial" w:eastAsia="Arial" w:hAnsi="Arial"/>
                <w:sz w:val="18"/>
                <w:szCs w:val="18"/>
                <w:color w:val="auto"/>
              </w:rPr>
              <w:t>- Leidos Constructors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8380" w:type="dxa"/>
            <w:vAlign w:val="bottom"/>
          </w:tcPr>
          <w:p>
            <w:pPr>
              <w:ind w:left="320"/>
              <w:spacing w:after="0"/>
              <w:rPr>
                <w:sz w:val="20"/>
                <w:szCs w:val="20"/>
                <w:color w:val="auto"/>
              </w:rPr>
            </w:pPr>
            <w:r>
              <w:rPr>
                <w:rFonts w:ascii="Arial" w:cs="Arial" w:eastAsia="Arial" w:hAnsi="Arial"/>
                <w:sz w:val="18"/>
                <w:szCs w:val="18"/>
                <w:color w:val="auto"/>
              </w:rPr>
              <w:t>- LSB Industries, Inc.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8380" w:type="dxa"/>
            <w:vAlign w:val="bottom"/>
          </w:tcPr>
          <w:p>
            <w:pPr>
              <w:ind w:left="320"/>
              <w:spacing w:after="0"/>
              <w:rPr>
                <w:sz w:val="20"/>
                <w:szCs w:val="20"/>
                <w:color w:val="auto"/>
              </w:rPr>
            </w:pPr>
            <w:r>
              <w:rPr>
                <w:rFonts w:ascii="Arial" w:cs="Arial" w:eastAsia="Arial" w:hAnsi="Arial"/>
                <w:sz w:val="18"/>
                <w:szCs w:val="18"/>
                <w:color w:val="auto"/>
              </w:rPr>
              <w:t>- LSB Funding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Maximum Revolver Amount</w:t>
            </w:r>
          </w:p>
        </w:tc>
        <w:tc>
          <w:tcPr>
            <w:tcW w:w="8380" w:type="dxa"/>
            <w:vAlign w:val="bottom"/>
          </w:tcPr>
          <w:p>
            <w:pPr>
              <w:ind w:left="320"/>
              <w:spacing w:after="0"/>
              <w:rPr>
                <w:sz w:val="20"/>
                <w:szCs w:val="20"/>
                <w:color w:val="auto"/>
              </w:rPr>
            </w:pPr>
            <w:r>
              <w:rPr>
                <w:rFonts w:ascii="Arial" w:cs="Arial" w:eastAsia="Arial" w:hAnsi="Arial"/>
                <w:sz w:val="18"/>
                <w:szCs w:val="18"/>
                <w:color w:val="auto"/>
                <w:w w:val="99"/>
              </w:rPr>
              <w:t>- The maximum amount of outstanding advances available under our Working Capital Revolver Loan.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380" w:type="dxa"/>
            <w:vAlign w:val="bottom"/>
          </w:tcPr>
          <w:p>
            <w:pPr>
              <w:ind w:left="3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0"/>
              </w:rPr>
              <w:t>- The senior secured notes issued March 8, 2022 with an interest rate of 6.25%, which mature in October 2028.</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380" w:type="dxa"/>
            <w:vAlign w:val="bottom"/>
          </w:tcPr>
          <w:p>
            <w:pPr>
              <w:ind w:left="32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1"/>
              </w:rPr>
              <w:t>- The senior secured notes issued on October 14, 2021 with an interest rate of 6.25%, which mature in October</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2028.</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Oklahoma Department of Environmental Quality.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8380" w:type="dxa"/>
            <w:vAlign w:val="bottom"/>
          </w:tcPr>
          <w:p>
            <w:pPr>
              <w:ind w:left="320"/>
              <w:spacing w:after="0"/>
              <w:rPr>
                <w:sz w:val="20"/>
                <w:szCs w:val="20"/>
                <w:color w:val="auto"/>
              </w:rPr>
            </w:pPr>
            <w:r>
              <w:rPr>
                <w:rFonts w:ascii="Arial" w:cs="Arial" w:eastAsia="Arial" w:hAnsi="Arial"/>
                <w:sz w:val="18"/>
                <w:szCs w:val="18"/>
                <w:color w:val="auto"/>
              </w:rPr>
              <w:t>- Pryor Chemical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380" w:type="dxa"/>
            <w:vAlign w:val="bottom"/>
          </w:tcPr>
          <w:p>
            <w:pPr>
              <w:ind w:left="320"/>
              <w:spacing w:after="0"/>
              <w:rPr>
                <w:sz w:val="20"/>
                <w:szCs w:val="20"/>
                <w:color w:val="auto"/>
              </w:rPr>
            </w:pPr>
            <w:r>
              <w:rPr>
                <w:rFonts w:ascii="Arial" w:cs="Arial" w:eastAsia="Arial" w:hAnsi="Arial"/>
                <w:sz w:val="18"/>
                <w:szCs w:val="18"/>
                <w:color w:val="auto"/>
              </w:rPr>
              <w:t>- Plant, property and equipment.</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PPP</w:t>
            </w:r>
          </w:p>
        </w:tc>
        <w:tc>
          <w:tcPr>
            <w:tcW w:w="8380" w:type="dxa"/>
            <w:vAlign w:val="bottom"/>
          </w:tcPr>
          <w:p>
            <w:pPr>
              <w:ind w:left="320"/>
              <w:spacing w:after="0"/>
              <w:rPr>
                <w:sz w:val="20"/>
                <w:szCs w:val="20"/>
                <w:color w:val="auto"/>
              </w:rPr>
            </w:pPr>
            <w:r>
              <w:rPr>
                <w:rFonts w:ascii="Arial" w:cs="Arial" w:eastAsia="Arial" w:hAnsi="Arial"/>
                <w:sz w:val="18"/>
                <w:szCs w:val="18"/>
                <w:color w:val="auto"/>
              </w:rPr>
              <w:t>- Paycheck Protection Program.</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SBA</w:t>
            </w:r>
          </w:p>
        </w:tc>
        <w:tc>
          <w:tcPr>
            <w:tcW w:w="8380" w:type="dxa"/>
            <w:vAlign w:val="bottom"/>
          </w:tcPr>
          <w:p>
            <w:pPr>
              <w:ind w:left="320"/>
              <w:spacing w:after="0"/>
              <w:rPr>
                <w:sz w:val="20"/>
                <w:szCs w:val="20"/>
                <w:color w:val="auto"/>
              </w:rPr>
            </w:pPr>
            <w:r>
              <w:rPr>
                <w:rFonts w:ascii="Arial" w:cs="Arial" w:eastAsia="Arial" w:hAnsi="Arial"/>
                <w:sz w:val="18"/>
                <w:szCs w:val="18"/>
                <w:color w:val="auto"/>
              </w:rPr>
              <w:t>- Small Business Administration.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380" w:type="dxa"/>
            <w:vAlign w:val="bottom"/>
          </w:tcPr>
          <w:p>
            <w:pPr>
              <w:ind w:left="320"/>
              <w:spacing w:after="0"/>
              <w:rPr>
                <w:sz w:val="20"/>
                <w:szCs w:val="20"/>
                <w:color w:val="auto"/>
              </w:rPr>
            </w:pPr>
            <w:r>
              <w:rPr>
                <w:rFonts w:ascii="Arial" w:cs="Arial" w:eastAsia="Arial" w:hAnsi="Arial"/>
                <w:sz w:val="18"/>
                <w:szCs w:val="18"/>
                <w:color w:val="auto"/>
              </w:rPr>
              <w:t>- The U.S. Securities and Exchange Commission.</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Secured Financing due 2023</w:t>
            </w:r>
          </w:p>
        </w:tc>
        <w:tc>
          <w:tcPr>
            <w:tcW w:w="8380" w:type="dxa"/>
            <w:vAlign w:val="bottom"/>
          </w:tcPr>
          <w:p>
            <w:pPr>
              <w:ind w:left="320"/>
              <w:spacing w:after="0"/>
              <w:rPr>
                <w:sz w:val="20"/>
                <w:szCs w:val="20"/>
                <w:color w:val="auto"/>
              </w:rPr>
            </w:pPr>
            <w:r>
              <w:rPr>
                <w:rFonts w:ascii="Arial" w:cs="Arial" w:eastAsia="Arial" w:hAnsi="Arial"/>
                <w:sz w:val="18"/>
                <w:szCs w:val="18"/>
                <w:color w:val="auto"/>
                <w:w w:val="96"/>
              </w:rPr>
              <w:t>- A secured financing arrangement between EDC and an affiliate of LSB Funding L.L.C. which matures in</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June 2023.</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Secured Financing due 2025</w:t>
            </w:r>
          </w:p>
        </w:tc>
        <w:tc>
          <w:tcPr>
            <w:tcW w:w="8380" w:type="dxa"/>
            <w:vAlign w:val="bottom"/>
          </w:tcPr>
          <w:p>
            <w:pPr>
              <w:ind w:left="320"/>
              <w:spacing w:after="0"/>
              <w:rPr>
                <w:sz w:val="20"/>
                <w:szCs w:val="20"/>
                <w:color w:val="auto"/>
              </w:rPr>
            </w:pPr>
            <w:r>
              <w:rPr>
                <w:rFonts w:ascii="Arial" w:cs="Arial" w:eastAsia="Arial" w:hAnsi="Arial"/>
                <w:sz w:val="18"/>
                <w:szCs w:val="18"/>
                <w:color w:val="auto"/>
                <w:w w:val="96"/>
              </w:rPr>
              <w:t>- A secured financing arrangement between EDA and an affiliate of LSB Funding L.L.C. which matures in</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August 2025.</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The Notes and New Notes, taken together due on October 15, 2028 with a stated interest rate of 6.25%.</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380" w:type="dxa"/>
            <w:vAlign w:val="bottom"/>
          </w:tcPr>
          <w:p>
            <w:pPr>
              <w:ind w:left="320"/>
              <w:spacing w:after="0"/>
              <w:rPr>
                <w:sz w:val="20"/>
                <w:szCs w:val="20"/>
                <w:color w:val="auto"/>
              </w:rPr>
            </w:pPr>
            <w:r>
              <w:rPr>
                <w:rFonts w:ascii="Arial" w:cs="Arial" w:eastAsia="Arial" w:hAnsi="Arial"/>
                <w:sz w:val="18"/>
                <w:szCs w:val="18"/>
                <w:color w:val="auto"/>
              </w:rPr>
              <w:t>- Selling, general and administrative expense.</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380" w:type="dxa"/>
            <w:vAlign w:val="bottom"/>
          </w:tcPr>
          <w:p>
            <w:pPr>
              <w:ind w:left="320"/>
              <w:spacing w:after="0"/>
              <w:rPr>
                <w:sz w:val="20"/>
                <w:szCs w:val="20"/>
                <w:color w:val="auto"/>
              </w:rPr>
            </w:pPr>
            <w:r>
              <w:rPr>
                <w:rFonts w:ascii="Arial" w:cs="Arial" w:eastAsia="Arial" w:hAnsi="Arial"/>
                <w:sz w:val="18"/>
                <w:szCs w:val="18"/>
                <w:color w:val="auto"/>
              </w:rPr>
              <w:t>- A planned major maintenance activity.</w:t>
            </w:r>
          </w:p>
        </w:tc>
      </w:tr>
      <w:tr>
        <w:trPr>
          <w:trHeight w:val="473"/>
        </w:trPr>
        <w:tc>
          <w:tcPr>
            <w:tcW w:w="2860" w:type="dxa"/>
            <w:vAlign w:val="bottom"/>
          </w:tcPr>
          <w:p>
            <w:pPr>
              <w:spacing w:after="0"/>
              <w:rPr>
                <w:sz w:val="24"/>
                <w:szCs w:val="24"/>
                <w:color w:val="auto"/>
              </w:rPr>
            </w:pPr>
          </w:p>
        </w:tc>
        <w:tc>
          <w:tcPr>
            <w:tcW w:w="8380" w:type="dxa"/>
            <w:vAlign w:val="bottom"/>
          </w:tcPr>
          <w:p>
            <w:pPr>
              <w:ind w:left="2680"/>
              <w:spacing w:after="0"/>
              <w:rPr>
                <w:sz w:val="20"/>
                <w:szCs w:val="20"/>
                <w:color w:val="auto"/>
              </w:rPr>
            </w:pPr>
            <w:r>
              <w:rPr>
                <w:rFonts w:ascii="Arial" w:cs="Arial" w:eastAsia="Arial" w:hAnsi="Arial"/>
                <w:sz w:val="18"/>
                <w:szCs w:val="18"/>
                <w:color w:val="auto"/>
              </w:rPr>
              <w:t>34</w:t>
            </w:r>
          </w:p>
        </w:tc>
      </w:tr>
      <w:tr>
        <w:trPr>
          <w:trHeight w:val="115"/>
        </w:trPr>
        <w:tc>
          <w:tcPr>
            <w:tcW w:w="2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8400" w:type="dxa"/>
            <w:vAlign w:val="bottom"/>
          </w:tcPr>
          <w:p>
            <w:pPr>
              <w:ind w:left="340"/>
              <w:spacing w:after="0"/>
              <w:rPr>
                <w:sz w:val="20"/>
                <w:szCs w:val="20"/>
                <w:color w:val="auto"/>
              </w:rPr>
            </w:pPr>
            <w:r>
              <w:rPr>
                <w:rFonts w:ascii="Arial" w:cs="Arial" w:eastAsia="Arial" w:hAnsi="Arial"/>
                <w:sz w:val="18"/>
                <w:szCs w:val="18"/>
                <w:color w:val="auto"/>
              </w:rPr>
              <w:t>- Urea ammonium nitrate.</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U.S.</w:t>
            </w:r>
          </w:p>
        </w:tc>
        <w:tc>
          <w:tcPr>
            <w:tcW w:w="8400" w:type="dxa"/>
            <w:vAlign w:val="bottom"/>
          </w:tcPr>
          <w:p>
            <w:pPr>
              <w:ind w:left="340"/>
              <w:spacing w:after="0"/>
              <w:rPr>
                <w:sz w:val="20"/>
                <w:szCs w:val="20"/>
                <w:color w:val="auto"/>
              </w:rPr>
            </w:pPr>
            <w:r>
              <w:rPr>
                <w:rFonts w:ascii="Arial" w:cs="Arial" w:eastAsia="Arial" w:hAnsi="Arial"/>
                <w:sz w:val="18"/>
                <w:szCs w:val="18"/>
                <w:color w:val="auto"/>
              </w:rPr>
              <w:t>- United States.</w:t>
            </w:r>
          </w:p>
        </w:tc>
      </w:tr>
      <w:tr>
        <w:trPr>
          <w:trHeight w:val="256"/>
        </w:trPr>
        <w:tc>
          <w:tcPr>
            <w:tcW w:w="284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8400" w:type="dxa"/>
            <w:vAlign w:val="bottom"/>
          </w:tcPr>
          <w:p>
            <w:pPr>
              <w:ind w:left="340"/>
              <w:spacing w:after="0"/>
              <w:rPr>
                <w:sz w:val="20"/>
                <w:szCs w:val="20"/>
                <w:color w:val="auto"/>
              </w:rPr>
            </w:pPr>
            <w:r>
              <w:rPr>
                <w:rFonts w:ascii="Arial" w:cs="Arial" w:eastAsia="Arial" w:hAnsi="Arial"/>
                <w:sz w:val="18"/>
                <w:szCs w:val="18"/>
                <w:color w:val="auto"/>
              </w:rPr>
              <w:t>- U.S. Generally Accepted Accounting Principles.</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USDA</w:t>
            </w:r>
          </w:p>
        </w:tc>
        <w:tc>
          <w:tcPr>
            <w:tcW w:w="8400" w:type="dxa"/>
            <w:vAlign w:val="bottom"/>
          </w:tcPr>
          <w:p>
            <w:pPr>
              <w:ind w:left="340"/>
              <w:spacing w:after="0"/>
              <w:rPr>
                <w:sz w:val="20"/>
                <w:szCs w:val="20"/>
                <w:color w:val="auto"/>
              </w:rPr>
            </w:pPr>
            <w:r>
              <w:rPr>
                <w:rFonts w:ascii="Arial" w:cs="Arial" w:eastAsia="Arial" w:hAnsi="Arial"/>
                <w:sz w:val="18"/>
                <w:szCs w:val="18"/>
                <w:color w:val="auto"/>
              </w:rPr>
              <w:t>- United States Department of Agriculture.</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400" w:type="dxa"/>
            <w:vAlign w:val="bottom"/>
          </w:tcPr>
          <w:p>
            <w:pPr>
              <w:ind w:left="34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8400" w:type="dxa"/>
            <w:vAlign w:val="bottom"/>
          </w:tcPr>
          <w:p>
            <w:pPr>
              <w:ind w:left="340"/>
              <w:spacing w:after="0"/>
              <w:rPr>
                <w:sz w:val="20"/>
                <w:szCs w:val="20"/>
                <w:color w:val="auto"/>
              </w:rPr>
            </w:pPr>
            <w:r>
              <w:rPr>
                <w:rFonts w:ascii="Arial" w:cs="Arial" w:eastAsia="Arial" w:hAnsi="Arial"/>
                <w:sz w:val="18"/>
                <w:szCs w:val="18"/>
                <w:color w:val="auto"/>
              </w:rPr>
              <w:t>- West Fertilizer Company.</w:t>
            </w:r>
          </w:p>
        </w:tc>
      </w:tr>
      <w:tr>
        <w:trPr>
          <w:trHeight w:val="256"/>
        </w:trPr>
        <w:tc>
          <w:tcPr>
            <w:tcW w:w="2840" w:type="dxa"/>
            <w:vAlign w:val="bottom"/>
          </w:tcPr>
          <w:p>
            <w:pPr>
              <w:spacing w:after="0"/>
              <w:rPr>
                <w:sz w:val="20"/>
                <w:szCs w:val="20"/>
                <w:color w:val="auto"/>
              </w:rPr>
            </w:pPr>
            <w:r>
              <w:rPr>
                <w:rFonts w:ascii="Arial" w:cs="Arial" w:eastAsia="Arial" w:hAnsi="Arial"/>
                <w:sz w:val="18"/>
                <w:szCs w:val="18"/>
                <w:b w:val="1"/>
                <w:bCs w:val="1"/>
                <w:color w:val="auto"/>
              </w:rPr>
              <w:t>Working Capital Revolver Loan</w:t>
            </w:r>
          </w:p>
        </w:tc>
        <w:tc>
          <w:tcPr>
            <w:tcW w:w="8400" w:type="dxa"/>
            <w:vAlign w:val="bottom"/>
          </w:tcPr>
          <w:p>
            <w:pPr>
              <w:ind w:left="340"/>
              <w:spacing w:after="0"/>
              <w:rPr>
                <w:sz w:val="20"/>
                <w:szCs w:val="20"/>
                <w:color w:val="auto"/>
              </w:rPr>
            </w:pPr>
            <w:r>
              <w:rPr>
                <w:rFonts w:ascii="Arial" w:cs="Arial" w:eastAsia="Arial" w:hAnsi="Arial"/>
                <w:sz w:val="18"/>
                <w:szCs w:val="18"/>
                <w:color w:val="auto"/>
              </w:rPr>
              <w:t>- Our secured revolving credit facility.</w:t>
            </w:r>
          </w:p>
        </w:tc>
      </w:tr>
      <w:tr>
        <w:trPr>
          <w:trHeight w:val="257"/>
        </w:trPr>
        <w:tc>
          <w:tcPr>
            <w:tcW w:w="2840" w:type="dxa"/>
            <w:vAlign w:val="bottom"/>
          </w:tcPr>
          <w:p>
            <w:pPr>
              <w:spacing w:after="0"/>
              <w:rPr>
                <w:sz w:val="20"/>
                <w:szCs w:val="20"/>
                <w:color w:val="auto"/>
              </w:rPr>
            </w:pPr>
            <w:r>
              <w:rPr>
                <w:rFonts w:ascii="Arial" w:cs="Arial" w:eastAsia="Arial" w:hAnsi="Arial"/>
                <w:sz w:val="18"/>
                <w:szCs w:val="18"/>
                <w:b w:val="1"/>
                <w:bCs w:val="1"/>
                <w:color w:val="auto"/>
              </w:rPr>
              <w:t>2005 Agreement</w:t>
            </w:r>
          </w:p>
        </w:tc>
        <w:tc>
          <w:tcPr>
            <w:tcW w:w="8400" w:type="dxa"/>
            <w:vAlign w:val="bottom"/>
          </w:tcPr>
          <w:p>
            <w:pPr>
              <w:ind w:left="340"/>
              <w:spacing w:after="0"/>
              <w:rPr>
                <w:sz w:val="20"/>
                <w:szCs w:val="20"/>
                <w:color w:val="auto"/>
              </w:rPr>
            </w:pPr>
            <w:r>
              <w:rPr>
                <w:rFonts w:ascii="Arial" w:cs="Arial" w:eastAsia="Arial" w:hAnsi="Arial"/>
                <w:sz w:val="18"/>
                <w:szCs w:val="18"/>
                <w:color w:val="auto"/>
              </w:rPr>
              <w:t>- A death benefit agreement with Jack E. Golsen.</w:t>
            </w:r>
          </w:p>
        </w:tc>
      </w:tr>
      <w:tr>
        <w:trPr>
          <w:trHeight w:val="242"/>
        </w:trPr>
        <w:tc>
          <w:tcPr>
            <w:tcW w:w="2840" w:type="dxa"/>
            <w:vAlign w:val="bottom"/>
          </w:tcPr>
          <w:p>
            <w:pPr>
              <w:spacing w:after="0"/>
              <w:rPr>
                <w:sz w:val="20"/>
                <w:szCs w:val="20"/>
                <w:color w:val="auto"/>
              </w:rPr>
            </w:pPr>
            <w:r>
              <w:rPr>
                <w:rFonts w:ascii="Arial" w:cs="Arial" w:eastAsia="Arial" w:hAnsi="Arial"/>
                <w:sz w:val="18"/>
                <w:szCs w:val="18"/>
                <w:b w:val="1"/>
                <w:bCs w:val="1"/>
                <w:color w:val="auto"/>
              </w:rPr>
              <w:t>2021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2"/>
              </w:rPr>
              <w:t>- Corn crop marketing year (September 1 - August 31), which began in 2020 and ended in 2021 and primarily</w:t>
            </w:r>
          </w:p>
        </w:tc>
      </w:tr>
      <w:tr>
        <w:trPr>
          <w:trHeight w:val="230"/>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relates to corn planted and harvested in 2020.</w:t>
            </w:r>
          </w:p>
        </w:tc>
      </w:tr>
      <w:tr>
        <w:trPr>
          <w:trHeight w:val="242"/>
        </w:trPr>
        <w:tc>
          <w:tcPr>
            <w:tcW w:w="2840" w:type="dxa"/>
            <w:vAlign w:val="bottom"/>
          </w:tcPr>
          <w:p>
            <w:pPr>
              <w:spacing w:after="0"/>
              <w:rPr>
                <w:sz w:val="20"/>
                <w:szCs w:val="20"/>
                <w:color w:val="auto"/>
              </w:rPr>
            </w:pPr>
            <w:r>
              <w:rPr>
                <w:rFonts w:ascii="Arial" w:cs="Arial" w:eastAsia="Arial" w:hAnsi="Arial"/>
                <w:sz w:val="18"/>
                <w:szCs w:val="18"/>
                <w:b w:val="1"/>
                <w:bCs w:val="1"/>
                <w:color w:val="auto"/>
              </w:rPr>
              <w:t>2022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9"/>
              </w:rPr>
              <w:t>- Corn crop marketing year (September 1 - August 31), which began in 2021 and will end in 2022 and</w:t>
            </w:r>
          </w:p>
        </w:tc>
      </w:tr>
      <w:tr>
        <w:trPr>
          <w:trHeight w:val="230"/>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primarily relates to corn planted and harvested in 2021.</w:t>
            </w:r>
          </w:p>
        </w:tc>
      </w:tr>
      <w:tr>
        <w:trPr>
          <w:trHeight w:val="242"/>
        </w:trPr>
        <w:tc>
          <w:tcPr>
            <w:tcW w:w="2840" w:type="dxa"/>
            <w:vAlign w:val="bottom"/>
          </w:tcPr>
          <w:p>
            <w:pPr>
              <w:spacing w:after="0"/>
              <w:rPr>
                <w:sz w:val="20"/>
                <w:szCs w:val="20"/>
                <w:color w:val="auto"/>
              </w:rPr>
            </w:pPr>
            <w:r>
              <w:rPr>
                <w:rFonts w:ascii="Arial" w:cs="Arial" w:eastAsia="Arial" w:hAnsi="Arial"/>
                <w:sz w:val="18"/>
                <w:szCs w:val="18"/>
                <w:b w:val="1"/>
                <w:bCs w:val="1"/>
                <w:color w:val="auto"/>
              </w:rPr>
              <w:t>2023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9"/>
              </w:rPr>
              <w:t>- Corn crop marketing year (September 1 - August 31), which began in 2022 and will end in 2023 and</w:t>
            </w:r>
          </w:p>
        </w:tc>
      </w:tr>
      <w:tr>
        <w:trPr>
          <w:trHeight w:val="230"/>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primarily relates to corn planted and harvested in 2022.</w:t>
            </w:r>
          </w:p>
        </w:tc>
      </w:tr>
      <w:tr>
        <w:trPr>
          <w:trHeight w:val="648"/>
        </w:trPr>
        <w:tc>
          <w:tcPr>
            <w:tcW w:w="2840" w:type="dxa"/>
            <w:vAlign w:val="bottom"/>
          </w:tcPr>
          <w:p>
            <w:pPr>
              <w:spacing w:after="0"/>
              <w:rPr>
                <w:sz w:val="24"/>
                <w:szCs w:val="24"/>
                <w:color w:val="auto"/>
              </w:rPr>
            </w:pPr>
          </w:p>
        </w:tc>
        <w:tc>
          <w:tcPr>
            <w:tcW w:w="8400" w:type="dxa"/>
            <w:vAlign w:val="bottom"/>
          </w:tcPr>
          <w:p>
            <w:pPr>
              <w:ind w:left="2700"/>
              <w:spacing w:after="0"/>
              <w:rPr>
                <w:sz w:val="20"/>
                <w:szCs w:val="20"/>
                <w:color w:val="auto"/>
              </w:rPr>
            </w:pPr>
            <w:r>
              <w:rPr>
                <w:rFonts w:ascii="Arial" w:cs="Arial" w:eastAsia="Arial" w:hAnsi="Arial"/>
                <w:sz w:val="18"/>
                <w:szCs w:val="18"/>
                <w:color w:val="auto"/>
              </w:rPr>
              <w:t>35</w:t>
            </w:r>
          </w:p>
        </w:tc>
      </w:tr>
      <w:tr>
        <w:trPr>
          <w:trHeight w:val="115"/>
        </w:trPr>
        <w:tc>
          <w:tcPr>
            <w:tcW w:w="2840" w:type="dxa"/>
            <w:vAlign w:val="bottom"/>
            <w:tcBorders>
              <w:bottom w:val="single" w:sz="8" w:color="9A9A9A"/>
            </w:tcBorders>
          </w:tcPr>
          <w:p>
            <w:pPr>
              <w:spacing w:after="0"/>
              <w:rPr>
                <w:sz w:val="10"/>
                <w:szCs w:val="10"/>
                <w:color w:val="auto"/>
              </w:rPr>
            </w:pPr>
          </w:p>
        </w:tc>
        <w:tc>
          <w:tcPr>
            <w:tcW w:w="8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reported under this Item is not required for smaller reporting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37.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gridSpan w:val="8"/>
            <w:vMerge w:val="restart"/>
          </w:tcPr>
          <w:p>
            <w:pPr>
              <w:ind w:left="1220"/>
              <w:spacing w:after="0"/>
              <w:rPr>
                <w:sz w:val="20"/>
                <w:szCs w:val="20"/>
                <w:color w:val="auto"/>
              </w:rPr>
            </w:pPr>
            <w:r>
              <w:rPr>
                <w:rFonts w:ascii="Arial" w:cs="Arial" w:eastAsia="Arial" w:hAnsi="Arial"/>
                <w:sz w:val="14"/>
                <w:szCs w:val="14"/>
                <w:b w:val="1"/>
                <w:bCs w:val="1"/>
                <w:color w:val="auto"/>
              </w:rPr>
              <w:t>Exhibit Title</w:t>
            </w:r>
          </w:p>
        </w:tc>
        <w:tc>
          <w:tcPr>
            <w:tcW w:w="80" w:type="dxa"/>
            <w:vAlign w:val="bottom"/>
            <w:vMerge w:val="restart"/>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gridSpan w:val="8"/>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291"/>
        </w:trPr>
        <w:tc>
          <w:tcPr>
            <w:tcW w:w="1140" w:type="dxa"/>
            <w:vAlign w:val="bottom"/>
          </w:tcPr>
          <w:p>
            <w:pPr>
              <w:ind w:left="100"/>
              <w:spacing w:after="0"/>
              <w:rPr>
                <w:sz w:val="20"/>
                <w:szCs w:val="20"/>
                <w:color w:val="auto"/>
              </w:rPr>
            </w:pPr>
            <w:r>
              <w:rPr>
                <w:rFonts w:ascii="Arial" w:cs="Arial" w:eastAsia="Arial" w:hAnsi="Arial"/>
                <w:sz w:val="18"/>
                <w:szCs w:val="18"/>
                <w:color w:val="auto"/>
              </w:rPr>
              <w:t>3(i).1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Arial" w:cs="Arial" w:eastAsia="Arial" w:hAnsi="Arial"/>
                <w:sz w:val="18"/>
                <w:szCs w:val="18"/>
                <w:color w:val="0000EE"/>
                <w:w w:val="95"/>
              </w:rPr>
            </w:pPr>
            <w:hyperlink r:id="rId59">
              <w:r>
                <w:rPr>
                  <w:rFonts w:ascii="Arial" w:cs="Arial" w:eastAsia="Arial" w:hAnsi="Arial"/>
                  <w:sz w:val="18"/>
                  <w:szCs w:val="18"/>
                  <w:color w:val="0000EE"/>
                  <w:w w:val="95"/>
                </w:rPr>
                <w:t>Restated  Certificate  of  Incorporation  of  LSB  Industries,  Inc.,  dated</w:t>
              </w:r>
            </w:hyperlink>
          </w:p>
        </w:tc>
        <w:tc>
          <w:tcPr>
            <w:tcW w:w="10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January 21, 1977, as amended August 27, 1987</w:t>
              </w:r>
            </w:hyperlink>
          </w:p>
        </w:tc>
        <w:tc>
          <w:tcPr>
            <w:tcW w:w="2080" w:type="dxa"/>
            <w:vAlign w:val="bottom"/>
            <w:gridSpan w:val="6"/>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Arial" w:cs="Arial" w:eastAsia="Arial" w:hAnsi="Arial"/>
                <w:sz w:val="18"/>
                <w:szCs w:val="18"/>
                <w:color w:val="0000EE"/>
                <w:w w:val="95"/>
              </w:rPr>
            </w:pPr>
            <w:hyperlink r:id="rId60">
              <w:r>
                <w:rPr>
                  <w:rFonts w:ascii="Arial" w:cs="Arial" w:eastAsia="Arial" w:hAnsi="Arial"/>
                  <w:sz w:val="18"/>
                  <w:szCs w:val="18"/>
                  <w:color w:val="0000EE"/>
                  <w:w w:val="95"/>
                </w:rPr>
                <w:t>Certificate of Amendment to the Restated Certificate of Incorporation of</w:t>
              </w:r>
            </w:hyperlink>
          </w:p>
        </w:tc>
        <w:tc>
          <w:tcPr>
            <w:tcW w:w="10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7"/>
              </w:rPr>
              <w:t>Exhibit 3(i).2 to the Company’s Registration Statement on</w:t>
            </w: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3(i).2</w:t>
            </w:r>
          </w:p>
        </w:tc>
        <w:tc>
          <w:tcPr>
            <w:tcW w:w="120" w:type="dxa"/>
            <w:vAlign w:val="bottom"/>
          </w:tcPr>
          <w:p>
            <w:pPr>
              <w:spacing w:after="0"/>
              <w:rPr>
                <w:sz w:val="17"/>
                <w:szCs w:val="17"/>
                <w:color w:val="auto"/>
              </w:rPr>
            </w:pPr>
          </w:p>
        </w:tc>
        <w:tc>
          <w:tcPr>
            <w:tcW w:w="3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LSB Industries, dated September 23, 2021</w:t>
              </w:r>
            </w:hyperlink>
          </w:p>
        </w:tc>
        <w:tc>
          <w:tcPr>
            <w:tcW w:w="2440" w:type="dxa"/>
            <w:vAlign w:val="bottom"/>
            <w:gridSpan w:val="7"/>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Form S-3 filed on November 16, 2021</w:t>
            </w: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Arial" w:cs="Arial" w:eastAsia="Arial" w:hAnsi="Arial"/>
                <w:sz w:val="18"/>
                <w:szCs w:val="18"/>
                <w:color w:val="0000EE"/>
                <w:w w:val="96"/>
              </w:rPr>
            </w:pPr>
            <w:hyperlink r:id="rId61">
              <w:r>
                <w:rPr>
                  <w:rFonts w:ascii="Arial" w:cs="Arial" w:eastAsia="Arial" w:hAnsi="Arial"/>
                  <w:sz w:val="18"/>
                  <w:szCs w:val="18"/>
                  <w:color w:val="0000EE"/>
                  <w:w w:val="96"/>
                </w:rPr>
                <w:t>Second Amended and Restated Bylaws of LSB Industries, Inc.</w:t>
              </w:r>
              <w:r>
                <w:rPr>
                  <w:rFonts w:ascii="Arial" w:cs="Arial" w:eastAsia="Arial" w:hAnsi="Arial"/>
                  <w:sz w:val="19"/>
                  <w:szCs w:val="19"/>
                  <w:color w:val="0000EE"/>
                  <w:w w:val="96"/>
                </w:rPr>
                <w:t>, dated</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00"/>
              <w:spacing w:after="0"/>
              <w:rPr>
                <w:sz w:val="20"/>
                <w:szCs w:val="20"/>
                <w:color w:val="auto"/>
              </w:rPr>
            </w:pPr>
            <w:r>
              <w:rPr>
                <w:rFonts w:ascii="Arial" w:cs="Arial" w:eastAsia="Arial" w:hAnsi="Arial"/>
                <w:sz w:val="18"/>
                <w:szCs w:val="18"/>
                <w:color w:val="auto"/>
              </w:rPr>
              <w:t>3(ii)</w:t>
            </w:r>
          </w:p>
        </w:tc>
        <w:tc>
          <w:tcPr>
            <w:tcW w:w="120" w:type="dxa"/>
            <w:vAlign w:val="bottom"/>
          </w:tcPr>
          <w:p>
            <w:pPr>
              <w:spacing w:after="0"/>
              <w:rPr>
                <w:sz w:val="18"/>
                <w:szCs w:val="18"/>
                <w:color w:val="auto"/>
              </w:rPr>
            </w:pPr>
          </w:p>
        </w:tc>
        <w:tc>
          <w:tcPr>
            <w:tcW w:w="1080" w:type="dxa"/>
            <w:vAlign w:val="bottom"/>
            <w:tcBorders>
              <w:bottom w:val="single" w:sz="8" w:color="0000EE"/>
            </w:tcBorders>
          </w:tcPr>
          <w:p>
            <w:pPr>
              <w:spacing w:after="0" w:line="209" w:lineRule="exact"/>
              <w:rPr>
                <w:rFonts w:ascii="Arial" w:cs="Arial" w:eastAsia="Arial" w:hAnsi="Arial"/>
                <w:sz w:val="20"/>
                <w:szCs w:val="20"/>
                <w:color w:val="0000EE"/>
                <w:w w:val="89"/>
              </w:rPr>
            </w:pPr>
            <w:hyperlink r:id="rId61">
              <w:r>
                <w:rPr>
                  <w:rFonts w:ascii="Arial" w:cs="Arial" w:eastAsia="Arial" w:hAnsi="Arial"/>
                  <w:sz w:val="20"/>
                  <w:szCs w:val="20"/>
                  <w:color w:val="0000EE"/>
                  <w:w w:val="89"/>
                </w:rPr>
                <w:t>July 19, 2021</w:t>
              </w:r>
            </w:hyperlink>
          </w:p>
        </w:tc>
        <w:tc>
          <w:tcPr>
            <w:tcW w:w="4420" w:type="dxa"/>
            <w:vAlign w:val="bottom"/>
            <w:gridSpan w:val="9"/>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7"/>
              </w:rPr>
              <w:t>Exhibit 3.1 to the Company’s Form 8-K filed July 20, 2021</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Certification of Mark T. Behrman, Chief Executive Officer, pursuant to</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Certification of Cheryl A. Maguire, Chief Financial Officer, pursuant to</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Certification of Mark T. Behrman,  Chief  Executive  Officer,  furnished</w:t>
              </w:r>
            </w:hyperlink>
          </w:p>
        </w:tc>
        <w:tc>
          <w:tcPr>
            <w:tcW w:w="100" w:type="dxa"/>
            <w:vAlign w:val="bottom"/>
            <w:gridSpan w:val="2"/>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pursuant to Sarbanes-Oxley Act of 2002, Section 906</w:t>
              </w:r>
            </w:hyperlink>
          </w:p>
        </w:tc>
        <w:tc>
          <w:tcPr>
            <w:tcW w:w="1820" w:type="dxa"/>
            <w:vAlign w:val="bottom"/>
            <w:gridSpan w:val="5"/>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380" w:type="dxa"/>
            <w:vAlign w:val="bottom"/>
            <w:tcBorders>
              <w:bottom w:val="single" w:sz="8" w:color="0000EE"/>
            </w:tcBorders>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Certification of Cheryl A. Maguire, Chief Financial Officer, furnished</w:t>
              </w:r>
            </w:hyperlink>
          </w:p>
        </w:tc>
        <w:tc>
          <w:tcPr>
            <w:tcW w:w="12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pursuant to Sarbanes-Oxley Act of 2002, Section 906</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6"/>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20" w:type="dxa"/>
            <w:vAlign w:val="bottom"/>
          </w:tcPr>
          <w:p>
            <w:pPr>
              <w:spacing w:after="0"/>
              <w:rPr>
                <w:sz w:val="24"/>
                <w:szCs w:val="24"/>
                <w:color w:val="auto"/>
              </w:rPr>
            </w:pPr>
          </w:p>
        </w:tc>
        <w:tc>
          <w:tcPr>
            <w:tcW w:w="5500" w:type="dxa"/>
            <w:vAlign w:val="bottom"/>
            <w:gridSpan w:val="10"/>
          </w:tcPr>
          <w:p>
            <w:pPr>
              <w:spacing w:after="0"/>
              <w:rPr>
                <w:sz w:val="20"/>
                <w:szCs w:val="20"/>
                <w:color w:val="auto"/>
              </w:rPr>
            </w:pPr>
            <w:r>
              <w:rPr>
                <w:rFonts w:ascii="Arial" w:cs="Arial" w:eastAsia="Arial" w:hAnsi="Arial"/>
                <w:sz w:val="18"/>
                <w:szCs w:val="18"/>
                <w:color w:val="auto"/>
                <w:w w:val="92"/>
              </w:rPr>
              <w:t>Inline XBRL Instance Document – the instance document does not appear</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10"/>
          </w:tcPr>
          <w:p>
            <w:pPr>
              <w:spacing w:after="0"/>
              <w:rPr>
                <w:sz w:val="20"/>
                <w:szCs w:val="20"/>
                <w:color w:val="auto"/>
              </w:rPr>
            </w:pPr>
            <w:r>
              <w:rPr>
                <w:rFonts w:ascii="Arial" w:cs="Arial" w:eastAsia="Arial" w:hAnsi="Arial"/>
                <w:sz w:val="18"/>
                <w:szCs w:val="18"/>
                <w:color w:val="auto"/>
                <w:w w:val="96"/>
              </w:rPr>
              <w:t>in the Interactive Data File because its XBRL tags are embedded within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10"/>
          </w:tcPr>
          <w:p>
            <w:pPr>
              <w:spacing w:after="0"/>
              <w:rPr>
                <w:sz w:val="20"/>
                <w:szCs w:val="20"/>
                <w:color w:val="auto"/>
              </w:rPr>
            </w:pPr>
            <w:r>
              <w:rPr>
                <w:rFonts w:ascii="Arial" w:cs="Arial" w:eastAsia="Arial" w:hAnsi="Arial"/>
                <w:sz w:val="18"/>
                <w:szCs w:val="18"/>
                <w:color w:val="auto"/>
              </w:rPr>
              <w:t>the Inline XBRL document.</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20" w:type="dxa"/>
            <w:vAlign w:val="bottom"/>
          </w:tcPr>
          <w:p>
            <w:pPr>
              <w:spacing w:after="0"/>
              <w:rPr>
                <w:sz w:val="24"/>
                <w:szCs w:val="24"/>
                <w:color w:val="auto"/>
              </w:rPr>
            </w:pPr>
          </w:p>
        </w:tc>
        <w:tc>
          <w:tcPr>
            <w:tcW w:w="55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20" w:type="dxa"/>
            <w:vAlign w:val="bottom"/>
          </w:tcPr>
          <w:p>
            <w:pPr>
              <w:spacing w:after="0"/>
              <w:rPr>
                <w:sz w:val="24"/>
                <w:szCs w:val="24"/>
                <w:color w:val="auto"/>
              </w:rPr>
            </w:pPr>
          </w:p>
        </w:tc>
        <w:tc>
          <w:tcPr>
            <w:tcW w:w="55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20" w:type="dxa"/>
            <w:vAlign w:val="bottom"/>
          </w:tcPr>
          <w:p>
            <w:pPr>
              <w:spacing w:after="0"/>
              <w:rPr>
                <w:sz w:val="24"/>
                <w:szCs w:val="24"/>
                <w:color w:val="auto"/>
              </w:rPr>
            </w:pPr>
          </w:p>
        </w:tc>
        <w:tc>
          <w:tcPr>
            <w:tcW w:w="55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20" w:type="dxa"/>
            <w:vAlign w:val="bottom"/>
          </w:tcPr>
          <w:p>
            <w:pPr>
              <w:spacing w:after="0"/>
              <w:rPr>
                <w:sz w:val="24"/>
                <w:szCs w:val="24"/>
                <w:color w:val="auto"/>
              </w:rPr>
            </w:pPr>
          </w:p>
        </w:tc>
        <w:tc>
          <w:tcPr>
            <w:tcW w:w="55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20" w:type="dxa"/>
            <w:vAlign w:val="bottom"/>
          </w:tcPr>
          <w:p>
            <w:pPr>
              <w:spacing w:after="0"/>
              <w:rPr>
                <w:sz w:val="24"/>
                <w:szCs w:val="24"/>
                <w:color w:val="auto"/>
              </w:rPr>
            </w:pPr>
          </w:p>
        </w:tc>
        <w:tc>
          <w:tcPr>
            <w:tcW w:w="55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right="5020" w:hanging="1252"/>
        <w:spacing w:after="0" w:line="277"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Filed herewith or furnished herewith</w:t>
      </w:r>
    </w:p>
    <w:p>
      <w:pPr>
        <w:spacing w:after="0" w:line="23"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28</w:t>
      </w:r>
      <w:r>
        <w:rPr>
          <w:rFonts w:ascii="Arial" w:cs="Arial" w:eastAsia="Arial" w:hAnsi="Arial"/>
          <w:sz w:val="15"/>
          <w:szCs w:val="15"/>
          <w:color w:val="auto"/>
        </w:rPr>
        <w:t>th</w:t>
      </w:r>
      <w:r>
        <w:rPr>
          <w:rFonts w:ascii="Arial" w:cs="Arial" w:eastAsia="Arial" w:hAnsi="Arial"/>
          <w:sz w:val="18"/>
          <w:szCs w:val="18"/>
          <w:color w:val="auto"/>
        </w:rPr>
        <w:t xml:space="preserve"> day of July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8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33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2022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33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2022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upperLetter"/>
      <w:start w:val="1"/>
    </w:lvl>
  </w:abstractNum>
  <w:abstractNum w:abstractNumId="6">
    <w:nsid w:val="6B68079A"/>
    <w:multiLevelType w:val="hybridMultilevel"/>
    <w:lvl w:ilvl="0">
      <w:lvlJc w:val="left"/>
      <w:lvlText w:val="(%1)"/>
      <w:numFmt w:val="upperLetter"/>
      <w:start w:val="2"/>
    </w:lvl>
  </w:abstractNum>
  <w:abstractNum w:abstractNumId="7">
    <w:nsid w:val="4E6AFB66"/>
    <w:multiLevelType w:val="hybridMultilevel"/>
    <w:lvl w:ilvl="0">
      <w:lvlJc w:val="left"/>
      <w:lvlText w:val="(%1)"/>
      <w:numFmt w:val="upperLetter"/>
      <w:start w:val="3"/>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0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59" Type="http://schemas.openxmlformats.org/officeDocument/2006/relationships/hyperlink" Target="http://www.sec.gov/Archives/edgar/data/60714/000119312513084410/d447083dex3i1.htm" TargetMode="External"/><Relationship Id="rId60" Type="http://schemas.openxmlformats.org/officeDocument/2006/relationships/hyperlink" Target="http://www.sec.gov/Archives/edgar/data/0000060714/000119312521331386/d173096dex3i2.htm" TargetMode="External"/><Relationship Id="rId61" Type="http://schemas.openxmlformats.org/officeDocument/2006/relationships/hyperlink" Target="http://www.sec.gov/Archives/edgar/data/60714/000119312521219140/d18954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2022-07-28T15:22:19Z</dcterms:created>
  <dcterms:modified xsi:type="dcterms:W3CDTF">2022-07-28T15:22:19Z</dcterms:modified>
</cp:coreProperties>
</file>