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2025</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0"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3" w:lineRule="exact"/>
        <w:rPr>
          <w:rFonts w:ascii="MS PGothic" w:cs="MS PGothic" w:eastAsia="MS PGothic" w:hAnsi="MS PGothic"/>
          <w:sz w:val="18"/>
          <w:szCs w:val="18"/>
          <w:color w:val="auto"/>
          <w:highlight w:val="black"/>
        </w:rPr>
      </w:pPr>
    </w:p>
    <w:p>
      <w:pPr>
        <w:ind w:left="36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For the transition period from __________ to __________</w:t>
      </w:r>
    </w:p>
    <w:p>
      <w:pPr>
        <w:spacing w:after="0" w:line="72" w:lineRule="exact"/>
        <w:rPr>
          <w:rFonts w:ascii="MS PGothic" w:cs="MS PGothic" w:eastAsia="MS PGothic" w:hAnsi="MS PGothic"/>
          <w:sz w:val="18"/>
          <w:szCs w:val="18"/>
          <w:color w:val="auto"/>
          <w:highlight w:val="black"/>
        </w:rPr>
      </w:pPr>
    </w:p>
    <w:p>
      <w:pPr>
        <w:ind w:left="44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Commission File Number: 1-7677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LSB INDUSTRIES, INC.</w:t>
      </w:r>
    </w:p>
    <w:p>
      <w:pPr>
        <w:sectPr>
          <w:pgSz w:w="11900" w:h="16838" w:orient="portrait"/>
          <w:cols w:equalWidth="0" w:num="1">
            <w:col w:w="11240"/>
          </w:cols>
          <w:pgMar w:left="320" w:top="1186" w:right="339" w:bottom="1440" w:gutter="0" w:footer="0" w:header="0"/>
        </w:sectPr>
      </w:pPr>
    </w:p>
    <w:p>
      <w:pPr>
        <w:spacing w:after="0" w:line="5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8"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3"/>
          <w:szCs w:val="13"/>
          <w:b w:val="1"/>
          <w:bCs w:val="1"/>
          <w:color w:val="auto"/>
        </w:rPr>
        <w:t>(State of or other Jurisdiction</w:t>
      </w:r>
    </w:p>
    <w:p>
      <w:pPr>
        <w:jc w:val="center"/>
        <w:ind w:right="196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78"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6"/>
          <w:szCs w:val="16"/>
          <w:b w:val="1"/>
          <w:bCs w:val="1"/>
          <w:color w:val="auto"/>
        </w:rPr>
        <w:t>73-1015226</w:t>
      </w: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34" w:lineRule="exact"/>
        <w:rPr>
          <w:sz w:val="24"/>
          <w:szCs w:val="24"/>
          <w:color w:val="auto"/>
        </w:rPr>
      </w:pPr>
    </w:p>
    <w:p>
      <w:pPr>
        <w:sectPr>
          <w:pgSz w:w="11900" w:h="16838" w:orient="portrait"/>
          <w:cols w:equalWidth="0" w:num="2">
            <w:col w:w="7480" w:space="520"/>
            <w:col w:w="3240"/>
          </w:cols>
          <w:pgMar w:left="320" w:top="1186" w:right="339" w:bottom="1440" w:gutter="0" w:footer="0" w:header="0"/>
          <w:type w:val="continuous"/>
        </w:sectPr>
      </w:pPr>
    </w:p>
    <w:p>
      <w:pPr>
        <w:ind w:left="1680"/>
        <w:spacing w:after="0"/>
        <w:rPr>
          <w:sz w:val="20"/>
          <w:szCs w:val="20"/>
          <w:color w:val="auto"/>
        </w:rPr>
      </w:pPr>
      <w:r>
        <w:rPr>
          <w:rFonts w:ascii="Times New Roman" w:cs="Times New Roman" w:eastAsia="Times New Roman" w:hAnsi="Times New Roman"/>
          <w:sz w:val="16"/>
          <w:szCs w:val="16"/>
          <w:b w:val="1"/>
          <w:bCs w:val="1"/>
          <w:color w:val="auto"/>
        </w:rPr>
        <w:t>3503 NW 63</w:t>
      </w:r>
      <w:r>
        <w:rPr>
          <w:rFonts w:ascii="Times New Roman" w:cs="Times New Roman" w:eastAsia="Times New Roman" w:hAnsi="Times New Roman"/>
          <w:sz w:val="21"/>
          <w:szCs w:val="21"/>
          <w:b w:val="1"/>
          <w:bCs w:val="1"/>
          <w:color w:val="auto"/>
          <w:vertAlign w:val="superscript"/>
        </w:rPr>
        <w:t>rd</w:t>
      </w:r>
      <w:r>
        <w:rPr>
          <w:rFonts w:ascii="Times New Roman" w:cs="Times New Roman" w:eastAsia="Times New Roman" w:hAnsi="Times New Roman"/>
          <w:sz w:val="16"/>
          <w:szCs w:val="16"/>
          <w:b w:val="1"/>
          <w:bCs w:val="1"/>
          <w:color w:val="auto"/>
        </w:rPr>
        <w:t xml:space="preserve"> Street, Suite 500,</w:t>
      </w:r>
    </w:p>
    <w:p>
      <w:pPr>
        <w:ind w:left="1820"/>
        <w:spacing w:after="0"/>
        <w:tabs>
          <w:tab w:leader="none" w:pos="8280" w:val="left"/>
        </w:tabs>
        <w:rPr>
          <w:sz w:val="20"/>
          <w:szCs w:val="20"/>
          <w:color w:val="auto"/>
        </w:rPr>
      </w:pPr>
      <w:r>
        <w:rPr>
          <w:rFonts w:ascii="Times New Roman" w:cs="Times New Roman" w:eastAsia="Times New Roman" w:hAnsi="Times New Roman"/>
          <w:sz w:val="16"/>
          <w:szCs w:val="16"/>
          <w:b w:val="1"/>
          <w:bCs w:val="1"/>
          <w:color w:val="auto"/>
        </w:rPr>
        <w:t>Oklahoma City, Oklahoma</w:t>
      </w:r>
      <w:r>
        <w:rPr>
          <w:sz w:val="20"/>
          <w:szCs w:val="20"/>
          <w:color w:val="auto"/>
        </w:rPr>
        <w:tab/>
      </w:r>
      <w:r>
        <w:rPr>
          <w:rFonts w:ascii="Times New Roman" w:cs="Times New Roman" w:eastAsia="Times New Roman" w:hAnsi="Times New Roman"/>
          <w:sz w:val="16"/>
          <w:szCs w:val="16"/>
          <w:b w:val="1"/>
          <w:bCs w:val="1"/>
          <w:color w:val="auto"/>
        </w:rPr>
        <w:t>73116</w:t>
      </w:r>
    </w:p>
    <w:p>
      <w:pPr>
        <w:spacing w:after="0" w:line="8" w:lineRule="exact"/>
        <w:rPr>
          <w:sz w:val="24"/>
          <w:szCs w:val="24"/>
          <w:color w:val="auto"/>
        </w:rPr>
      </w:pPr>
    </w:p>
    <w:p>
      <w:pPr>
        <w:ind w:left="1680"/>
        <w:spacing w:after="0"/>
        <w:tabs>
          <w:tab w:leader="none" w:pos="818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30"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(405) 235-4546</w:t>
      </w:r>
    </w:p>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5"/>
                <w:szCs w:val="15"/>
                <w:color w:val="auto"/>
              </w:rPr>
            </w:pPr>
          </w:p>
        </w:tc>
        <w:tc>
          <w:tcPr>
            <w:tcW w:w="214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700" w:type="dxa"/>
            <w:vAlign w:val="bottom"/>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34"/>
        </w:trPr>
        <w:tc>
          <w:tcPr>
            <w:tcW w:w="428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5"/>
                <w:szCs w:val="15"/>
                <w:b w:val="1"/>
                <w:bCs w:val="1"/>
                <w:color w:val="auto"/>
              </w:rPr>
              <w:t>Common Stock, Par Value $.10</w:t>
            </w:r>
          </w:p>
        </w:tc>
        <w:tc>
          <w:tcPr>
            <w:tcW w:w="120" w:type="dxa"/>
            <w:vAlign w:val="bottom"/>
          </w:tcPr>
          <w:p>
            <w:pPr>
              <w:spacing w:after="0"/>
              <w:rPr>
                <w:sz w:val="11"/>
                <w:szCs w:val="11"/>
                <w:color w:val="auto"/>
              </w:rPr>
            </w:pPr>
          </w:p>
        </w:tc>
        <w:tc>
          <w:tcPr>
            <w:tcW w:w="168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5"/>
                <w:szCs w:val="15"/>
                <w:b w:val="1"/>
                <w:bCs w:val="1"/>
                <w:color w:val="auto"/>
              </w:rPr>
              <w:t>LXU</w:t>
            </w:r>
          </w:p>
        </w:tc>
        <w:tc>
          <w:tcPr>
            <w:tcW w:w="1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4700" w:type="dxa"/>
            <w:vAlign w:val="bottom"/>
            <w:tcBorders>
              <w:top w:val="single" w:sz="8" w:color="auto"/>
            </w:tcBorders>
          </w:tcPr>
          <w:p>
            <w:pPr>
              <w:jc w:val="center"/>
              <w:ind w:right="330"/>
              <w:spacing w:after="0" w:line="134" w:lineRule="exact"/>
              <w:rPr>
                <w:sz w:val="20"/>
                <w:szCs w:val="20"/>
                <w:color w:val="auto"/>
              </w:rPr>
            </w:pPr>
            <w:r>
              <w:rPr>
                <w:rFonts w:ascii="Times New Roman" w:cs="Times New Roman" w:eastAsia="Times New Roman" w:hAnsi="Times New Roman"/>
                <w:sz w:val="15"/>
                <w:szCs w:val="15"/>
                <w:b w:val="1"/>
                <w:bCs w:val="1"/>
                <w:color w:val="auto"/>
              </w:rPr>
              <w:t>New York Stock Exchange</w:t>
            </w:r>
          </w:p>
        </w:tc>
      </w:tr>
      <w:tr>
        <w:trPr>
          <w:trHeight w:val="163"/>
        </w:trPr>
        <w:tc>
          <w:tcPr>
            <w:tcW w:w="4280" w:type="dxa"/>
            <w:vAlign w:val="bottom"/>
          </w:tcPr>
          <w:p>
            <w:pPr>
              <w:jc w:val="center"/>
              <w:spacing w:after="0" w:line="163" w:lineRule="exact"/>
              <w:rPr>
                <w:sz w:val="20"/>
                <w:szCs w:val="20"/>
                <w:color w:val="auto"/>
              </w:rPr>
            </w:pPr>
            <w:r>
              <w:rPr>
                <w:rFonts w:ascii="Times New Roman" w:cs="Times New Roman" w:eastAsia="Times New Roman" w:hAnsi="Times New Roman"/>
                <w:sz w:val="15"/>
                <w:szCs w:val="15"/>
                <w:b w:val="1"/>
                <w:bCs w:val="1"/>
                <w:color w:val="auto"/>
              </w:rPr>
              <w:t>Preferred Stock Purchase Rights</w:t>
            </w:r>
          </w:p>
        </w:tc>
        <w:tc>
          <w:tcPr>
            <w:tcW w:w="120" w:type="dxa"/>
            <w:vAlign w:val="bottom"/>
          </w:tcPr>
          <w:p>
            <w:pPr>
              <w:spacing w:after="0"/>
              <w:rPr>
                <w:sz w:val="14"/>
                <w:szCs w:val="14"/>
                <w:color w:val="auto"/>
              </w:rPr>
            </w:pPr>
          </w:p>
        </w:tc>
        <w:tc>
          <w:tcPr>
            <w:tcW w:w="2140" w:type="dxa"/>
            <w:vAlign w:val="bottom"/>
            <w:gridSpan w:val="3"/>
          </w:tcPr>
          <w:p>
            <w:pPr>
              <w:jc w:val="center"/>
              <w:ind w:right="440"/>
              <w:spacing w:after="0" w:line="163" w:lineRule="exact"/>
              <w:rPr>
                <w:sz w:val="20"/>
                <w:szCs w:val="20"/>
                <w:color w:val="auto"/>
              </w:rPr>
            </w:pPr>
            <w:r>
              <w:rPr>
                <w:rFonts w:ascii="Times New Roman" w:cs="Times New Roman" w:eastAsia="Times New Roman" w:hAnsi="Times New Roman"/>
                <w:sz w:val="15"/>
                <w:szCs w:val="15"/>
                <w:b w:val="1"/>
                <w:bCs w:val="1"/>
                <w:color w:val="auto"/>
              </w:rPr>
              <w:t>N/A</w:t>
            </w:r>
          </w:p>
        </w:tc>
        <w:tc>
          <w:tcPr>
            <w:tcW w:w="4700" w:type="dxa"/>
            <w:vAlign w:val="bottom"/>
          </w:tcPr>
          <w:p>
            <w:pPr>
              <w:jc w:val="center"/>
              <w:ind w:right="290"/>
              <w:spacing w:after="0" w:line="163" w:lineRule="exact"/>
              <w:rPr>
                <w:sz w:val="20"/>
                <w:szCs w:val="20"/>
                <w:color w:val="auto"/>
              </w:rPr>
            </w:pPr>
            <w:r>
              <w:rPr>
                <w:rFonts w:ascii="Times New Roman" w:cs="Times New Roman" w:eastAsia="Times New Roman" w:hAnsi="Times New Roman"/>
                <w:sz w:val="15"/>
                <w:szCs w:val="15"/>
                <w:b w:val="1"/>
                <w:bCs w:val="1"/>
                <w:color w:val="auto"/>
              </w:rPr>
              <w:t>New York Stock Exchange</w:t>
            </w:r>
          </w:p>
        </w:tc>
      </w:tr>
      <w:tr>
        <w:trPr>
          <w:trHeight w:val="149"/>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700" w:type="dxa"/>
            <w:vAlign w:val="bottom"/>
          </w:tcPr>
          <w:p>
            <w:pPr>
              <w:spacing w:after="0"/>
              <w:rPr>
                <w:sz w:val="12"/>
                <w:szCs w:val="12"/>
                <w:color w:val="auto"/>
              </w:rPr>
            </w:pPr>
          </w:p>
        </w:tc>
      </w:tr>
      <w:tr>
        <w:trPr>
          <w:trHeight w:val="162"/>
        </w:trPr>
        <w:tc>
          <w:tcPr>
            <w:tcW w:w="6540" w:type="dxa"/>
            <w:vAlign w:val="bottom"/>
            <w:gridSpan w:val="5"/>
          </w:tcPr>
          <w:p>
            <w:pPr>
              <w:spacing w:after="0" w:line="150" w:lineRule="exact"/>
              <w:rPr>
                <w:sz w:val="20"/>
                <w:szCs w:val="20"/>
                <w:color w:val="auto"/>
              </w:rPr>
            </w:pPr>
            <w:r>
              <w:rPr>
                <w:rFonts w:ascii="Times New Roman" w:cs="Times New Roman" w:eastAsia="Times New Roman" w:hAnsi="Times New Roman"/>
                <w:sz w:val="13"/>
                <w:szCs w:val="13"/>
                <w:color w:val="auto"/>
                <w:w w:val="99"/>
              </w:rPr>
              <w:t xml:space="preserve">Indicate by check mark if the Registrant is a well-known seasoned issuer, as defined in Rule 405 of the Securities Act.  </w:t>
            </w:r>
            <w:r>
              <w:rPr>
                <w:rFonts w:ascii="MS PGothic" w:cs="MS PGothic" w:eastAsia="MS PGothic" w:hAnsi="MS PGothic"/>
                <w:sz w:val="13"/>
                <w:szCs w:val="13"/>
                <w:color w:val="auto"/>
                <w:w w:val="99"/>
              </w:rPr>
              <w:t>☐</w:t>
            </w:r>
            <w:r>
              <w:rPr>
                <w:rFonts w:ascii="Times New Roman" w:cs="Times New Roman" w:eastAsia="Times New Roman" w:hAnsi="Times New Roman"/>
                <w:sz w:val="13"/>
                <w:szCs w:val="13"/>
                <w:color w:val="auto"/>
                <w:w w:val="99"/>
              </w:rPr>
              <w:t xml:space="preserve"> Yes</w:t>
            </w:r>
          </w:p>
        </w:tc>
        <w:tc>
          <w:tcPr>
            <w:tcW w:w="4700" w:type="dxa"/>
            <w:vAlign w:val="bottom"/>
          </w:tcPr>
          <w:p>
            <w:pPr>
              <w:ind w:left="2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tc>
      </w:tr>
      <w:tr>
        <w:trPr>
          <w:trHeight w:val="191"/>
        </w:trPr>
        <w:tc>
          <w:tcPr>
            <w:tcW w:w="6540" w:type="dxa"/>
            <w:vAlign w:val="bottom"/>
            <w:gridSpan w:val="5"/>
          </w:tcPr>
          <w:p>
            <w:pPr>
              <w:spacing w:after="0" w:line="150" w:lineRule="exact"/>
              <w:rPr>
                <w:sz w:val="20"/>
                <w:szCs w:val="20"/>
                <w:color w:val="auto"/>
              </w:rPr>
            </w:pPr>
            <w:r>
              <w:rPr>
                <w:rFonts w:ascii="Times New Roman" w:cs="Times New Roman" w:eastAsia="Times New Roman" w:hAnsi="Times New Roman"/>
                <w:sz w:val="13"/>
                <w:szCs w:val="13"/>
                <w:color w:val="auto"/>
                <w:w w:val="97"/>
              </w:rPr>
              <w:t xml:space="preserve">Indicate by check mark if the Registrant is not required to file reports pursuant to Section 13 or Section 15(d) of the Act. </w:t>
            </w:r>
            <w:r>
              <w:rPr>
                <w:rFonts w:ascii="MS PGothic" w:cs="MS PGothic" w:eastAsia="MS PGothic" w:hAnsi="MS PGothic"/>
                <w:sz w:val="13"/>
                <w:szCs w:val="13"/>
                <w:color w:val="auto"/>
                <w:w w:val="97"/>
              </w:rPr>
              <w:t>☐</w:t>
            </w:r>
            <w:r>
              <w:rPr>
                <w:rFonts w:ascii="Times New Roman" w:cs="Times New Roman" w:eastAsia="Times New Roman" w:hAnsi="Times New Roman"/>
                <w:sz w:val="13"/>
                <w:szCs w:val="13"/>
                <w:color w:val="auto"/>
                <w:w w:val="97"/>
              </w:rPr>
              <w:t xml:space="preserve"> Yes</w:t>
            </w:r>
          </w:p>
        </w:tc>
        <w:tc>
          <w:tcPr>
            <w:tcW w:w="4700" w:type="dxa"/>
            <w:vAlign w:val="bottom"/>
          </w:tcPr>
          <w:p>
            <w:pPr>
              <w:ind w:left="6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tc>
      </w:tr>
    </w:tbl>
    <w:p>
      <w:pPr>
        <w:jc w:val="both"/>
        <w:spacing w:after="0" w:line="15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jc w:val="both"/>
        <w:ind w:right="20"/>
        <w:spacing w:after="0" w:line="14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file such reports submit such files).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1" w:lineRule="exact"/>
        <w:rPr>
          <w:sz w:val="24"/>
          <w:szCs w:val="24"/>
          <w:color w:val="auto"/>
        </w:rPr>
      </w:pPr>
    </w:p>
    <w:p>
      <w:pPr>
        <w:jc w:val="both"/>
        <w:ind w:right="20"/>
        <w:spacing w:after="0" w:line="223"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25"/>
        </w:trPr>
        <w:tc>
          <w:tcPr>
            <w:tcW w:w="1740" w:type="dxa"/>
            <w:vAlign w:val="bottom"/>
          </w:tcPr>
          <w:p>
            <w:pPr>
              <w:spacing w:after="0" w:line="125" w:lineRule="exact"/>
              <w:rPr>
                <w:sz w:val="20"/>
                <w:szCs w:val="20"/>
                <w:color w:val="auto"/>
              </w:rPr>
            </w:pPr>
            <w:r>
              <w:rPr>
                <w:rFonts w:ascii="Times New Roman" w:cs="Times New Roman" w:eastAsia="Times New Roman" w:hAnsi="Times New Roman"/>
                <w:sz w:val="13"/>
                <w:szCs w:val="13"/>
                <w:color w:val="auto"/>
              </w:rPr>
              <w:t>Large accelerated filer</w:t>
            </w:r>
          </w:p>
        </w:tc>
        <w:tc>
          <w:tcPr>
            <w:tcW w:w="3860" w:type="dxa"/>
            <w:vAlign w:val="bottom"/>
          </w:tcPr>
          <w:p>
            <w:pPr>
              <w:ind w:left="620"/>
              <w:spacing w:after="0" w:line="125" w:lineRule="exact"/>
              <w:rPr>
                <w:sz w:val="20"/>
                <w:szCs w:val="20"/>
                <w:color w:val="auto"/>
              </w:rPr>
            </w:pPr>
            <w:r>
              <w:rPr>
                <w:rFonts w:ascii="MS PGothic" w:cs="MS PGothic" w:eastAsia="MS PGothic" w:hAnsi="MS PGothic"/>
                <w:sz w:val="13"/>
                <w:szCs w:val="13"/>
                <w:color w:val="auto"/>
              </w:rPr>
              <w:t>☐</w:t>
            </w:r>
          </w:p>
        </w:tc>
        <w:tc>
          <w:tcPr>
            <w:tcW w:w="4960" w:type="dxa"/>
            <w:vAlign w:val="bottom"/>
          </w:tcPr>
          <w:p>
            <w:pPr>
              <w:ind w:left="3120"/>
              <w:spacing w:after="0" w:line="125" w:lineRule="exact"/>
              <w:rPr>
                <w:sz w:val="20"/>
                <w:szCs w:val="20"/>
                <w:color w:val="auto"/>
              </w:rPr>
            </w:pPr>
            <w:r>
              <w:rPr>
                <w:rFonts w:ascii="Times New Roman" w:cs="Times New Roman" w:eastAsia="Times New Roman" w:hAnsi="Times New Roman"/>
                <w:sz w:val="13"/>
                <w:szCs w:val="13"/>
                <w:color w:val="auto"/>
              </w:rPr>
              <w:t>Accelerated filer</w:t>
            </w:r>
          </w:p>
        </w:tc>
        <w:tc>
          <w:tcPr>
            <w:tcW w:w="580" w:type="dxa"/>
            <w:vAlign w:val="bottom"/>
          </w:tcPr>
          <w:p>
            <w:pPr>
              <w:ind w:left="460"/>
              <w:spacing w:after="0" w:line="125" w:lineRule="exact"/>
              <w:rPr>
                <w:sz w:val="20"/>
                <w:szCs w:val="20"/>
                <w:color w:val="auto"/>
              </w:rPr>
            </w:pPr>
            <w:r>
              <w:rPr>
                <w:rFonts w:ascii="MS PGothic" w:cs="MS PGothic" w:eastAsia="MS PGothic" w:hAnsi="MS PGothic"/>
                <w:sz w:val="13"/>
                <w:szCs w:val="13"/>
                <w:color w:val="auto"/>
                <w:w w:val="76"/>
              </w:rPr>
              <w:t>☒</w:t>
            </w:r>
          </w:p>
        </w:tc>
      </w:tr>
      <w:tr>
        <w:trPr>
          <w:trHeight w:val="189"/>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860" w:type="dxa"/>
            <w:vAlign w:val="bottom"/>
          </w:tcPr>
          <w:p>
            <w:pPr>
              <w:ind w:left="620"/>
              <w:spacing w:after="0" w:line="131" w:lineRule="exact"/>
              <w:rPr>
                <w:sz w:val="20"/>
                <w:szCs w:val="20"/>
                <w:color w:val="auto"/>
              </w:rPr>
            </w:pPr>
            <w:r>
              <w:rPr>
                <w:rFonts w:ascii="MS PGothic" w:cs="MS PGothic" w:eastAsia="MS PGothic" w:hAnsi="MS PGothic"/>
                <w:sz w:val="13"/>
                <w:szCs w:val="13"/>
                <w:color w:val="auto"/>
              </w:rPr>
              <w:t>☐</w:t>
            </w:r>
          </w:p>
        </w:tc>
        <w:tc>
          <w:tcPr>
            <w:tcW w:w="4960" w:type="dxa"/>
            <w:vAlign w:val="bottom"/>
          </w:tcPr>
          <w:p>
            <w:pPr>
              <w:ind w:left="31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8"/>
        </w:trPr>
        <w:tc>
          <w:tcPr>
            <w:tcW w:w="174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4960" w:type="dxa"/>
            <w:vAlign w:val="bottom"/>
          </w:tcPr>
          <w:p>
            <w:pPr>
              <w:ind w:left="3120"/>
              <w:spacing w:after="0"/>
              <w:rPr>
                <w:sz w:val="20"/>
                <w:szCs w:val="20"/>
                <w:color w:val="auto"/>
              </w:rPr>
            </w:pPr>
            <w:r>
              <w:rPr>
                <w:rFonts w:ascii="Times New Roman" w:cs="Times New Roman" w:eastAsia="Times New Roman" w:hAnsi="Times New Roman"/>
                <w:sz w:val="13"/>
                <w:szCs w:val="13"/>
                <w:color w:val="auto"/>
              </w:rPr>
              <w:t>Emerging growth company</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bl>
    <w:p>
      <w:pPr>
        <w:ind w:right="300"/>
        <w:spacing w:after="0" w:line="149"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jc w:val="both"/>
        <w:spacing w:after="0" w:line="15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4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1" w:lineRule="exact"/>
        <w:rPr>
          <w:sz w:val="24"/>
          <w:szCs w:val="24"/>
          <w:color w:val="auto"/>
        </w:rPr>
      </w:pPr>
    </w:p>
    <w:p>
      <w:pPr>
        <w:ind w:right="240"/>
        <w:spacing w:after="0" w:line="146"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5480" w:val="left"/>
          <w:tab w:leader="none" w:pos="598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No</w:t>
      </w:r>
    </w:p>
    <w:p>
      <w:pPr>
        <w:spacing w:after="0" w:line="4" w:lineRule="exact"/>
        <w:rPr>
          <w:sz w:val="24"/>
          <w:szCs w:val="24"/>
          <w:color w:val="auto"/>
        </w:rPr>
      </w:pPr>
    </w:p>
    <w:p>
      <w:pPr>
        <w:jc w:val="both"/>
        <w:spacing w:after="0" w:line="216" w:lineRule="auto"/>
        <w:rPr>
          <w:sz w:val="20"/>
          <w:szCs w:val="20"/>
          <w:color w:val="auto"/>
        </w:rPr>
      </w:pPr>
      <w:r>
        <w:rPr>
          <w:rFonts w:ascii="Times New Roman" w:cs="Times New Roman" w:eastAsia="Times New Roman" w:hAnsi="Times New Roman"/>
          <w:sz w:val="13"/>
          <w:szCs w:val="13"/>
          <w:color w:val="auto"/>
        </w:rPr>
        <w:t>The aggregate market value of the Registrant’s voting common equity held by non-affiliates of the Registrant, computed by reference to the price at which the voting common stock was last sold as of June 30, 2025, was approximately $417 million. As a result, the Registrant is an accelerated filer as of December 31, 2025. For purposes of this computation, shares of the Registrant’s common stock beneficially owned by each executive officer and director of the Registrant and by TLB-LSB, LLC were deemed to be owned by affiliates of the Registrant as of June 30, 2025. Such determination should not be deemed an admission that such executive officers, directors or entity of our common stock are, in fact, affiliates of the Registrant or affiliates as of the date of this Form 10-K.</w:t>
      </w:r>
    </w:p>
    <w:p>
      <w:pPr>
        <w:jc w:val="center"/>
        <w:ind w:right="20"/>
        <w:spacing w:after="0" w:line="224" w:lineRule="auto"/>
        <w:rPr>
          <w:sz w:val="20"/>
          <w:szCs w:val="20"/>
          <w:color w:val="auto"/>
        </w:rPr>
      </w:pPr>
      <w:r>
        <w:rPr>
          <w:rFonts w:ascii="Times New Roman" w:cs="Times New Roman" w:eastAsia="Times New Roman" w:hAnsi="Times New Roman"/>
          <w:sz w:val="13"/>
          <w:szCs w:val="13"/>
          <w:color w:val="auto"/>
        </w:rPr>
        <w:t>As of February 20, 2026, the Registrant had 71,846,842 shares of common stock outstanding.</w:t>
      </w:r>
    </w:p>
    <w:p>
      <w:pPr>
        <w:jc w:val="center"/>
        <w:spacing w:after="0" w:line="221" w:lineRule="auto"/>
        <w:rPr>
          <w:sz w:val="20"/>
          <w:szCs w:val="20"/>
          <w:color w:val="auto"/>
        </w:rPr>
      </w:pPr>
      <w:r>
        <w:rPr>
          <w:rFonts w:ascii="Times New Roman" w:cs="Times New Roman" w:eastAsia="Times New Roman" w:hAnsi="Times New Roman"/>
          <w:sz w:val="15"/>
          <w:szCs w:val="15"/>
          <w:color w:val="auto"/>
        </w:rPr>
        <w:t>DOCUMENTS INCORPORATED BY REFERENCE</w:t>
      </w:r>
    </w:p>
    <w:p>
      <w:pPr>
        <w:jc w:val="both"/>
        <w:spacing w:after="0" w:line="228" w:lineRule="auto"/>
        <w:rPr>
          <w:sz w:val="20"/>
          <w:szCs w:val="20"/>
          <w:color w:val="auto"/>
        </w:rPr>
      </w:pPr>
      <w:r>
        <w:rPr>
          <w:rFonts w:ascii="Times New Roman" w:cs="Times New Roman" w:eastAsia="Times New Roman" w:hAnsi="Times New Roman"/>
          <w:sz w:val="13"/>
          <w:szCs w:val="13"/>
          <w:color w:val="auto"/>
        </w:rPr>
        <w:t>Portions of the Registrant’s proxy statement for its 2026 annual meeting of stockholders will be filed with the Securities and Exchange Commission within 120 days after the end of its 2025 fiscal year, are incorporated by reference in Part III.</w:t>
      </w:r>
    </w:p>
    <w:p>
      <w:pPr>
        <w:spacing w:after="0" w:line="107" w:lineRule="exact"/>
        <w:rPr>
          <w:sz w:val="24"/>
          <w:szCs w:val="24"/>
          <w:color w:val="auto"/>
        </w:rPr>
      </w:pPr>
    </w:p>
    <w:p>
      <w:pPr>
        <w:ind w:left="100"/>
        <w:spacing w:after="0"/>
        <w:tabs>
          <w:tab w:leader="none" w:pos="1480" w:val="left"/>
          <w:tab w:leader="none" w:pos="3360" w:val="left"/>
          <w:tab w:leader="none" w:pos="4720" w:val="left"/>
          <w:tab w:leader="none" w:pos="6980" w:val="left"/>
          <w:tab w:leader="none" w:pos="8460" w:val="left"/>
        </w:tabs>
        <w:rPr>
          <w:sz w:val="20"/>
          <w:szCs w:val="20"/>
          <w:color w:val="auto"/>
        </w:rPr>
      </w:pPr>
      <w:r>
        <w:rPr>
          <w:rFonts w:ascii="Times New Roman" w:cs="Times New Roman" w:eastAsia="Times New Roman" w:hAnsi="Times New Roman"/>
          <w:sz w:val="13"/>
          <w:szCs w:val="13"/>
          <w:color w:val="auto"/>
        </w:rPr>
        <w:t>Auditor Firm Id:</w:t>
      </w:r>
      <w:r>
        <w:rPr>
          <w:sz w:val="20"/>
          <w:szCs w:val="20"/>
          <w:color w:val="auto"/>
        </w:rPr>
        <w:tab/>
      </w:r>
      <w:r>
        <w:rPr>
          <w:rFonts w:ascii="Times New Roman" w:cs="Times New Roman" w:eastAsia="Times New Roman" w:hAnsi="Times New Roman"/>
          <w:sz w:val="13"/>
          <w:szCs w:val="13"/>
          <w:color w:val="auto"/>
        </w:rPr>
        <w:t>00042</w:t>
      </w:r>
      <w:r>
        <w:rPr>
          <w:sz w:val="20"/>
          <w:szCs w:val="20"/>
          <w:color w:val="auto"/>
        </w:rPr>
        <w:tab/>
      </w:r>
      <w:r>
        <w:rPr>
          <w:rFonts w:ascii="Times New Roman" w:cs="Times New Roman" w:eastAsia="Times New Roman" w:hAnsi="Times New Roman"/>
          <w:sz w:val="13"/>
          <w:szCs w:val="13"/>
          <w:color w:val="auto"/>
        </w:rPr>
        <w:t>Auditor Name:</w:t>
      </w:r>
      <w:r>
        <w:rPr>
          <w:sz w:val="20"/>
          <w:szCs w:val="20"/>
          <w:color w:val="auto"/>
        </w:rPr>
        <w:tab/>
      </w:r>
      <w:r>
        <w:rPr>
          <w:rFonts w:ascii="Times New Roman" w:cs="Times New Roman" w:eastAsia="Times New Roman" w:hAnsi="Times New Roman"/>
          <w:sz w:val="13"/>
          <w:szCs w:val="13"/>
          <w:color w:val="auto"/>
        </w:rPr>
        <w:t>Ernst &amp; Young LLP</w:t>
      </w:r>
      <w:r>
        <w:rPr>
          <w:sz w:val="20"/>
          <w:szCs w:val="20"/>
          <w:color w:val="auto"/>
        </w:rPr>
        <w:tab/>
      </w:r>
      <w:r>
        <w:rPr>
          <w:rFonts w:ascii="Times New Roman" w:cs="Times New Roman" w:eastAsia="Times New Roman" w:hAnsi="Times New Roman"/>
          <w:sz w:val="13"/>
          <w:szCs w:val="13"/>
          <w:color w:val="auto"/>
        </w:rPr>
        <w:t>Auditor Location:</w:t>
      </w:r>
      <w:r>
        <w:rPr>
          <w:sz w:val="20"/>
          <w:szCs w:val="20"/>
          <w:color w:val="auto"/>
        </w:rPr>
        <w:tab/>
      </w:r>
      <w:r>
        <w:rPr>
          <w:rFonts w:ascii="Times New Roman" w:cs="Times New Roman" w:eastAsia="Times New Roman" w:hAnsi="Times New Roman"/>
          <w:sz w:val="12"/>
          <w:szCs w:val="12"/>
          <w:color w:val="auto"/>
        </w:rPr>
        <w:t>Oklahoma City, OK,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0000FF"/>
              </w:rPr>
              <w:t>PART I</w:t>
            </w:r>
          </w:p>
        </w:tc>
        <w:tc>
          <w:tcPr>
            <w:tcW w:w="4480" w:type="dxa"/>
            <w:vAlign w:val="bottom"/>
            <w:gridSpan w:val="9"/>
            <w:vMerge w:val="restart"/>
          </w:tcPr>
          <w:p>
            <w:pPr>
              <w:spacing w:after="0"/>
              <w:rPr>
                <w:sz w:val="14"/>
                <w:szCs w:val="14"/>
                <w:color w:val="auto"/>
              </w:rPr>
            </w:pPr>
          </w:p>
        </w:tc>
        <w:tc>
          <w:tcPr>
            <w:tcW w:w="7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74"/>
        </w:trPr>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bottom w:val="single" w:sz="8" w:color="0000FF"/>
            </w:tcBorders>
            <w:gridSpan w:val="3"/>
            <w:vMerge w:val="continue"/>
          </w:tcPr>
          <w:p>
            <w:pPr>
              <w:spacing w:after="0"/>
              <w:rPr>
                <w:sz w:val="14"/>
                <w:szCs w:val="14"/>
                <w:color w:val="auto"/>
              </w:rPr>
            </w:pPr>
          </w:p>
        </w:tc>
        <w:tc>
          <w:tcPr>
            <w:tcW w:w="4480" w:type="dxa"/>
            <w:vAlign w:val="bottom"/>
            <w:gridSpan w:val="9"/>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6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3"/>
              </w:rPr>
              <w:t>Business</w:t>
            </w:r>
          </w:p>
        </w:tc>
        <w:tc>
          <w:tcPr>
            <w:tcW w:w="20" w:type="dxa"/>
            <w:vAlign w:val="bottom"/>
            <w:tcBorders>
              <w:bottom w:val="single" w:sz="8" w:color="0000EE"/>
            </w:tcBorders>
          </w:tcPr>
          <w:p>
            <w:pPr>
              <w:spacing w:after="0"/>
              <w:rPr>
                <w:sz w:val="24"/>
                <w:szCs w:val="24"/>
                <w:color w:val="auto"/>
              </w:rPr>
            </w:pPr>
          </w:p>
        </w:tc>
        <w:tc>
          <w:tcPr>
            <w:tcW w:w="8760" w:type="dxa"/>
            <w:vAlign w:val="bottom"/>
            <w:gridSpan w:val="25"/>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4"/>
              </w:rPr>
              <w:t>Risk Factors</w:t>
            </w:r>
          </w:p>
        </w:tc>
        <w:tc>
          <w:tcPr>
            <w:tcW w:w="20" w:type="dxa"/>
            <w:vAlign w:val="bottom"/>
            <w:tcBorders>
              <w:bottom w:val="single" w:sz="8" w:color="0000EE"/>
            </w:tcBorders>
          </w:tcPr>
          <w:p>
            <w:pPr>
              <w:spacing w:after="0"/>
              <w:rPr>
                <w:sz w:val="24"/>
                <w:szCs w:val="24"/>
                <w:color w:val="auto"/>
              </w:rPr>
            </w:pPr>
          </w:p>
        </w:tc>
        <w:tc>
          <w:tcPr>
            <w:tcW w:w="8500" w:type="dxa"/>
            <w:vAlign w:val="bottom"/>
            <w:gridSpan w:val="22"/>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4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20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380" w:type="dxa"/>
            <w:vAlign w:val="bottom"/>
            <w:gridSpan w:val="17"/>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420" w:type="dxa"/>
            <w:vAlign w:val="bottom"/>
            <w:gridSpan w:val="21"/>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FF"/>
            </w:tcBorders>
          </w:tcPr>
          <w:p>
            <w:pPr>
              <w:spacing w:after="0" w:line="20" w:lineRule="exact"/>
              <w:rPr>
                <w:sz w:val="1"/>
                <w:szCs w:val="1"/>
                <w:color w:val="auto"/>
              </w:rPr>
            </w:pPr>
          </w:p>
        </w:tc>
        <w:tc>
          <w:tcPr>
            <w:tcW w:w="720" w:type="dxa"/>
            <w:vAlign w:val="bottom"/>
            <w:tcBorders>
              <w:right w:val="single" w:sz="8" w:color="0000EE"/>
            </w:tcBorders>
            <w:gridSpan w:val="3"/>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4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FF"/>
            </w:tcBorders>
          </w:tcPr>
          <w:p>
            <w:pPr>
              <w:spacing w:after="0" w:line="20" w:lineRule="exact"/>
              <w:rPr>
                <w:sz w:val="1"/>
                <w:szCs w:val="1"/>
                <w:color w:val="auto"/>
              </w:rPr>
            </w:pPr>
          </w:p>
        </w:tc>
        <w:tc>
          <w:tcPr>
            <w:tcW w:w="1020" w:type="dxa"/>
            <w:vAlign w:val="bottom"/>
            <w:gridSpan w:val="7"/>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4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60" w:type="dxa"/>
            <w:vAlign w:val="bottom"/>
            <w:gridSpan w:val="12"/>
          </w:tcPr>
          <w:p>
            <w:pPr>
              <w:jc w:val="center"/>
              <w:ind w:right="4460"/>
              <w:spacing w:after="0"/>
              <w:rPr>
                <w:sz w:val="20"/>
                <w:szCs w:val="20"/>
                <w:color w:val="auto"/>
              </w:rPr>
            </w:pPr>
            <w:r>
              <w:rPr>
                <w:rFonts w:ascii="Times New Roman" w:cs="Times New Roman" w:eastAsia="Times New Roman" w:hAnsi="Times New Roman"/>
                <w:sz w:val="18"/>
                <w:szCs w:val="18"/>
                <w:color w:val="0000FF"/>
                <w:w w:val="95"/>
              </w:rPr>
              <w:t>PART II</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4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020" w:type="dxa"/>
            <w:vAlign w:val="bottom"/>
            <w:gridSpan w:val="7"/>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4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FF"/>
            </w:tcBorders>
          </w:tcPr>
          <w:p>
            <w:pPr>
              <w:spacing w:after="0" w:line="20" w:lineRule="exact"/>
              <w:rPr>
                <w:sz w:val="1"/>
                <w:szCs w:val="1"/>
                <w:color w:val="auto"/>
              </w:rPr>
            </w:pPr>
          </w:p>
        </w:tc>
        <w:tc>
          <w:tcPr>
            <w:tcW w:w="1020" w:type="dxa"/>
            <w:vAlign w:val="bottom"/>
            <w:gridSpan w:val="7"/>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64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980" w:type="dxa"/>
            <w:vAlign w:val="bottom"/>
            <w:gridSpan w:val="3"/>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43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506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94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FF"/>
            </w:tcBorders>
          </w:tcPr>
          <w:p>
            <w:pPr>
              <w:spacing w:after="0" w:line="20" w:lineRule="exact"/>
              <w:rPr>
                <w:sz w:val="1"/>
                <w:szCs w:val="1"/>
                <w:color w:val="auto"/>
              </w:rPr>
            </w:pPr>
          </w:p>
        </w:tc>
        <w:tc>
          <w:tcPr>
            <w:tcW w:w="1300" w:type="dxa"/>
            <w:vAlign w:val="bottom"/>
            <w:tcBorders>
              <w:right w:val="single" w:sz="8" w:color="0000FF"/>
            </w:tcBorders>
            <w:gridSpan w:val="8"/>
            <w:shd w:val="clear" w:color="auto" w:fill="0000FF"/>
          </w:tcPr>
          <w:p>
            <w:pPr>
              <w:spacing w:after="0" w:line="20" w:lineRule="exact"/>
              <w:rPr>
                <w:sz w:val="1"/>
                <w:szCs w:val="1"/>
                <w:color w:val="auto"/>
              </w:rPr>
            </w:pPr>
          </w:p>
        </w:tc>
        <w:tc>
          <w:tcPr>
            <w:tcW w:w="184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4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31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6440" w:type="dxa"/>
            <w:vAlign w:val="bottom"/>
            <w:tcBorders>
              <w:top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960" w:type="dxa"/>
            <w:vAlign w:val="bottom"/>
            <w:gridSpan w:val="2"/>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7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660" w:type="dxa"/>
            <w:vAlign w:val="bottom"/>
            <w:gridSpan w:val="18"/>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FF"/>
            </w:tcBorders>
          </w:tcPr>
          <w:p>
            <w:pPr>
              <w:spacing w:after="0" w:line="20" w:lineRule="exact"/>
              <w:rPr>
                <w:sz w:val="1"/>
                <w:szCs w:val="1"/>
                <w:color w:val="auto"/>
              </w:rPr>
            </w:pPr>
          </w:p>
        </w:tc>
        <w:tc>
          <w:tcPr>
            <w:tcW w:w="1300" w:type="dxa"/>
            <w:vAlign w:val="bottom"/>
            <w:tcBorders>
              <w:right w:val="single" w:sz="8" w:color="0000EE"/>
            </w:tcBorders>
            <w:gridSpan w:val="8"/>
            <w:shd w:val="clear" w:color="auto" w:fill="0000FF"/>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8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48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20" w:type="dxa"/>
            <w:vAlign w:val="bottom"/>
            <w:tcBorders>
              <w:bottom w:val="single" w:sz="8" w:color="0000EE"/>
            </w:tcBorders>
          </w:tcPr>
          <w:p>
            <w:pPr>
              <w:spacing w:after="0"/>
              <w:rPr>
                <w:sz w:val="24"/>
                <w:szCs w:val="24"/>
                <w:color w:val="auto"/>
              </w:rPr>
            </w:pPr>
          </w:p>
        </w:tc>
        <w:tc>
          <w:tcPr>
            <w:tcW w:w="4500" w:type="dxa"/>
            <w:vAlign w:val="bottom"/>
            <w:gridSpan w:val="10"/>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18"/>
                <w:szCs w:val="18"/>
                <w:color w:val="0000FF"/>
              </w:rPr>
              <w:t>PART III</w:t>
            </w:r>
          </w:p>
        </w:tc>
        <w:tc>
          <w:tcPr>
            <w:tcW w:w="20" w:type="dxa"/>
            <w:vAlign w:val="bottom"/>
            <w:tcBorders>
              <w:bottom w:val="single" w:sz="8" w:color="0000EE"/>
            </w:tcBorders>
          </w:tcPr>
          <w:p>
            <w:pPr>
              <w:spacing w:after="0"/>
              <w:rPr>
                <w:sz w:val="24"/>
                <w:szCs w:val="24"/>
                <w:color w:val="auto"/>
              </w:rPr>
            </w:pPr>
          </w:p>
        </w:tc>
        <w:tc>
          <w:tcPr>
            <w:tcW w:w="4400" w:type="dxa"/>
            <w:vAlign w:val="bottom"/>
            <w:gridSpan w:val="6"/>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tcBorders>
              <w:bottom w:val="single" w:sz="8" w:color="0000FF"/>
            </w:tcBorders>
            <w:gridSpan w:val="9"/>
          </w:tcPr>
          <w:p>
            <w:pPr>
              <w:jc w:val="center"/>
              <w:spacing w:after="0"/>
              <w:rPr>
                <w:sz w:val="20"/>
                <w:szCs w:val="20"/>
                <w:color w:val="auto"/>
              </w:rPr>
            </w:pPr>
            <w:r>
              <w:rPr>
                <w:rFonts w:ascii="Times New Roman" w:cs="Times New Roman" w:eastAsia="Times New Roman" w:hAnsi="Times New Roman"/>
                <w:sz w:val="18"/>
                <w:szCs w:val="18"/>
                <w:color w:val="0000FF"/>
              </w:rPr>
              <w:t>(Items 10, 11, 12, 13, and 14)</w:t>
            </w:r>
          </w:p>
        </w:tc>
        <w:tc>
          <w:tcPr>
            <w:tcW w:w="20" w:type="dxa"/>
            <w:vAlign w:val="bottom"/>
            <w:tcBorders>
              <w:bottom w:val="single" w:sz="8" w:color="0000EE"/>
            </w:tcBorders>
          </w:tcPr>
          <w:p>
            <w:pPr>
              <w:spacing w:after="0"/>
              <w:rPr>
                <w:sz w:val="24"/>
                <w:szCs w:val="24"/>
                <w:color w:val="auto"/>
              </w:rPr>
            </w:pPr>
          </w:p>
        </w:tc>
        <w:tc>
          <w:tcPr>
            <w:tcW w:w="3680" w:type="dxa"/>
            <w:vAlign w:val="bottom"/>
            <w:gridSpan w:val="4"/>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448"/>
        </w:trPr>
        <w:tc>
          <w:tcPr>
            <w:tcW w:w="1060" w:type="dxa"/>
            <w:vAlign w:val="bottom"/>
          </w:tcPr>
          <w:p>
            <w:pPr>
              <w:spacing w:after="0"/>
              <w:rPr>
                <w:sz w:val="24"/>
                <w:szCs w:val="24"/>
                <w:color w:val="auto"/>
              </w:rPr>
            </w:pPr>
          </w:p>
        </w:tc>
        <w:tc>
          <w:tcPr>
            <w:tcW w:w="940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The information required by Part III, shall be incorporated by reference from our definitive proxy statement to be filed pursuant</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940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to Regulation 14A which involves the election of directors that we expect to be filed with the Securities and Exchange</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940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Commission not later than 120 days after the end of our 2025 fiscal year covered by this report.</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Borders>
              <w:bottom w:val="single" w:sz="8" w:color="0000FF"/>
            </w:tcBorders>
            <w:gridSpan w:val="7"/>
          </w:tcPr>
          <w:p>
            <w:pPr>
              <w:jc w:val="center"/>
              <w:ind w:right="20"/>
              <w:spacing w:after="0"/>
              <w:rPr>
                <w:sz w:val="20"/>
                <w:szCs w:val="20"/>
                <w:color w:val="auto"/>
              </w:rPr>
            </w:pPr>
            <w:r>
              <w:rPr>
                <w:rFonts w:ascii="Times New Roman" w:cs="Times New Roman" w:eastAsia="Times New Roman" w:hAnsi="Times New Roman"/>
                <w:sz w:val="18"/>
                <w:szCs w:val="18"/>
                <w:color w:val="0000FF"/>
              </w:rPr>
              <w:t>PART IV</w:t>
            </w:r>
          </w:p>
        </w:tc>
        <w:tc>
          <w:tcPr>
            <w:tcW w:w="4400" w:type="dxa"/>
            <w:vAlign w:val="bottom"/>
            <w:gridSpan w:val="6"/>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31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Exhibits and Financial Statement Schedules</w:t>
            </w:r>
          </w:p>
        </w:tc>
        <w:tc>
          <w:tcPr>
            <w:tcW w:w="6260" w:type="dxa"/>
            <w:vAlign w:val="bottom"/>
            <w:gridSpan w:val="16"/>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668"/>
        </w:trPr>
        <w:tc>
          <w:tcPr>
            <w:tcW w:w="1060" w:type="dxa"/>
            <w:vAlign w:val="bottom"/>
          </w:tcPr>
          <w:p>
            <w:pPr>
              <w:spacing w:after="0"/>
              <w:rPr>
                <w:sz w:val="24"/>
                <w:szCs w:val="24"/>
                <w:color w:val="auto"/>
              </w:rPr>
            </w:pPr>
          </w:p>
        </w:tc>
        <w:tc>
          <w:tcPr>
            <w:tcW w:w="4880" w:type="dxa"/>
            <w:vAlign w:val="bottom"/>
            <w:gridSpan w:val="16"/>
          </w:tcPr>
          <w:p>
            <w:pPr>
              <w:jc w:val="right"/>
              <w:ind w:right="19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Certain statements contained within this report may be deemed “Forward-Looking Statements” within the meaning of United States federal securities laws. All statements in this report other than statements of historical fact are Forward-Looking Statements that are subject to known and unknown risks, uncertainties and other factors, many of which are difficult to predict or outside of the Company’s control, which could cause actual results and performance of the Company to differ materially from those expressed in, or implied or projected by, such statements. Any such Forward-Looking Statements are not guarantees of future performance. The words “believe,” “expect,” “anticipate,” “intend,” “plan,” “may,” “could,” and similar expressions identify Forward-Looking Statements. All Forward-Looking Statements speak only as of the date on which they are made. Forward-Looking Statements contained herein, and the associated risks, uncertainties, assumptions and other important factors include, but are not limited to, the following:</w:t>
      </w:r>
    </w:p>
    <w:p>
      <w:pPr>
        <w:spacing w:after="0" w:line="13"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invest in projects that will generate the best returns for our stockholders;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liquidity outlook;</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outlook of our chemical products and related markets;</w:t>
      </w:r>
    </w:p>
    <w:p>
      <w:pPr>
        <w:spacing w:after="0" w:line="49"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leverage our existing business platform and portfolio of assets to produce low carbon products and execute our strategy to become a leader in the energy transition in the chemical industry;</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timing and effect on the nitrogen market from current nitrogen expansion projects;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from the lack of non-seasonal volume;</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competition is based upon service, price, location of production and distribution sites, and product quality and performance;</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outlook for the industrial end markets;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w:t>
      </w:r>
    </w:p>
    <w:p>
      <w:pPr>
        <w:spacing w:after="0" w:line="49"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broaden the distribution of our products, including our ability to leverage our nitric acid production capacity at our El Dorado Facility;</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initiatives to increase the distribution of our products within our industrial end markets;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success of our advanced low carbon ammonia initiatives;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ammonia pricing;</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our product and market diversification strategy;</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fertilizer production;</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output and capacity of our existing production facilities;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volumes at our production facilities;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moderate risk inherent in agricultural markets;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sources to fund our cash needs and how this cash will be used;</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enter into the additional borrowings;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cost and timing of our capital projects;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covered under warranty provisions;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pass to our customers cost increases in the form of higher prices;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as to whether we have sufficient sources for materials and components;</w:t>
      </w:r>
    </w:p>
    <w:p>
      <w:pPr>
        <w:spacing w:after="0" w:line="36" w:lineRule="exact"/>
        <w:rPr>
          <w:rFonts w:ascii="Times New Roman" w:cs="Times New Roman" w:eastAsia="Times New Roman" w:hAnsi="Times New Roman"/>
          <w:sz w:val="18"/>
          <w:szCs w:val="18"/>
          <w:color w:val="auto"/>
        </w:rPr>
      </w:pPr>
    </w:p>
    <w:p>
      <w:pPr>
        <w:ind w:left="1020" w:right="20" w:hanging="503"/>
        <w:spacing w:after="0" w:line="273"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regarding our estimates and contingencies with respect claims and legal actions in the ordinary course of our business and their effect on our business, financial condition, results of operations or cash flows;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natural gas requirements;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the market and demand for low carbon ammonia;</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our facilities with the terms of our permits;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compliance with environmental laws, health laws, security regulations and transportation regulations;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as to when Turnarounds will be performed and completed;</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 connection with environmental projects;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litigation and other contingencies;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interest expense;</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debt servicing and covenants;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debt maturities or redemption obligations when due;</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repurchase program on our stock price and cash reserves; 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as to whether we can meet all required covenant tests for the next twelve months.</w:t>
      </w:r>
    </w:p>
    <w:p>
      <w:pPr>
        <w:spacing w:after="0" w:line="22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spacing w:after="0" w:line="2"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 both domestic and foreign;</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reductions in revenues;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in interest rates;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in a timely manner a material amount of receivables;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competitive pressures;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of increases in prices of raw materials;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federal, state and local laws and regulations, or in the interpretation of such laws and regulations;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or other issues related to climate change;</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releases of pollutants into the environment exceeding our permitted limits;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increases in equipment, maintenance, operating or labor costs not presently anticipated by us;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use internally generated funds for purposes not presently anticipated;</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secure additional financing for planned capital expenditures or financing obligations due in the near future;</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existing indebtedness;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in the cost of natural gas and certain precious metals;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due to financial covenants;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competition;</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significant customer;</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 to maintain internal controls over financial reporting;</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strategy or development plans;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fund the working capital and expansion of our businesses;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production efficiency of our facilities;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in our contingencies including pending litigation;</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unplanned downtime at one or more of our chemical facilities;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production rates at any of our chemical plants;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necessary raw materials and purchased components;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increases in cost of raw materials;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in our accounting estimates;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problems within our production equipment;</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 or natural disasters;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or retain our insurance coverage;</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obtaining necessary permits;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obtaining third-party financing;</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proxy contests initiated by dissident stockholders;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fertilizer production;</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acres planted for crops requiring fertilizer;</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duties for products we sell resulting in an increase in imported products into the United States;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from regulatory policies, including tariffs;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concerns;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natural gas prices;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 resulting from increased inflation;</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including the effects of climate change;</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imported agricultural products;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6" w:right="379" w:bottom="1440" w:gutter="0" w:footer="0" w:header="0"/>
        </w:sectPr>
      </w:pPr>
    </w:p>
    <w:bookmarkStart w:id="4" w:name="page5"/>
    <w:bookmarkEnd w:id="4"/>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supply chain disruptions;</w:t>
      </w:r>
    </w:p>
    <w:p>
      <w:pPr>
        <w:spacing w:after="0" w:line="34" w:lineRule="exact"/>
        <w:rPr>
          <w:rFonts w:ascii="Times New Roman" w:cs="Times New Roman" w:eastAsia="Times New Roman" w:hAnsi="Times New Roman"/>
          <w:sz w:val="18"/>
          <w:szCs w:val="18"/>
          <w:color w:val="auto"/>
        </w:rPr>
      </w:pPr>
    </w:p>
    <w:p>
      <w:pPr>
        <w:ind w:left="1020" w:hanging="503"/>
        <w:spacing w:after="0" w:line="273"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w:t>
      </w:r>
      <w:r>
        <w:rPr>
          <w:rFonts w:ascii="Times New Roman" w:cs="Times New Roman" w:eastAsia="Times New Roman" w:hAnsi="Times New Roman"/>
          <w:sz w:val="18"/>
          <w:szCs w:val="18"/>
          <w:i w:val="1"/>
          <w:iCs w:val="1"/>
          <w:color w:val="auto"/>
        </w:rPr>
        <w:t>Item 7. Management’s Discussion and Analysis of Financial Condition and Results of Operations”</w:t>
      </w:r>
      <w:r>
        <w:rPr>
          <w:rFonts w:ascii="Times New Roman" w:cs="Times New Roman" w:eastAsia="Times New Roman" w:hAnsi="Times New Roman"/>
          <w:sz w:val="18"/>
          <w:szCs w:val="18"/>
          <w:color w:val="auto"/>
        </w:rPr>
        <w:t xml:space="preserve"> contained in this report; and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contained in this report.</w:t>
      </w:r>
    </w:p>
    <w:p>
      <w:pPr>
        <w:spacing w:after="0" w:line="1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Given these uncertainties, all parties are cautioned not to place undue reliance on such Forward-Looking Statements. Except to the extent required by law, we disclaim any obligation to update any such factors or to publicly announce the result of any revisions to any of the Forward-Looking Statements contained herein to reflect future events or developments.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Terms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terms used in this report.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Board</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Board of Directors of the Company.</w:t>
            </w:r>
          </w:p>
        </w:tc>
      </w:tr>
      <w:tr>
        <w:trPr>
          <w:trHeight w:val="275"/>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Board Representation and</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Board Representation and Standstill Agreement by and among LSB Industries, Inc., LSB Funding LLC,</w:t>
            </w:r>
          </w:p>
        </w:tc>
      </w:tr>
      <w:tr>
        <w:trPr>
          <w:trHeight w:val="238"/>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Standstill Agreement</w:t>
            </w:r>
          </w:p>
        </w:tc>
        <w:tc>
          <w:tcPr>
            <w:tcW w:w="500" w:type="dxa"/>
            <w:vAlign w:val="bottom"/>
          </w:tcPr>
          <w:p>
            <w:pPr>
              <w:spacing w:after="0"/>
              <w:rPr>
                <w:sz w:val="20"/>
                <w:szCs w:val="20"/>
                <w:color w:val="auto"/>
              </w:rPr>
            </w:pP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Security Benefit Corporation, Todd Boehly and the Golsen Holders.</w:t>
            </w:r>
          </w:p>
        </w:tc>
      </w:tr>
      <w:tr>
        <w:trPr>
          <w:trHeight w:val="29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EDA</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 Dorado Ammonia L.L.C. (now merged into LSB Chemical, L.L.C. a subsidiary of LSB Industries, Inc.).</w:t>
            </w:r>
          </w:p>
        </w:tc>
      </w:tr>
      <w:tr>
        <w:trPr>
          <w:trHeight w:val="29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EPA</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United States Environmental Protection Agency.</w:t>
            </w:r>
          </w:p>
        </w:tc>
      </w:tr>
      <w:tr>
        <w:trPr>
          <w:trHeight w:val="279"/>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Exchange Agreement</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 Securities Exchange Agreement between LSB Funding L.L.C. and affiliate of Eldridge Industries, L.L.C.</w:t>
            </w:r>
          </w:p>
        </w:tc>
      </w:tr>
      <w:tr>
        <w:trPr>
          <w:trHeight w:val="234"/>
        </w:trPr>
        <w:tc>
          <w:tcPr>
            <w:tcW w:w="2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LSB.</w:t>
            </w:r>
          </w:p>
        </w:tc>
      </w:tr>
      <w:tr>
        <w:trPr>
          <w:trHeight w:val="279"/>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Golsen Holders</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Jack E. Golsen, Barry H. Golsen and certain of their related parties, as defined in the Board Representation and</w:t>
            </w:r>
          </w:p>
        </w:tc>
      </w:tr>
      <w:tr>
        <w:trPr>
          <w:trHeight w:val="234"/>
        </w:trPr>
        <w:tc>
          <w:tcPr>
            <w:tcW w:w="2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Standstill Agreement, as amended.</w:t>
            </w:r>
          </w:p>
        </w:tc>
      </w:tr>
      <w:tr>
        <w:trPr>
          <w:trHeight w:val="279"/>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Indenture</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agreement governing the Senior Secured Notes, dated as of October 14, 2021, by and among LSB, the</w:t>
            </w:r>
          </w:p>
        </w:tc>
      </w:tr>
      <w:tr>
        <w:trPr>
          <w:trHeight w:val="216"/>
        </w:trPr>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subsidiary guarantors which includes all of LSB’s consolidated subsidiaries named therein, and Wilmington</w:t>
            </w:r>
          </w:p>
        </w:tc>
      </w:tr>
      <w:tr>
        <w:trPr>
          <w:trHeight w:val="234"/>
        </w:trPr>
        <w:tc>
          <w:tcPr>
            <w:tcW w:w="2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 National Association, a national banking association, as trustee and collateral agent.</w:t>
            </w:r>
          </w:p>
        </w:tc>
      </w:tr>
      <w:tr>
        <w:trPr>
          <w:trHeight w:val="576"/>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Revolving Credit Facility</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Our secured revolving credit facility entered into during December 2023 that provides for a secured revolving</w:t>
            </w:r>
          </w:p>
        </w:tc>
      </w:tr>
      <w:tr>
        <w:trPr>
          <w:trHeight w:val="216"/>
        </w:trPr>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 facility in an initial maximum principal amount of up to $75 million, with an option to increase the</w:t>
            </w:r>
          </w:p>
        </w:tc>
      </w:tr>
      <w:tr>
        <w:trPr>
          <w:trHeight w:val="234"/>
        </w:trPr>
        <w:tc>
          <w:tcPr>
            <w:tcW w:w="2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maximum principal amount by up to $25 million (which amount is uncommitted).</w:t>
            </w:r>
          </w:p>
        </w:tc>
      </w:tr>
      <w:tr>
        <w:trPr>
          <w:trHeight w:val="29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NOL</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Operating Loss.</w:t>
            </w:r>
          </w:p>
        </w:tc>
      </w:tr>
      <w:tr>
        <w:trPr>
          <w:trHeight w:val="29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PBRSU</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Performance-based restricted stock unit.</w:t>
            </w:r>
          </w:p>
        </w:tc>
      </w:tr>
      <w:tr>
        <w:trPr>
          <w:trHeight w:val="29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PCC</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Pryor Chemical Company (now merged into LSB Chemical, L.L.C. a subsidiary of LSB Industries, Inc.).</w:t>
            </w:r>
          </w:p>
        </w:tc>
      </w:tr>
      <w:tr>
        <w:trPr>
          <w:trHeight w:val="29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RSU</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unit.</w:t>
            </w:r>
          </w:p>
        </w:tc>
      </w:tr>
      <w:tr>
        <w:trPr>
          <w:trHeight w:val="29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United States Securities and Exchange Commission.</w:t>
            </w:r>
          </w:p>
        </w:tc>
      </w:tr>
      <w:tr>
        <w:trPr>
          <w:trHeight w:val="275"/>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Secured Financing Agreement due </w:t>
            </w:r>
            <w:r>
              <w:rPr>
                <w:rFonts w:ascii="Times New Roman" w:cs="Times New Roman" w:eastAsia="Times New Roman" w:hAnsi="Times New Roman"/>
                <w:sz w:val="18"/>
                <w:szCs w:val="18"/>
                <w:color w:val="auto"/>
              </w:rPr>
              <w:t>-</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 secured financing arrangement between EDA and an affiliate of LSB Funding which was paid off in August</w:t>
            </w:r>
          </w:p>
        </w:tc>
      </w:tr>
      <w:tr>
        <w:trPr>
          <w:trHeight w:val="238"/>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20"/>
                <w:szCs w:val="20"/>
                <w:color w:val="auto"/>
              </w:rPr>
            </w:pP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2025.</w:t>
            </w:r>
          </w:p>
        </w:tc>
      </w:tr>
      <w:tr>
        <w:trPr>
          <w:trHeight w:val="279"/>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Senior Secured Notes</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senior secured notes issued on October 14, 2021 and March 8, 2022, with an interest rate of 6.25%, which</w:t>
            </w:r>
          </w:p>
        </w:tc>
      </w:tr>
      <w:tr>
        <w:trPr>
          <w:trHeight w:val="234"/>
        </w:trPr>
        <w:tc>
          <w:tcPr>
            <w:tcW w:w="2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mature in October 2028.</w:t>
            </w:r>
          </w:p>
        </w:tc>
      </w:tr>
      <w:tr>
        <w:trPr>
          <w:trHeight w:val="279"/>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Turnaround</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 planned shutdown of a facility or production unit to perform significant maintenance, inspections, and</w:t>
            </w:r>
          </w:p>
        </w:tc>
      </w:tr>
      <w:tr>
        <w:trPr>
          <w:trHeight w:val="234"/>
        </w:trPr>
        <w:tc>
          <w:tcPr>
            <w:tcW w:w="2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repairs.</w:t>
            </w:r>
          </w:p>
        </w:tc>
      </w:tr>
      <w:tr>
        <w:trPr>
          <w:trHeight w:val="29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USDA</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 Department of Agriculture.</w:t>
            </w:r>
          </w:p>
        </w:tc>
      </w:tr>
      <w:tr>
        <w:trPr>
          <w:trHeight w:val="29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2025 Plan</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LSB Industries, Inc. 2025 Long Term Incentive Plan.</w:t>
            </w:r>
          </w:p>
        </w:tc>
      </w:tr>
      <w:tr>
        <w:trPr>
          <w:trHeight w:val="29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2016 Plan</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LSB Industries, Inc. 2016 Long Term Incentive Plan.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All references to “LSB Industries,” “LSB,” the “Company,” “we,” “us,” and “our” refer to LSB Industries, Inc. and its subsidiaries on a consolidated basis, except where the context makes clear that the reference is only to LSB Industries, Inc. itself and not its subsidiaries. Notes referenced throughout this document refer to consolidated financial statement footnote disclosures that are found in “</w:t>
      </w:r>
      <w:r>
        <w:rPr>
          <w:rFonts w:ascii="Times New Roman" w:cs="Times New Roman" w:eastAsia="Times New Roman" w:hAnsi="Times New Roman"/>
          <w:sz w:val="18"/>
          <w:szCs w:val="18"/>
          <w:i w:val="1"/>
          <w:iCs w:val="1"/>
          <w:color w:val="auto"/>
        </w:rPr>
        <w:t>Item 8. Financial Statements and Supplementary Data”</w:t>
      </w:r>
      <w:r>
        <w:rPr>
          <w:rFonts w:ascii="Times New Roman" w:cs="Times New Roman" w:eastAsia="Times New Roman" w:hAnsi="Times New Roman"/>
          <w:sz w:val="18"/>
          <w:szCs w:val="18"/>
          <w:color w:val="auto"/>
        </w:rPr>
        <w:t xml:space="preserve"> of this report. Capitalized terms not otherwise defined herein shall have the meanings ascribed thereto under the heading “</w:t>
      </w:r>
      <w:r>
        <w:rPr>
          <w:rFonts w:ascii="Times New Roman" w:cs="Times New Roman" w:eastAsia="Times New Roman" w:hAnsi="Times New Roman"/>
          <w:sz w:val="18"/>
          <w:szCs w:val="18"/>
          <w:i w:val="1"/>
          <w:iCs w:val="1"/>
          <w:color w:val="auto"/>
        </w:rPr>
        <w:t>Special Note Regarding Forward-Looking Statements – Defined Terms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LSB is a Delaware corporation, formed in 1968, and headquartered in Oklahoma City, Oklahoma. LSB is committed to playing a leadership role in the production of low and no carbon products that build, feed and power the world. We seek to accomplish this goal through the manufacture and marketing of essential products for the agricultural and industrial markets, and in the future, low and no carbon products, all with an emphasis on a culture of excellence in customer experience. The Company manufactures ammonia and ammonia-related products in El Dorado, Arkansas (the “El Dorado Facility”), Cherokee, Alabama (the “Cherokee Facility”), and Pryor, Oklahoma (the “Pryor Facility”), and operates a facility on behalf of Covestro LLC (“Covestro”) in Baytown, Texas (the “Baytown Facility”). Our products are sold through distributors and directly to end customers, such as farmers, ranchers, and fertilizer dealers, throughout the United States and parts of Canada, and to explosives manufacturers in the United States and other parts of North America.</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business manufactures products for two principal markets: (a) Industrial and (b) Agricultural. The chart below highlights representative products and applications in each of our end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45720</wp:posOffset>
            </wp:positionV>
            <wp:extent cx="5837555" cy="28543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37555"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products we manufacture at our facilities are primarily derived from natural gas (a raw material). Our facilities and production processes have been designed to produce products that are marketable at nearly each stage of production. This design has allowed us to develop and deploy a business model optimizing the mix of products to capture the value opportunities in the end markets we serve with a focus on balancing our production.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The following table summarizes net sales information relating to our products: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12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12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r>
      <w:tr>
        <w:trPr>
          <w:trHeight w:val="210"/>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Percentage of consolidated net sales:</w:t>
            </w: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 &amp; Nitric acid</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6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Urea ammonium nitrate (UAN)</w:t>
            </w: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Ammonia</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6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602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60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60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-170815</wp:posOffset>
            </wp:positionV>
            <wp:extent cx="1111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-170815</wp:posOffset>
            </wp:positionV>
            <wp:extent cx="1111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218"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our net sales, operating results and total assets for the past three fiscal years, see the Consolidated Financial Statements included in this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aim to be a leader in the production of low and no carbon products that build, feed and power the world. We plan to accomplish this goal by leveraging our existing business platform and portfolio of assets to produce low carbon products, utilizing our significant manufacturing expertise and experience in ammonia and hydrogen plant operations, optimizing our liquidity and free cash flows to generate growth, and creating a network of partners that bring additional knowledge, expertise and relationships.</w:t>
      </w:r>
    </w:p>
    <w:p>
      <w:pPr>
        <w:spacing w:after="0" w:line="7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With respect to our current portfolio of products, we pursue a strategy of balancing the sale of product as fertilizer into the agriculture markets at spot prices or short duration pre-sales and developing and maintaining industrial customers that purchase substantial quantities of products, primarily under contractual obligations and/or pricing arrangements that generally provide for the pass through of some raw material and other manufacturing costs. We believe this product and market diversification strategy allows us to have more consistent levels of production compared to some of our competitors and helps reduce the volatility risk inherent in the prices of our raw material and/or the changes in demand for our products.</w:t>
      </w:r>
    </w:p>
    <w:p>
      <w:pPr>
        <w:spacing w:after="0" w:line="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strategy of developing and maintaining industrial customers helps to moderate the risk inherent in the agricultural markets where spot sales prices of our agricultural products may not have a correlation to natural gas raw material costs but rather reflect market conditions for like and competing nitrogen sources. This volatility of sales pricing in our agricultural products may, from time to time, compromise our ability to recover our full cost to produce the product. Industrial customers assume the volatility risk associated with the raw material costs and mitigate the effects of seasonality in the agricultural sector. Additionally, the lack of sufficient non-seasonal agricultural sales volume to operate our manufacturing facilities at optimum levels can preclude us from balancing production and storage capabilities. Looking forward, we remain focused on upgrading margins by maximizing downstream production.</w:t>
      </w:r>
    </w:p>
    <w:p>
      <w:pPr>
        <w:spacing w:after="0" w:line="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strategy also includes evaluating further investments in low carbon opportunities, potential acquisitions of strategic assets or companies, joint ventures with other companies and investments in additional production capacity where we believe those acquisitions, joint ventures or expansion of production capacity will enhance the value of the Company and provide appropriate returns.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Initiatives for 2026</w:t>
      </w:r>
    </w:p>
    <w:p>
      <w:pPr>
        <w:spacing w:after="0" w:line="119" w:lineRule="exact"/>
        <w:rPr>
          <w:sz w:val="20"/>
          <w:szCs w:val="20"/>
          <w:color w:val="auto"/>
        </w:rPr>
      </w:pPr>
    </w:p>
    <w:p>
      <w:pPr>
        <w:jc w:val="both"/>
        <w:ind w:right="460"/>
        <w:spacing w:after="0" w:line="267" w:lineRule="auto"/>
        <w:rPr>
          <w:sz w:val="20"/>
          <w:szCs w:val="20"/>
          <w:color w:val="auto"/>
        </w:rPr>
      </w:pPr>
      <w:r>
        <w:rPr>
          <w:rFonts w:ascii="Times New Roman" w:cs="Times New Roman" w:eastAsia="Times New Roman" w:hAnsi="Times New Roman"/>
          <w:sz w:val="18"/>
          <w:szCs w:val="18"/>
          <w:color w:val="auto"/>
        </w:rPr>
        <w:t>As discussed in more detail under “</w:t>
      </w:r>
      <w:r>
        <w:rPr>
          <w:rFonts w:ascii="Times New Roman" w:cs="Times New Roman" w:eastAsia="Times New Roman" w:hAnsi="Times New Roman"/>
          <w:sz w:val="18"/>
          <w:szCs w:val="18"/>
          <w:i w:val="1"/>
          <w:iCs w:val="1"/>
          <w:color w:val="auto"/>
        </w:rPr>
        <w:t>Item 7. Management’s Discussion and Analysis of Financial Condition and Results of Operations–Key 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Initiatives</w:t>
      </w:r>
      <w:r>
        <w:rPr>
          <w:rFonts w:ascii="Times New Roman" w:cs="Times New Roman" w:eastAsia="Times New Roman" w:hAnsi="Times New Roman"/>
          <w:sz w:val="18"/>
          <w:szCs w:val="18"/>
          <w:color w:val="auto"/>
        </w:rPr>
        <w:t>,” we believe our future results of operations and financial condition will depend significantly on our ability to successfully implement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key initiatives:</w:t>
      </w:r>
    </w:p>
    <w:p>
      <w:pPr>
        <w:spacing w:after="0" w:line="65" w:lineRule="exact"/>
        <w:rPr>
          <w:sz w:val="20"/>
          <w:szCs w:val="20"/>
          <w:color w:val="auto"/>
        </w:rPr>
      </w:pPr>
    </w:p>
    <w:p>
      <w:pPr>
        <w:ind w:left="580" w:hanging="37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i w:val="1"/>
          <w:iCs w:val="1"/>
          <w:color w:val="1F1F1F"/>
        </w:rPr>
        <w:t>nvest to Improve Environmental, Health &amp; Safety at our Facilities</w:t>
      </w:r>
      <w:r>
        <w:rPr>
          <w:rFonts w:ascii="Times New Roman" w:cs="Times New Roman" w:eastAsia="Times New Roman" w:hAnsi="Times New Roman"/>
          <w:sz w:val="18"/>
          <w:szCs w:val="18"/>
          <w:i w:val="1"/>
          <w:iCs w:val="1"/>
          <w:color w:val="auto"/>
        </w:rPr>
        <w:t>;</w:t>
      </w:r>
    </w:p>
    <w:p>
      <w:pPr>
        <w:spacing w:after="0" w:line="29" w:lineRule="exact"/>
        <w:rPr>
          <w:rFonts w:ascii="Times New Roman" w:cs="Times New Roman" w:eastAsia="Times New Roman" w:hAnsi="Times New Roman"/>
          <w:sz w:val="18"/>
          <w:szCs w:val="18"/>
          <w:color w:val="auto"/>
        </w:rPr>
      </w:pPr>
    </w:p>
    <w:p>
      <w:pPr>
        <w:ind w:left="580" w:hanging="37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1F1F1F"/>
        </w:rPr>
        <w:t>Improve the Reliability at our Facilities while Supplying our Customers with Products of the Highest Quality</w:t>
      </w:r>
      <w:r>
        <w:rPr>
          <w:rFonts w:ascii="Times New Roman" w:cs="Times New Roman" w:eastAsia="Times New Roman" w:hAnsi="Times New Roman"/>
          <w:sz w:val="18"/>
          <w:szCs w:val="18"/>
          <w:i w:val="1"/>
          <w:iCs w:val="1"/>
          <w:color w:val="000000"/>
        </w:rPr>
        <w:t>;</w:t>
      </w:r>
    </w:p>
    <w:p>
      <w:pPr>
        <w:spacing w:after="0" w:line="9" w:lineRule="exact"/>
        <w:rPr>
          <w:rFonts w:ascii="Times New Roman" w:cs="Times New Roman" w:eastAsia="Times New Roman" w:hAnsi="Times New Roman"/>
          <w:sz w:val="18"/>
          <w:szCs w:val="18"/>
          <w:color w:val="auto"/>
        </w:rPr>
      </w:pPr>
    </w:p>
    <w:p>
      <w:pPr>
        <w:ind w:left="580" w:hanging="37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1F1F1F"/>
        </w:rPr>
        <w:t>Advance Productivity Improvement</w:t>
      </w:r>
      <w:r>
        <w:rPr>
          <w:rFonts w:ascii="Times New Roman" w:cs="Times New Roman" w:eastAsia="Times New Roman" w:hAnsi="Times New Roman"/>
          <w:sz w:val="18"/>
          <w:szCs w:val="18"/>
          <w:i w:val="1"/>
          <w:iCs w:val="1"/>
          <w:color w:val="000000"/>
        </w:rPr>
        <w:t>;</w:t>
      </w:r>
    </w:p>
    <w:p>
      <w:pPr>
        <w:spacing w:after="0" w:line="9" w:lineRule="exact"/>
        <w:rPr>
          <w:rFonts w:ascii="Times New Roman" w:cs="Times New Roman" w:eastAsia="Times New Roman" w:hAnsi="Times New Roman"/>
          <w:sz w:val="18"/>
          <w:szCs w:val="18"/>
          <w:color w:val="auto"/>
        </w:rPr>
      </w:pPr>
    </w:p>
    <w:p>
      <w:pPr>
        <w:ind w:left="580" w:hanging="37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1F1F1F"/>
        </w:rPr>
        <w:t>Continued Optimization and Increase the Breadth of Distribution of our Product Mix</w:t>
      </w:r>
      <w:r>
        <w:rPr>
          <w:rFonts w:ascii="Times New Roman" w:cs="Times New Roman" w:eastAsia="Times New Roman" w:hAnsi="Times New Roman"/>
          <w:sz w:val="18"/>
          <w:szCs w:val="18"/>
          <w:i w:val="1"/>
          <w:iCs w:val="1"/>
          <w:color w:val="000000"/>
        </w:rPr>
        <w:t>; and</w:t>
      </w:r>
    </w:p>
    <w:p>
      <w:pPr>
        <w:spacing w:after="0" w:line="9" w:lineRule="exact"/>
        <w:rPr>
          <w:rFonts w:ascii="Times New Roman" w:cs="Times New Roman" w:eastAsia="Times New Roman" w:hAnsi="Times New Roman"/>
          <w:sz w:val="18"/>
          <w:szCs w:val="18"/>
          <w:color w:val="auto"/>
        </w:rPr>
      </w:pPr>
    </w:p>
    <w:p>
      <w:pPr>
        <w:ind w:left="580" w:hanging="37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1F1F1F"/>
        </w:rPr>
        <w:t>Grow Our Platform</w:t>
      </w:r>
      <w:r>
        <w:rPr>
          <w:rFonts w:ascii="Times New Roman" w:cs="Times New Roman" w:eastAsia="Times New Roman" w:hAnsi="Times New Roman"/>
          <w:sz w:val="18"/>
          <w:szCs w:val="18"/>
          <w:i w:val="1"/>
          <w:iCs w:val="1"/>
          <w:color w:val="000000"/>
        </w:rPr>
        <w:t>.</w:t>
      </w:r>
    </w:p>
    <w:p>
      <w:pPr>
        <w:spacing w:after="0" w:line="9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As for our liquidity, we had approximately $192.8 million of combined cash and cash equivalents, short-term investments and borrowing capacity at the end of 2025, which we believe provides us with ample liquidity to fund our operations and meet our current obligations. Also see discussions in “</w:t>
      </w:r>
      <w:r>
        <w:rPr>
          <w:rFonts w:ascii="Times New Roman" w:cs="Times New Roman" w:eastAsia="Times New Roman" w:hAnsi="Times New Roman"/>
          <w:sz w:val="18"/>
          <w:szCs w:val="18"/>
          <w:i w:val="1"/>
          <w:iCs w:val="1"/>
          <w:color w:val="auto"/>
        </w:rPr>
        <w:t>Item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Management’s Discussion and Analysis of Financial Condition and Results of Operations–Liquidity and Capital Resources.</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Strategically Located Chemical Assets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business benefits from advantageous locations with logistical and distribution benefits. We have access to the Sunoco LP ammonia pipeline from the Gulf Coast of the United States at our El Dorado Facility, which provides low-cost transportation to distribution points. The El Dorado Facility also has rail access providing favorable freight logistics to our customers and cost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 w:name="page8"/>
    <w:bookmarkEnd w:id="7"/>
    <w:p>
      <w:pPr>
        <w:spacing w:after="0" w:line="261" w:lineRule="auto"/>
        <w:rPr>
          <w:sz w:val="20"/>
          <w:szCs w:val="20"/>
          <w:color w:val="auto"/>
        </w:rPr>
      </w:pPr>
      <w:r>
        <w:rPr>
          <w:rFonts w:ascii="Times New Roman" w:cs="Times New Roman" w:eastAsia="Times New Roman" w:hAnsi="Times New Roman"/>
          <w:sz w:val="18"/>
          <w:szCs w:val="18"/>
          <w:color w:val="auto"/>
        </w:rPr>
        <w:t>advantages when selling a number of our products west of the Mississippi River. Our Cherokee Facility is located east of the Mississippi River, allowing us to reach customers that are not freight logical for our competitors. Our Cherokee Facility sits adjacent to the Tennessee River, providing barge receipt and shipping access, in addition to truck and rail delivery access. Our Pryor Facility is located in the heart of the Southern Plains with strategic rail and truck delivery access.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Advantaged Raw Material Cost Position</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have access to low-cost natural gas in the United States relative to international markets, which allows for significant cost advantages as compared to comparable production facilities in Europe.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Diversified Sources of Revenue</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business serves a broad range of agricultural and industrial end markets, which we believe diminishes the cyclicality of our financial performance. The flexible nature of our production process and storage capability allows us the ability to shift our product mix based on end market demand.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Industrial Market Conditions</w:t>
      </w:r>
    </w:p>
    <w:p>
      <w:pPr>
        <w:spacing w:after="0" w:line="11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As discussed in more detail in “</w:t>
      </w:r>
      <w:r>
        <w:rPr>
          <w:rFonts w:ascii="Times New Roman" w:cs="Times New Roman" w:eastAsia="Times New Roman" w:hAnsi="Times New Roman"/>
          <w:sz w:val="18"/>
          <w:szCs w:val="18"/>
          <w:i w:val="1"/>
          <w:iCs w:val="1"/>
          <w:color w:val="auto"/>
        </w:rPr>
        <w:t>Item 7. Management’s Discussion and Analysis of Financial Condition and Results of Operations–Key Industry Factors</w:t>
      </w:r>
      <w:r>
        <w:rPr>
          <w:rFonts w:ascii="Times New Roman" w:cs="Times New Roman" w:eastAsia="Times New Roman" w:hAnsi="Times New Roman"/>
          <w:sz w:val="18"/>
          <w:szCs w:val="18"/>
          <w:color w:val="auto"/>
        </w:rPr>
        <w:t>,” in our industrial markets, our sales volumes are typically driven by changes in general economic conditions, energy prices, metals market prices and our contractual arrangements with certain large customers. For our other products, our sales volumes are typically driven by changes in the overall North American consumption levels of mining products, which can be impacted by weather. Additionally, changes in natural gas prices and demand in renewable power sources, such as wind and solar in the electrical generation sector, will impact demand for our other products and impact competition within the other sectors of this market.</w:t>
      </w:r>
    </w:p>
    <w:p>
      <w:pPr>
        <w:spacing w:after="0" w:line="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industrial business competes based upon service, price and location of production and distribution sites, product quality and performance as part of the value-added services offered to certain customers.</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Looking forward to 2026, we expect demand for our industrial products to remain consistent, despite global economic concerns. Demand for nitric acid is robust domestically</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where it is supported by tariffs and preliminary anti-dumping duties on imports of methylene diphenyl diisocyanate (MDI). Demand for AN for use in mining applications is robust across all commodities, particularly with copper and gold, as miners have been maximizing production volumes to take advantage of record prices. AN demand for explosives used in quarrying/aggregate production for infrastructure upgrade and expansion remains steady. Demand for AN in coal is also robust, supporting electricity production and the deferral of coal power plant closures. These factors should continue to support AN demand well into 2026. Economic uncertainty continues to be heightened by the potential impacts of tariffs on global trade flows, consumer prices and production input costs. However, we believe that we have a meaningful degree of downside protection in our industrial business given our diverse customer base, which is almost entirely located in the United States, the nature of our contracts and our ability to shift our production mix to products where demand and pricing are strongest.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Industrial Products</w:t>
      </w:r>
    </w:p>
    <w:p>
      <w:pPr>
        <w:spacing w:after="0" w:line="12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We manufacture and sell industrial acids and other chemical products primarily to the polyurethane intermediates, paper, fibers, emission control, and electronics industries. In addition, we produce and sell blended and regular nitric acid and industrial and high purity ammonia for many specialty applications, including the reduction of air emissions from power plants.</w:t>
      </w:r>
    </w:p>
    <w:p>
      <w:pPr>
        <w:spacing w:after="0" w:line="6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Sales of our industrial products are generally made to customers pursuant to sales contracts or pricing arrangements on terms that include the cost of the primary raw materials as a pass-through component in the sales price. These contractual sales stabilize the effect of commodity cost changes and fluctuations in demand for these products due to the cyclicality of the end markets.</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operate the Baytown Facility on behalf of Covestro, and we believe it is one of the largest and most technologically advanced nitric acid manufacturing units in the United States. We operate and maintain this facility pursuant to a long-term operating contract in exchange for a management fee, which is not significant to our results of operations. The term of this agreement runs until October 2029 with options for renewal by mutual agreement between us and Covestro.</w:t>
      </w:r>
    </w:p>
    <w:p>
      <w:pPr>
        <w:spacing w:after="0" w:line="7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industrial products sales volumes are dependent upon general economic conditions, primarily in the housing, automotive, and paper industries. Our sale prices generally vary with the market price of ammonia, sulfur or natural gas, as applicable, in our pricing arrangements with customers.</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also produce and sell LDAN and AN solution for use in other applications, which are primarily used to produce AN fuel oil and specialty emulsions for use in explosives in the quarry and the construction industries and for metals mining. We have signed long-term contracts with certain customers that provide for the sale of LDAN and AN solution mostly under natural gas cost pass through pricing arrangements. One of our customers has a plant located at our El Dorado Facility.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Agricultural Market Conditions</w:t>
      </w:r>
    </w:p>
    <w:p>
      <w:pPr>
        <w:spacing w:after="0" w:line="119"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color w:val="auto"/>
        </w:rPr>
        <w:t>As discussed in more detail under “</w:t>
      </w:r>
      <w:r>
        <w:rPr>
          <w:rFonts w:ascii="Times New Roman" w:cs="Times New Roman" w:eastAsia="Times New Roman" w:hAnsi="Times New Roman"/>
          <w:sz w:val="18"/>
          <w:szCs w:val="18"/>
          <w:i w:val="1"/>
          <w:iCs w:val="1"/>
          <w:color w:val="auto"/>
        </w:rPr>
        <w:t>Item 7. Management’s Discussion and Analysis of Financial Condition and Results of Operations–Key Industry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the price at which our agricultural products are ultimately sold depends on numerous factors, including the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 w:name="page9"/>
    <w:bookmarkEnd w:id="8"/>
    <w:p>
      <w:pPr>
        <w:ind w:right="40"/>
        <w:spacing w:after="0" w:line="258" w:lineRule="auto"/>
        <w:rPr>
          <w:sz w:val="20"/>
          <w:szCs w:val="20"/>
          <w:color w:val="auto"/>
        </w:rPr>
      </w:pPr>
      <w:r>
        <w:rPr>
          <w:rFonts w:ascii="Times New Roman" w:cs="Times New Roman" w:eastAsia="Times New Roman" w:hAnsi="Times New Roman"/>
          <w:sz w:val="18"/>
          <w:szCs w:val="18"/>
          <w:color w:val="auto"/>
        </w:rPr>
        <w:t>supply and demand for nitrogen fertilizers which, in turn, depends upon world grain demand and production levels, the cost and availability of transportation and storage, weather conditions, competitive pricing and the availability of imports, all of which impact competition. Additionally, expansions or upgrades of competitors’ facilities and international and domestic political and economic developments continue to play an important role in the global nitrogen fertilizer industry economics. These factors can affect, in addition to selling prices, the level of inventories in the market which can cause price volatility and affect product margins.</w:t>
      </w:r>
    </w:p>
    <w:p>
      <w:pPr>
        <w:spacing w:after="0" w:line="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sell our agricultural products at the current spot market price for either immediate shipment or as part of forward sales commitments, depending on fertilizer seasonality and our forward pricing point of view.</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Looking forward to 2026, ammonia prices currently reflect constrained global inventories resulting from reduced supply from the Middle East and Trinidad, higher cost of production in Europe and delays to the start-up of new production capacity. Supply constraints are expected to ease throughout the first half of 2026. New production in the United States is expected to come online mid-2026, which could pressure pricing in the near term.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Agricultural Products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produce and sell UAN and ammonia, which are nitrogen-based fertilizers. We sell these agricultural products to farmers, ranchers, fertilizer dealers and distributors primarily in the ranch land and grain production markets in the United States. Our nitrogen-based fertilizers are used to grow food crops, biofuel feedstock crops, and pasture forage for grazing livestock and forage production. We maintain long-term relationships with wholesale agricultural distributors and retailers.</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demand for nitrogen fertilizer products in the agricultural industry is seasonal. If seasonal demand is less than we expect, we may be left with excess inventory that will have to be stored (in which case our results of operations will be negatively affected by any related increased storage costs) or liquidated (in which case the selling price may be below our production, procurement and storage costs).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products we manufacture at our facilities are primarily derived from natural gas. This raw material is a commodity and subject to price fluctuations. Natural gas is the primary raw material for producing ammonia, UAN, nitric acid and acid blends and other products at our El Dorado, Cherokee and Pryor Facilities. During 2025, we purchased approximately 30.5 million MMBtus of natural gas.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chemical facilities’ natural gas requirements are generally purchased at a first-of-month market price. Periodically, we enter into volume purchase commitments and/or forward contracts to fix the cost of certain expected natural gas requirements primarily to match quantities needed to produce products that have been sold forward. At December 31, 2025, we had natural gas contracts of approximately 0.2 million MMBtus, at an average cost of $4.39 per MMBtu. These contracts extend through March 2026.</w:t>
      </w:r>
    </w:p>
    <w:p>
      <w:pPr>
        <w:spacing w:after="0" w:line="70"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color w:val="auto"/>
        </w:rPr>
        <w:t>See further discussion relating to the outlook for our business under “</w:t>
      </w:r>
      <w:r>
        <w:rPr>
          <w:rFonts w:ascii="Times New Roman" w:cs="Times New Roman" w:eastAsia="Times New Roman" w:hAnsi="Times New Roman"/>
          <w:sz w:val="18"/>
          <w:szCs w:val="18"/>
          <w:i w:val="1"/>
          <w:iCs w:val="1"/>
          <w:color w:val="auto"/>
        </w:rPr>
        <w:t>Item 7. 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Key Industry Factors.”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operate in a highly competitive market with many other larger chemical companies, such as CF Industries Holdings, Inc., CVR Partners, Dyno Nobel, a subsidiary of Incitec Pivot Limited, Eurochem North America, Helm AG, Koch Industries, Macro-Source L.L.C., Nutrien, Orica Limited, and Yara International (some of whom are our customers), many of whom have greater financial and other resources than we do. We believe that competition within the markets we serve is primarily based upon service, price, location of production and distribution sites, and product quality and performance.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principal customers for our products are distributors and end customers, such as farmers, ranchers, and fertilizer dealers and industrial users. Sales are generated by our internal marketing and sales force. For 2025, five customers accounted for approximately 32% of our consolidated net sales.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NOL Rights Agreement</w:t>
      </w:r>
    </w:p>
    <w:p>
      <w:pPr>
        <w:spacing w:after="0" w:line="121" w:lineRule="exact"/>
        <w:rPr>
          <w:sz w:val="20"/>
          <w:szCs w:val="20"/>
          <w:color w:val="auto"/>
        </w:rPr>
      </w:pPr>
    </w:p>
    <w:p>
      <w:pPr>
        <w:ind w:right="720"/>
        <w:spacing w:after="0" w:line="297" w:lineRule="auto"/>
        <w:rPr>
          <w:sz w:val="20"/>
          <w:szCs w:val="20"/>
          <w:color w:val="auto"/>
        </w:rPr>
      </w:pPr>
      <w:r>
        <w:rPr>
          <w:rFonts w:ascii="Times New Roman" w:cs="Times New Roman" w:eastAsia="Times New Roman" w:hAnsi="Times New Roman"/>
          <w:sz w:val="18"/>
          <w:szCs w:val="18"/>
          <w:color w:val="auto"/>
        </w:rPr>
        <w:t>We are party to an Amended and Restated Section 382 Rights Agreement (as amended, the “NOL Rights Agreement”) with Computershare Trust Company, N.A., as rights agent.</w:t>
      </w:r>
    </w:p>
    <w:p>
      <w:pPr>
        <w:spacing w:after="0" w:line="4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purpose of the NOL Rights Agreement is to facilitate our ability to preserve our NOLs and other tax attributes in order to be able to offset potential future income taxes for federal income tax purposes. Our ability to use these NOLs and other tax attributes would be substantially limited if we experience an “ownership change,” as defined in Section 382 of the Internal Revenue Code of 1986, as amended (the “Code”). A company generally experiences an ownership change if the percentage of the value of its stock owned by certain 5% stockholders, as defined in Section 382 of the Code, increases by more than 50% points over a rolling three-year period. The NOL Rights Agreement is intended to reduce the likelihood of an ownership change under Section 382 of the Code by deterring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 w:name="page10"/>
    <w:bookmarkEnd w:id="9"/>
    <w:p>
      <w:pPr>
        <w:ind w:right="80"/>
        <w:spacing w:after="0" w:line="282" w:lineRule="auto"/>
        <w:rPr>
          <w:sz w:val="20"/>
          <w:szCs w:val="20"/>
          <w:color w:val="auto"/>
        </w:rPr>
      </w:pPr>
      <w:r>
        <w:rPr>
          <w:rFonts w:ascii="Times New Roman" w:cs="Times New Roman" w:eastAsia="Times New Roman" w:hAnsi="Times New Roman"/>
          <w:sz w:val="18"/>
          <w:szCs w:val="18"/>
          <w:color w:val="auto"/>
        </w:rPr>
        <w:t>any person (as defined in the NOL Rights Agreement) or group of affiliated or associated persons from acquiring beneficial ownership of 4.9% or more of our outstanding shares of common stock.</w:t>
      </w:r>
    </w:p>
    <w:p>
      <w:pPr>
        <w:spacing w:after="0" w:line="6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rights issued under the NOL Rights Agreement will expire on the earliest to occur of (i) the date on which our Board of Directors (the “Board”) determines in its sole discretion that (x) the NOL Rights Agreement is no longer necessary for the preservation of material valuable NOLs or tax attributes or (y) the NOLs and tax attributes have been fully utilized and may no longer be carried forward and (ii) the close of business on August 22, 2026.</w:t>
      </w:r>
    </w:p>
    <w:p>
      <w:pPr>
        <w:spacing w:after="0" w:line="6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Board may, in its discretion, determine that a person, entity or a certain transaction is exempt from the operation of the NOL Rights Agreement or amend the terms of the rights.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December 31, 2025, we employed 513 persons, 144 of whom are represented by unions under collective bargaining agreements. We have three 3-year union contracts, of which one was ratified in 2024 and the remaining two were ratified in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Oversight &amp; Management</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success depends on the capabilities and strength of our workforce. Our Chief Human Resources Officer (“CHRO”) is responsible for developing and executing our human capital strategy, which includes the acquisition, development, and retention of talent, as well as the enhancement of benefits and the overall employee experience to support our business strategy. The CHRO regularly updates our Board of Directors on the operation and status of these human capital initiatives, including the following:</w:t>
      </w:r>
    </w:p>
    <w:p>
      <w:pPr>
        <w:spacing w:after="0" w:line="70" w:lineRule="exact"/>
        <w:rPr>
          <w:sz w:val="20"/>
          <w:szCs w:val="20"/>
          <w:color w:val="auto"/>
        </w:rPr>
      </w:pPr>
    </w:p>
    <w:p>
      <w:pPr>
        <w:ind w:left="600" w:right="40" w:hanging="292"/>
        <w:spacing w:after="0" w:line="258" w:lineRule="auto"/>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Training &amp; Development </w:t>
      </w:r>
      <w:r>
        <w:rPr>
          <w:rFonts w:ascii="Times New Roman" w:cs="Times New Roman" w:eastAsia="Times New Roman" w:hAnsi="Times New Roman"/>
          <w:sz w:val="18"/>
          <w:szCs w:val="18"/>
          <w:color w:val="auto"/>
        </w:rPr>
        <w:t>– We are committed to the continued development of our employees through formal training programs,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reviews, and individualized development action plans. We provide structured training for frontline supervisors and managers focused on foundational leadership capabilities. In addition, we conduct annual talent reviews across all operational business units and corporate functions. The CEO, CHRO, and executive leadership team review talent data annually and identify development actions to support succession planning, continuous improvement, and long-term growth.</w:t>
      </w:r>
    </w:p>
    <w:p>
      <w:pPr>
        <w:spacing w:after="0" w:line="75" w:lineRule="exact"/>
        <w:rPr>
          <w:rFonts w:ascii="Times New Roman" w:cs="Times New Roman" w:eastAsia="Times New Roman" w:hAnsi="Times New Roman"/>
          <w:sz w:val="18"/>
          <w:szCs w:val="18"/>
          <w:color w:val="auto"/>
        </w:rPr>
      </w:pPr>
    </w:p>
    <w:p>
      <w:pPr>
        <w:ind w:left="600" w:right="180" w:hanging="292"/>
        <w:spacing w:after="0" w:line="261" w:lineRule="auto"/>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Engagement </w:t>
      </w:r>
      <w:r>
        <w:rPr>
          <w:rFonts w:ascii="Times New Roman" w:cs="Times New Roman" w:eastAsia="Times New Roman" w:hAnsi="Times New Roman"/>
          <w:sz w:val="18"/>
          <w:szCs w:val="18"/>
          <w:color w:val="auto"/>
        </w:rPr>
        <w:t>– We believe we maintain positive and productive relationships with our employees. To support engagement, we proactively gather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feedback through employee discussions, various surveys and focus groups. Based on this feedback, we implement targeted initiatives, such as employee recognition programs and operationally focused communications, designed to enhance engagement. We also conduct annual benefits benchmarking studies to help ensure our benefits remain competitive and continue to add value for employees.</w:t>
      </w:r>
    </w:p>
    <w:p>
      <w:pPr>
        <w:spacing w:after="0" w:line="71" w:lineRule="exact"/>
        <w:rPr>
          <w:rFonts w:ascii="Times New Roman" w:cs="Times New Roman" w:eastAsia="Times New Roman" w:hAnsi="Times New Roman"/>
          <w:sz w:val="18"/>
          <w:szCs w:val="18"/>
          <w:color w:val="auto"/>
        </w:rPr>
      </w:pPr>
    </w:p>
    <w:p>
      <w:pPr>
        <w:ind w:left="600" w:right="160" w:hanging="292"/>
        <w:spacing w:after="0" w:line="267" w:lineRule="auto"/>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Heath, Safety &amp; Environment (“EHS”) </w:t>
      </w:r>
      <w:r>
        <w:rPr>
          <w:rFonts w:ascii="Times New Roman" w:cs="Times New Roman" w:eastAsia="Times New Roman" w:hAnsi="Times New Roman"/>
          <w:sz w:val="18"/>
          <w:szCs w:val="18"/>
          <w:color w:val="auto"/>
        </w:rPr>
        <w:t>– Our EHS Risk Management System focuses on five key elements to ensure risks are managed, and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continuously improve. This system is guided by an executive committee that provides focus and priority to compliance and industry best practices. The five key elements of our EHS Risk Management System are as follows: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Leadership commitment and employee ownership drive a culture of compliance at each business unit.</w:t>
      </w:r>
    </w:p>
    <w:p>
      <w:pPr>
        <w:spacing w:after="0" w:line="27" w:lineRule="exact"/>
        <w:rPr>
          <w:rFonts w:ascii="Times New Roman" w:cs="Times New Roman" w:eastAsia="Times New Roman" w:hAnsi="Times New Roman"/>
          <w:sz w:val="18"/>
          <w:szCs w:val="18"/>
          <w:color w:val="auto"/>
        </w:rPr>
      </w:pPr>
    </w:p>
    <w:p>
      <w:pPr>
        <w:ind w:left="1020" w:right="120" w:hanging="503"/>
        <w:spacing w:after="0" w:line="250"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and compliance assessment ensures we evaluate each unique operation, assigning potential risk consequence to events and compliance requirements.</w:t>
      </w:r>
    </w:p>
    <w:p>
      <w:pPr>
        <w:ind w:left="1020" w:hanging="503"/>
        <w:spacing w:after="0"/>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Anticipating and controlling impacts is realized through our leading and lagging metrics, such as near miss tracking.</w:t>
      </w:r>
    </w:p>
    <w:p>
      <w:pPr>
        <w:spacing w:after="0" w:line="9" w:lineRule="exact"/>
        <w:rPr>
          <w:rFonts w:ascii="Times New Roman" w:cs="Times New Roman" w:eastAsia="Times New Roman" w:hAnsi="Times New Roman"/>
          <w:sz w:val="18"/>
          <w:szCs w:val="18"/>
          <w:color w:val="auto"/>
        </w:rPr>
      </w:pPr>
    </w:p>
    <w:p>
      <w:pPr>
        <w:ind w:left="1020" w:right="740" w:hanging="503"/>
        <w:spacing w:after="0" w:line="250"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disciplined change management process is executed to evaluate, assess and safely manage changes to operations and compliance requirements.</w:t>
      </w:r>
    </w:p>
    <w:p>
      <w:pPr>
        <w:ind w:left="1020" w:hanging="503"/>
        <w:spacing w:after="0"/>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improvement is rooted in our Core Value: “Make It Better.”</w:t>
      </w:r>
    </w:p>
    <w:p>
      <w:pPr>
        <w:spacing w:after="0" w:line="99" w:lineRule="exact"/>
        <w:rPr>
          <w:sz w:val="20"/>
          <w:szCs w:val="20"/>
          <w:color w:val="auto"/>
        </w:rPr>
      </w:pPr>
    </w:p>
    <w:p>
      <w:pPr>
        <w:ind w:left="600" w:right="280"/>
        <w:spacing w:after="0" w:line="266" w:lineRule="auto"/>
        <w:rPr>
          <w:sz w:val="20"/>
          <w:szCs w:val="20"/>
          <w:color w:val="auto"/>
        </w:rPr>
      </w:pPr>
      <w:r>
        <w:rPr>
          <w:rFonts w:ascii="Times New Roman" w:cs="Times New Roman" w:eastAsia="Times New Roman" w:hAnsi="Times New Roman"/>
          <w:sz w:val="18"/>
          <w:szCs w:val="18"/>
          <w:color w:val="auto"/>
        </w:rPr>
        <w:t>Our operations are committed to EHS Risk Management through investigating events using root cause analysis tools, assigning and tracking corrective actions, shared learning across the organization, developing a robust training program and conducting periodic third-party audits and internal self-assessment to continuously improve.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facilities and operations are subject to numerous federal, state and local laws and regulations regarding environmental, health and safety, including laws and regulations relating to the generation and handling of hazardous substances and wastes, the introduction of new chemicals or substances to the market, the investigation and remediation of contamination, spills or releases and the discharge of pollutants or emissions of regulated substances to the air, water or soils. These laws and regulations provide for certain performance obligations and in some cases require us to obtain and maintain permits for our operations. The failure to comply with these laws and regulations can result in substantial administrative, civil and criminal fines, injunctive relief and criminal sanctions. Compliance with and changes to these laws and regulations may adversely affect our business, results or operations and financial condition.</w:t>
      </w:r>
    </w:p>
    <w:p>
      <w:pPr>
        <w:spacing w:after="0" w:line="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of these laws and regulations impose strict liability as well as joint and several liability for costs required to remediate and restore sites that we own or operate, that we formerly owned or operated, and where hazardous substances, hydrocarbons, solid wastes or other materials from our operations have been stored, disposed or released, regardless of whether such contamination resulted from</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the conduct of others or from consequences of our own actions that were in compliance with all applicable laws at the time those actions were taken.</w:t>
      </w:r>
    </w:p>
    <w:p>
      <w:pPr>
        <w:spacing w:after="0" w:line="11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may incur material costs or liabilities in complying with such laws and pay fines or penalties for violation of such laws. Our insurance may not cover all environmental risks and costs or may not provide sufficient coverage if an environmental claim is brought against us. These laws and regulations (including enforcement policies thereunder) have in the past resulted, and could in the future result, in significant compliance expenses, cleanup costs (for our sites or third-party sites where we disposed our wastes), penalties or other liabilities relating to the handling, manufacture, use, storage, emission, release, discharge or disposal of materials at or from our facilities or the use or disposal of certain of its chemical products. Historically, we have incurred significant expenditures in order to comply with these laws and regulations and are reasonably expected to do so in the future. Changes in these laws and regulations, and changes in the interpretations of such laws and regulations by regulatory bodies impacts the costs of compliance and may impact the demands for our products. We will also be obligated to manage certain discharge water outlets and monitor groundwater contaminants at our chemical facilities should we discontinue the operations of a facility.</w:t>
      </w:r>
    </w:p>
    <w:p>
      <w:pPr>
        <w:spacing w:after="0" w:line="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obtained and maintain numerous environmental permits and approvals in connection with the operations of our facilities. Changes to our facilities or new facilities or operations may require new or amended permits, and our existing permits require periodic review and renewal. If the regulatory body were to deny or delay issuing a permit or permit amendment or were to modify an existing permit or approval, we could experience a material adverse impact on our ability to operate or the costs of our operations. The requirement to obtain permits and authorizations may also impact our ability to construct new operations or to make changes to existing operations.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see discussions concerning our risk factors under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of this report.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make available free of charge through our Internet website (www.lsbindustries.com) or by calling Investor Relations (405) 510-3524 our Annual Reports on Form 10-K, Quarterly Reports on Form 10-Q, Current Reports on Form 8-K and, if applicable, amendments to those reports filed or furnished pursuant to Section 13(a) of the Exchange Act of 1934, as amended (the “Exchange Act”) as soon as reasonably practicable after we electronically file such material with, or furnish it to, the Securities and Exchange Commission (the “SEC”). In addition to the reports filed or furnished with the SEC, we publicly disclose material information from time to time in press releases, at annual meetings of stockholders, in publicly accessible conferences and investor presentations, and through our website. The information included on our website does not constitute part of this Annual Report on Form 10-K.</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and the lack of availability of raw materials could materially affect our profitability.</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sales and profits are heavily affected by the costs and availability of primary raw materials. These primary raw materials are typically subject to considerable price volatility, and recent global supply chain disruptions and increased inflation in the United States have led to further heightened volatility. Historically, when there have been rapid increases in the cost of these primary raw materials, we have sometimes been unable to timely increase our sales prices to cover all of the higher costs incurred. While we periodically enter into futures/forward contracts to economically hedge against price increases in certain of these raw materials, we may not effectively manage against price fluctuations in those raw materials.</w:t>
      </w:r>
    </w:p>
    <w:p>
      <w:pPr>
        <w:spacing w:after="0" w:line="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Natural gas represents the primary raw material in the production of most of our chemical products. Although we enter into contracts with certain customers that provide for the pass-through of raw material costs, we have a substantial amount of sales that do not provide for the pass-through of raw material costs. Also, the spot sales prices of our agricultural products may not correlate to the cost of natural gas but rather reflect market conditions for similar and competing nitrogen sources. This lack of correlation can compromise our ability to recover our full cost to produce the products in this market. As a result, in the future, we may not be able to pass along to all of our customers the full amount of any increases in raw material costs. Future price fluctuations in our raw materials may have an adverse effect on our business, financial condition, liquidity and results of operations.</w:t>
      </w:r>
    </w:p>
    <w:p>
      <w:pPr>
        <w:spacing w:after="0" w:line="7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Additionally, we depend on certain vendors to deliver natural gas and other key components that are required in the production of our products. Any disruption in the supply of natural gas and other key components could result in lost production or delayed shipments.</w:t>
      </w:r>
    </w:p>
    <w:p>
      <w:pPr>
        <w:spacing w:after="0" w:line="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price of natural gas in North America is volatile and impacted by geopolitical instability, the level of domestic drilling activity and temporary supply disruption from severe weather events. In addition, future production of natural gas from shale formations could be reduced by regulatory changes that restrict drilling or hydraulic fracturing or increase its cost or by reduction in oil exploration and development prompted by lower oil prices and resulting in production of less associated natural gas. Further, increased demand for natural gas, particularly in the Gulf Coast Region, due to increased industrial demand, increased power generation demand, especially from artificial intelligence data centers, and increased natural gas exports could result in increased natural gas prices.</w:t>
      </w:r>
    </w:p>
    <w:p>
      <w:pPr>
        <w:spacing w:after="0" w:line="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suspended in the past, and could suspend in the future, production at our chemical facilities due to, among other things, the high cost or lack of availability of natural gas and other key components, which could adversely affect our competitiveness in the markets we serve. Accordingly, our business, financial condition, liquidity and results of operations could be materially affected in the future by the lack of availability of natural gas and other key components and increase costs relating to the purchase of natural gas and other key components.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reliant on a limited number of key facilities.</w:t>
      </w:r>
    </w:p>
    <w:p>
      <w:pPr>
        <w:spacing w:after="0" w:line="121"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We manufacture products at four facilities. Operational disruptions could occur for many reasons, including natural disaster, weather, unplanned maintenance and other manufacturing problems, disease, strikes or other labor unrest or transportation interruptions. Extreme weather events, including temperature extremes, depending on the severity and location, have the potential not only to damage our facilities and disrupt our operations, but also to affect adversely the distribution of our products. Moreover, our facilities may be subject to failure of equipment that may be difficult to replace or have long delivery lead times, due in part to a limited number of suppliers and could result in operational disruptions. The suspension of operations at any of these facilities, or significant impacts on any of their operations as a result of supply chain disruption, could adversely affect our ability to produce our products and fulfill our commitments and could have a material adverse effect on our liquidity, financial condition, results of operations and business.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age of our chemical manufacturing facilities increases the risk for unplanned downtime, which may be significant.</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Our business is comprised of operating units of various ages and levels of automated control. While we have continued to make significant annual capital improvements, potential age or control-related issues have occurred in the past and may occur in the future, which could cause damage to the equipment and ancillary facilities. As a result, we have experienced and may continue to experience additional downtime at our chemical facilities in the future.</w:t>
      </w:r>
    </w:p>
    <w:p>
      <w:pPr>
        <w:spacing w:after="0" w:line="6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equipment required for the manufacture of our products is specialized, and the time for replacement of such equipment can be lengthy, resulting in extended downtime in the affected unit. In addition, the cost for such equipment could be influenced by changes in regulatory policies (including tariffs) of foreign governments, as well as the United States laws and policies affecting foreign trade and investment. Although we use various reliability and inspection programs and maintain a significant inventory of spare equipment, which are intended to mitigate the extent of production losses, unplanned outages may still occur. As a result, these planned and unplanned downtime events at our chemical facilities have in the past and could in the future adversely affect our liquidity, operating results and financial condition.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Our operations and the production and handling of our products involve significant risks and hazards.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operations are subject to hazards inherent in the manufacture, transportation, storage and distribution of chemical products, including some products that are highly toxic and corrosive. These hazards include, among other things, explosions; fires; severe weather and natural disasters; train derailments, collisions, vessel groundings and other transportation and maritime incidents; leaks and ruptures involving storage tanks, pipelines and rail cars; spills, discharges and releases of toxic or hazardous substances or gases; deliberate sabotage and terrorist incidents; mechanical failures; unscheduled plant downtime; labor difficulties and other risks. Some of these hazards have and may in the future cause bodily injury and loss of life, severe damage to or destruction of property and equipment and environmental damage and may result in suspension of operations for an extended period of time and/or the imposition of civil or criminal penalties and liabilities. We periodically experience minor releases of ammonia related to leaks from our equipment. Similar events may occur in the future. As a result, such events could have a material adverse effect on our results of operations and financial condition.</w:t>
      </w:r>
    </w:p>
    <w:p>
      <w:pPr>
        <w:spacing w:after="0" w:line="8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Our transportation and distribution activities rely on third-party providers, which subject us to risks and uncertainties beyond our control that may adversely affect our operations.</w:t>
      </w:r>
    </w:p>
    <w:p>
      <w:pPr>
        <w:spacing w:after="0" w:line="5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rely on railroad, trucking, pipeline and other transportation service providers to transport raw materials to our manufacturing facilities, to coordinate and deliver finished products to our storage and distribution system and to ship finished products to our customers. These transportation operations, equipment and services are subject to various hazards, including adverse operating conditions, extreme weather conditions, system failures, work stoppages, equipment and personnel shortages, delays, accidents such as spills and derailments and other accidents and operating hazards.</w:t>
      </w:r>
    </w:p>
    <w:p>
      <w:pPr>
        <w:spacing w:after="0" w:line="7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the event of a disruption of existing transportation or terminaling facilities for our products or raw materials, alternative transportation and terminaling facilities may not have sufficient capacity to fully serve all of our customers or facilities. An extended interruption in the delivery of our products to our customers or the supply of natural gas, ammonia or sulfur to our production facilities could adversely affect sales volumes and margins.</w:t>
      </w:r>
    </w:p>
    <w:p>
      <w:pPr>
        <w:spacing w:after="0" w:line="6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These transportation operations, equipment and services are also subject to environmental, safety, and regulatory oversight. Due to concerns related to accidents, terrorism or increasing concerns regarding transportation of potentially hazardous substances, local, provincial, state and federal governments could implement new regulations affecting the transportation of raw materials or our finished products. If transportation of our products is delayed or we are unable to obtain raw materials as a result of any third party’s failure to operate properly or the other hazards described above, or if new and more stringent regulatory requirements are implemented affecting transportation operations or equipment, or if there are significant increases in the cost of these services or equipment, our revenues and cost of operations could be adversely affected. In addition, we may experience increases in our transportation costs, or changes in such costs relative to transportation costs incurred by our competitors.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successful in the development and implementation of our low carbon ammonia projects in a timely or economic manner, or at all.</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currently evaluating and developing projects and other investments that could enable us to become a producer and marketer of low carbon ammonia and other derivative products. The success of these projects is dependent on a number of factors, many of which are beyond our control.</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example, the market for low carbon ammonia remains nascent, and is continuing to develop and evolve. We cannot be certain that the market will grow to the size or at the rate we expect. The demand for low carbon ammonia is dependent in part on the developing market for low carbon hydrogen, for which ammonia can serve as a transport and storage molecule. These markets are heavily influenced by demand for clean energy, technology advancement and a range of domestic and international laws, regulations and policies related to carbon emissions, clean energy, tax benefits and other incentives and corporate accountability.</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Recently, many other proposed low carbon ammonia projects have been announced or considered, and future hydrogen, energy, or environmental/carbon policies may support development of additional nitrogen production in locations outside North America, including Europe, Australia, and the Middle East. In the event that the growth in supply of low carbon ammonia and low carbon hydrogen exceeds the growth in demand for those products, the resulting unfavorable supply and demand balance could lead to lower selling prices than we expect, which could negatively affect our business, financial condition, results of operations and cash flows. The recognition and acceptance of low carbon ammonia as a transport and storage molecule for low carbon hydrogen, the use of low carbon ammonia as a fuel in its own right, and the development and growth of end market demand and applications for hydrogen and ammonia are uncertain. Such matters depend on many factors outside of our control, such as the extent and rate at which cost competitive global renewable energy capacity increases, the price of traditional and alternative sources of energy, the implementation of taxes on carbon emissions, the realization of technological improvements required to increase the efficiency and lower the costs of production of ammonia, the regulatory environment, and the success of the projects described above to provide ammonia offerings cost-effectively. In addition, further development of alternative decarbonization technologies may result in viable alternatives to the use of low carbon ammonia for many potential decarbonization applications, resulting in lower than expected market demand growth relative to our current expectations.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3" w:name="page14"/>
    <w:bookmarkEnd w:id="13"/>
    <w:p>
      <w:pPr>
        <w:ind w:right="60"/>
        <w:spacing w:after="0" w:line="254" w:lineRule="auto"/>
        <w:rPr>
          <w:sz w:val="20"/>
          <w:szCs w:val="20"/>
          <w:color w:val="auto"/>
        </w:rPr>
      </w:pPr>
      <w:r>
        <w:rPr>
          <w:rFonts w:ascii="Times New Roman" w:cs="Times New Roman" w:eastAsia="Times New Roman" w:hAnsi="Times New Roman"/>
          <w:sz w:val="18"/>
          <w:szCs w:val="18"/>
          <w:color w:val="auto"/>
        </w:rPr>
        <w:t>The success of our low carbon ammonia projects also depends on the realization of certain technical improvements required to increase the efficiency and lower the costs of production of low carbon ammonia. Over time, we may face operational difficulties and execution risks related to design, development and construction. If our assumptions about the engineering and project execution requirements necessary to successfully build or convert the facility capacity that we are contemplating and to scale up to larger production quantities prove to be incorrect, we may be unable to produce substantial quantities of low carbon ammonia, and the cost to construct such low carbon ammonia facilities, or the production costs associated with the operation of such facilities, may be higher than we project. The production of low carbon ammonia depends to a large extent upon the ability of third parties to develop class VI carbon sequestration wells, which currently do not exist at large scale and are subject to a permitting process and operational risks, which may result in delays, impact viability in some or all situations, or create long-term liabilities.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There is intense competition in the markets we serve.</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Substantially all of the markets in which we participate are highly competitive with respect to product quality, price, distribution, service, and reliability. We compete with many companies, domestic and foreign, that have greater financial, marketing and other resources. Competitive factors could require us to reduce prices or increase spending on product development, marketing and sales, which could have a material adverse effect on our business, results of operation and financial condition.</w:t>
      </w:r>
    </w:p>
    <w:p>
      <w:pPr>
        <w:spacing w:after="0" w:line="7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compete with many United States producers and producers in other countries, including state-owned and government-subsidized entities. Some competitors have greater total resources and are less dependent on earnings from chemical sales, which makes them less vulnerable to industry downturns and better positioned to pursue new expansion and development opportunities. Our competitive position could suffer to the extent we are not able to expand our own resources sufficiently either through investments in new or existing operations or through acquisitions, joint ventures or partnerships. An inability to compete successfully could result in the loss of customers, which could adversely affect our sales and profitability.</w:t>
      </w:r>
    </w:p>
    <w:p>
      <w:pPr>
        <w:spacing w:after="0" w:line="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addition, future technological innovation, such as the development of seeds that require less crop nutrients, or developments in the application of crop nutrients, if they occur, could have the potential to adversely affect the demand for our products and results of operations.</w:t>
      </w:r>
    </w:p>
    <w:p>
      <w:pPr>
        <w:spacing w:after="0" w:line="5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A major factor underlying the current high level of demand for our nitrogen-based fertilizer products is the production of ethanol. A decrease in ethanol production or an increase in ethanol imports could have a material adverse effect on our results of operations and financial condition.</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 major factor underlying the solid level of demand for our nitrogen-based fertilizer products is the production of ethanol in the United States and the use of corn in ethanol production. Ethanol production in the United States is highly dependent upon a myriad of federal statutes and regulations and is made significantly more competitive by various federal and state incentives and mandated usage of renewable fuels pursuant to the federal renewable fuel standards (“RFS”). To date, the RFS has been satisfied primarily with fuel ethanol blended into gasoline. However, a number of factors, including the continuing “food versus fuel” debate and studies showing that expanded ethanol usage may increase the level of greenhouse gases in the environment as well as be unsuitable for small engine use, have resulted in calls to reduce subsidies for ethanol, allow increased ethanol imports and to repeal or waive (in whole or in part) the current RFS, any of which could have an adverse effect on corn-based ethanol production, planted corn acreage and fertilizer demand. Therefore, ethanol incentive programs may not be renewed, or if renewed, they may be renewed on terms significantly less favorable to ethanol producers when compared with current incentive programs. Consequently, a decrease in ethanol production or an increase in ethanol imports could have a material adverse effect on our overall business, results of operations, financial condition and liquidity.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can adversely affect our business.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Demand for nitrogen fertilizer products in the agricultural industry is seasonal. If seasonal demand is less than we expect, we may be left with excess inventory that will have to be stored (in which case our results of operations will be negatively affected by any related increased storage costs) or liquidated (in which case the selling price may be below our production, procurement and storage costs). The risks associated with excess inventory and product shortages are exacerbated by the volatility of natural gas and nitrogen fertilizer prices and the relatively brief periods during which farmers can apply nitrogen fertilizers. If prices for our products rapidly decrease, we may be subject to inventory write-downs, adversely affecting our operating results. If seasonal demand is greater than we expect, we may experience product shortages, and customers of ours may turn to our competitors for products that they would otherwise have purchased from us.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substantial portion of our sales is dependent upon a limited number of customers.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2025, five customers accounted for approximately 32% of our consolidated net sales. The loss of, or a material reduction in purchase levels by, one or more of these customers could have a material adverse effect on our business, results of operations, financial condition and liquidity if we are unable to replace one or more customers with other sales on substantially similar terms.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4" w:name="page15"/>
    <w:bookmarkEnd w:id="14"/>
    <w:p>
      <w:pPr>
        <w:jc w:val="both"/>
        <w:ind w:right="460"/>
        <w:spacing w:after="0" w:line="268" w:lineRule="auto"/>
        <w:rPr>
          <w:sz w:val="20"/>
          <w:szCs w:val="20"/>
          <w:color w:val="auto"/>
        </w:rPr>
      </w:pPr>
      <w:r>
        <w:rPr>
          <w:rFonts w:ascii="Times New Roman" w:cs="Times New Roman" w:eastAsia="Times New Roman" w:hAnsi="Times New Roman"/>
          <w:sz w:val="18"/>
          <w:szCs w:val="18"/>
          <w:b w:val="1"/>
          <w:bCs w:val="1"/>
          <w:color w:val="auto"/>
        </w:rPr>
        <w:t>A change in the volume of products that our customers purchase on a forward basis, or the percentage of our sales volume that is sold to our customers on a forward basis, could increase our exposure to fluctuations in our profit margins and materially adversely affect our business, financial condition, results of operations and cash flows.</w:t>
      </w:r>
    </w:p>
    <w:p>
      <w:pPr>
        <w:spacing w:after="0" w:line="6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From time-to-time, we offer our customers the opportunity to purchase products from us on a forward basis at prices and delivery dates we propose. Under our forward sales programs, customers generally make an initial cash down payment at the time of order and pay the remaining portion of the contract sales under their usual invoice terms when the performance obligation is satisfied. Forward sales improve our liquidity due to the cash payments received from customers in advance of shipment of the product and allow us to improve our production scheduling and planning and the utilization of our manufacturing and distribution assets. Any cash payments received in advance from customers in connection with forward sales are reflected on our consolidated balance sheets as a current liability until the related performance obligations are satisfied, which can take up to several months. We believe the ability to purchase products on a forward basis is most appealing to our customers during periods of generally increasing prices for nitrogen fertilizers. Our customers may be less willing, or even unwilling, to purchase products on a forward basis during periods of generally decreasing or stable prices or during periods of relatively high fertilizer prices due to the expectation of lower prices in the future or limited capital resources. In periods of rising fertilizer prices, selling our nitrogen fertilizers on a forward basis may result in lower profit margins than if we had not sold fertilizer on a forward basis. Conversely, in periods of declining fertilizer prices, selling our nitrogen fertilizers on a forward basis may result in higher profit margins than if we had not sold fertilizer on a forward basis. In addition, fixing the selling prices of our products, often months in advance of their ultimate delivery to customers, typically causes our reported selling prices and margins to differ from spot market prices and margins available at the time the performance obligation is satisfied.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is subject to risks involving derivatives and the risk that our hedging activities might not be effective.</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From time to time, we may utilize natural gas derivatives to economically hedge our financial exposure to the price volatility of natural gas, the principal raw material used in the production of nitrogen-based products. We use futures, financial swaps and option contracts traded in the over-the-counter markets or on exchanges to hedge our risk. Our use of derivatives can result in volatility in reported earnings due to the unrealized mark-to-market adjustments that occur from changes in the value of the derivatives that do not qualify for, or to which we do not apply, hedge accounting. To the extent that our derivative positions lose value, we may be required to post collateral with our counterparties, adversely affecting our liquidity. We have also used fixed-price, physical purchase and sales contracts to hedge our exposure to natural gas price volatility. Hedging arrangements are imperfect and unhedged risks will always exist. In addition, our hedging activities may themselves give rise to various risks that could adversely affect us. For example, we are exposed to counterparty credit risk when our derivatives are in a net asset position. The counterparties to our derivatives are multi-national commercial banks, major financial institutions or large energy companies. Our liquidity could be negatively impacted by a counterparty default on settlement of one or more of our derivative financial instruments or by the trigger of any cross-default provisions or credit support requirements. Additionally, the International Swaps and Derivative Association master netting arrangements for most of our derivative instruments contain credit-risk-related contingent features, such as cross-default and/or acceleration provisions and credit support requirements. In the event of certain defaults or a credit ratings downgrade, our counterparty may request early termination and net settlement of certain derivative trades or may require us to collateralize derivatives in a net liability position. At other times we may not utilize derivatives or derivative strategies to hedge certain risks or to reduce the financial exposure of price volatility. As a result, we may not prevent certain material adverse impacts that could have been mitigated through the use of derivative strategies.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risks could adversely affect our business.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we continue to increase our dependence on information technologies to conduct our operations the risks associated with cybersecurity also increase. Cybersecurity breaches may be the result of, among other things, negligent or unauthorized activity by our employees or by third parties who use cyber-attack techniques involving malware, ransomware, hacking and phishing. Such cyber-attacks continue to increase in frequency and potential harm, and the methods used to gain unauthorized access evolve, making it increasingly difficult to anticipate, prevent, and detect incidents. We rely on our enterprise resource planning software and other information systems, among other things, to manage our manufacturing, supply chain, accounting and financial functions. Additionally, third parties on whose systems we place significant reliance for the conduct of our business are also subject to cybersecurity risks. We are significantly dependent upon internet connectivity and a third-party cloud hosting vendor. We have implemented security procedures and measures in order to protect our information from being vulnerable to theft, loss, damage or interruption from a number of potential sources or events. Although we believe these measures and procedures are appropriate, we may not have the resources or technical sophistication to anticipate, prevent, or recover from rapidly evolving types of cyber-attacks, including the risks from emerging technologies like artificial intelligence. Compromises to our information systems could have an adverse effect on our business, results of operations, liquidity and financial condition.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engage in certain strategic transactions which may adversely affect our financial condition.</w:t>
      </w:r>
    </w:p>
    <w:p>
      <w:pPr>
        <w:spacing w:after="0" w:line="121"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An important part of our business strategy is the acquisition of strategic assets or companies. Our management is currently evaluating and pursuing certain such opportunities, and from time to time separately provides indications of interest in respect of similar transactions, which may be significant. Any such discussions may or may not result in the consummation of a transaction, and we may not be able to identify or complete any of these potential acquisitions. We cannot predict the effect, if any, that any announcement or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 w:name="page16"/>
    <w:bookmarkEnd w:id="15"/>
    <w:p>
      <w:pPr>
        <w:ind w:right="200"/>
        <w:spacing w:after="0" w:line="282" w:lineRule="auto"/>
        <w:rPr>
          <w:sz w:val="20"/>
          <w:szCs w:val="20"/>
          <w:color w:val="auto"/>
        </w:rPr>
      </w:pPr>
      <w:r>
        <w:rPr>
          <w:rFonts w:ascii="Times New Roman" w:cs="Times New Roman" w:eastAsia="Times New Roman" w:hAnsi="Times New Roman"/>
          <w:sz w:val="18"/>
          <w:szCs w:val="18"/>
          <w:color w:val="auto"/>
        </w:rPr>
        <w:t>consummation of a transaction would have on the price of our securities. While the documents governing our indebtedness include certain restrictions on our ability to finance any acquisitions of new assets, such restrictions contain various exceptions and limitations.</w:t>
      </w:r>
    </w:p>
    <w:p>
      <w:pPr>
        <w:spacing w:after="0" w:line="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There is no guarantee that any such transactions will be successful or, even if consummated, improve our operating results. We may incur costs, breakage fees or other expenses in connection with any such transactions or may not be able to obtain the necessary financing for such transactions on acceptable terms. Accordingly, any such transactions may ultimately have a material adverse effect on our operating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any future acquisitions could present a number of risks, including:</w:t>
      </w:r>
    </w:p>
    <w:p>
      <w:pPr>
        <w:spacing w:after="0" w:line="27"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using management time and resources to pursue acquisitions that are not successfully completed;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incorrect assumptions regarding the future results of acquired operations or business;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failing to integrate the operations or management of any acquired operations or assets successfully and timely;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diversion of management’s attention from existing operations or other priorities.</w:t>
      </w:r>
    </w:p>
    <w:p>
      <w:pPr>
        <w:spacing w:after="0" w:line="9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we are unsuccessful in integrating acquisitions in a timely and cost-effective manner, our financial condition and results of operations could be adversely affected.</w:t>
      </w:r>
    </w:p>
    <w:p>
      <w:pPr>
        <w:spacing w:after="0" w:line="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Industry and Markets</w:t>
      </w:r>
    </w:p>
    <w:p>
      <w:pPr>
        <w:spacing w:after="0" w:line="11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and customers are sensitive to adverse economic cycles and a prolonged deterioration of global market and economic conditions could have a material adverse effect on our business, financial condition, results of operations and cash flow</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From time to time, our business is affected by cyclical factors such as inflation, currency exchange rates, global energy policy and costs, regulatory policies (including tariffs), global market conditions and economic downturns in specific industries. Certain sales are sensitive to the level of activity in the agricultural, mining, automotive and housing industries. Therefore, substantial changes in these macroeconomic factors could adversely affect our operating results, liquidity, financial condition and capital resources.</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slowdown of, or persistent weakness in, economic activity caused by a deterioration of global market and economic conditions could adversely affect our business in the following ways, among others: conditions in the credit markets could impact the ability of our customers and their customers to obtain sufficient credit to support their operations; the failure of our customers to fulfill their purchase obligations could result in increases in bad debts and affect our working capital; and the failure of certain key suppliers could increase our exposure to disruptions in supply or to financial losses. We also may experience declining demand and falling prices for some of our products due to our customers’ reluctance to replenish inventories. The overall impact of a global economic downturn or reduced overall global trade on us is difficult to predict, and our business could be materially adversely impacted.</w:t>
      </w:r>
    </w:p>
    <w:p>
      <w:pPr>
        <w:spacing w:after="0" w:line="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conditions in the international market for nitrogen fertilizer significantly influence our operating results. The international market for fertilizers is influenced by such factors as the global supply and demand balance for each product and changes in the volume of international trade, the relative value of the United States currency and its impact on the importation of fertilizers, foreign agricultural policies, the existence of, or changes in, import duties (including tariffs, anti-dumping duties and counter-vailing duties) or foreign currency exchange barriers in certain foreign markets and other regulatory policies of foreign governments, as well as the United States laws and policies affecting foreign trade and investment.</w:t>
      </w:r>
    </w:p>
    <w:p>
      <w:pPr>
        <w:spacing w:after="0" w:line="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For example, the United States government recently announced and, in some cases, implemented tariffs on certain products from various countries, which resulted in certain affected countries imposing or threatening to impose retaliatory or reciprocal tariffs on products from the United States, including agricultural products such as corn. The trade policies and tariff initiatives of the current Presidential administration could adversely affect certain markets within which we operate. Specifically, the imposition of tariffs on agricultural products, including any retaliatory or reciprocal tariffs imposed by other countries, could impact the selling prices of our products or the cost of imported components or equipment used in our capital activities. In addition, such policies could lead to reduced demand for agricultural and consumer products, increase input costs for our customers, and disrupt supply chains.</w:t>
      </w:r>
    </w:p>
    <w:p>
      <w:pPr>
        <w:spacing w:after="0" w:line="7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ultimate impact of changing trade policies on our business will depend on various factors, including the magnitude, duration and nature of tariffs. While we actively monitor these developments, we may not be able to fully mitigate the adverse impact of potential tariff initiatives or other trade-related disruptions.</w:t>
      </w:r>
    </w:p>
    <w:p>
      <w:pPr>
        <w:spacing w:after="0" w:line="6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recent years, both the United States and many other countries have experienced higher than normal inflation, which, in turn, lead to increased costs in multiple industry segments, including agriculture and related industries. The persistence of inflation had led central bankers to increase interest rates within their regions although the Federal Reserve has implemented rate cuts during the past year. While inflation has decreased, there remain various factors that can cause prices to rise again. There is no guarantee that current monetary policy will arrest inflationary pressures. Further, these factors, taken together with reduced productivity and constraints on the labor supply could lead to recessionary periods in the regions in which the Company does business. While we will take measures within our control to manage the effects of inflation, higher interest rates and other factors, ultimately, they are outside of our control. Further, the persistence and/or severity of one or more of them could adversely affect our financial performance and/or operations.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An increase of imported nitrogen based products could adversely affect our business.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Russia, Northern Africa and the Middle East have substantial capacity to produce and export fertilizers. Producers in some of these countries and regions also benefit from below-market prices for natural gas, due to government regulation and other factors.</w:t>
      </w:r>
    </w:p>
    <w:p>
      <w:pPr>
        <w:spacing w:after="0" w:line="54"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addition, producers in China have substantial capacity to produce and export ammonia and urea. Depending on various factors, including prevailing prices from other exporters, the price of coal and regulatory policies, including the limitation of export volumes through quotas, higher volumes of urea from China could be imported into the U.S. at prices that could have an adverse effect on the selling prices of other nitrogen products, including the nitrogen products we manufacture and sell.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Adverse weather conditions and climate change could adversely affect our business.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products (primarily agricultural) produced and sold by us have been in the past, and could be in the future, materially affected by adverse weather conditions (such as excessive rain or drought) in the primary markets for our fertilizer and related agricultural products. In addition, weather can cause an interruption to the operations of our chemical facilities. Over the course of the past several years, global climate conditions have become increasingly inconsistent, volatile and unpredictable. Many of the regions in which we do business have variously experienced excessive moisture, cold, drought and/or heat of an unprecedented nature at various times of the year. In some cases, these conditions have either reduced or obviated the need for our products, particularly in the agriculture space, whether pre-plant, at-plant, post-emergent or at harvest. Due to the unpredictable nature of these conditions, we have observed growers and distributors becoming increasingly conservative in procurement practices and the accumulation of inventory. Further, the unpredictable nature of climactic change has made it increasingly difficult to forecast market demand and, consequently, financial performance, from year-to-year. There is no guarantee that climate change or its impacts will abate in the near future, and it is possible that such change will continue to hinder, or significantly further hinder, our ability to forecast sales performance with accuracy and otherwise adversely affect our financial performance.</w:t>
      </w:r>
    </w:p>
    <w:p>
      <w:pPr>
        <w:spacing w:after="0" w:line="8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Some scientists have concluded that increasing concentrations of greenhouse gases in the Earth’s atmosphere may produce climate changes that have significant physical effects, such as increased frequency and severity of storms, droughts and floods and other climatic events. If any such effects, whether anthropogenic or otherwise, were to occur in areas where we or our clients operate, they could have an adverse effect on our business, financial condition and results of operations. These climate changes might also occur as the result of other phenomena that human activity is unable to influence, including changes in solar activity and volcanic activity. Regardless of the cause, if any of these adverse weather events occur, or occur with greater frequency, during the primary seasons for sales of our agricultural products (March-June and September-November), this could have a material adverse effect on our agricultural sales and our financial condition and results of operations.</w:t>
      </w:r>
    </w:p>
    <w:p>
      <w:pPr>
        <w:spacing w:after="0" w:line="8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Natural disasters may also directly affect our physical facilities, especially our chemical facilities, or those of our suppliers or customers and could affect our sales, our production capability and our ability to deliver products to our customers. In the past, extreme weather such as severe storms, frigid cold temperatures, flooding and hurricanes affecting the Gulf Coast of the United States have negatively affected our operations and those of our customers. Any future natural disasters affecting the areas in which we or our suppliers or customers operation could negatively affect our business operations and financial performance.</w:t>
      </w:r>
    </w:p>
    <w:p>
      <w:pPr>
        <w:spacing w:after="0" w:line="71" w:lineRule="exact"/>
        <w:rPr>
          <w:sz w:val="20"/>
          <w:szCs w:val="20"/>
          <w:color w:val="auto"/>
        </w:rPr>
      </w:pPr>
    </w:p>
    <w:p>
      <w:pPr>
        <w:ind w:right="680"/>
        <w:spacing w:after="0" w:line="268" w:lineRule="auto"/>
        <w:rPr>
          <w:sz w:val="20"/>
          <w:szCs w:val="20"/>
          <w:color w:val="auto"/>
        </w:rPr>
      </w:pPr>
      <w:r>
        <w:rPr>
          <w:rFonts w:ascii="Times New Roman" w:cs="Times New Roman" w:eastAsia="Times New Roman" w:hAnsi="Times New Roman"/>
          <w:sz w:val="18"/>
          <w:szCs w:val="18"/>
          <w:b w:val="1"/>
          <w:bCs w:val="1"/>
          <w:color w:val="auto"/>
        </w:rPr>
        <w:t>Geopolitical conditions, including political turmoil and volatility, regional conflicts, terrorism and war have negatively affected and could negatively affect United States and foreign companies, the financial markets, the industries where we operate, our operations and our profitability.</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Geopolitical events, instability and terrorist attacks in the United States and elsewhere have in the past, and can in the future negatively affect our operations. For example, Russia’s occupation of Ukraine and the ongoing conflict in the Middle East have impacted our operations. While the occupation of Ukraine has had an effect on commodity prices and fertilizer supply (primarily ammonia and urea from Russia), there is no guarantee that the current conflict will not draw military intervention from other countries or further retaliation from Russia, which, in turn, could lead to a much larger conflict. It is possible that production volumes, supply chain and trade routes for our products that are traded globally, and the markets we currently serve, could be further adversely affected, which, in turn, could materially, adversely affect our business operations and financial performance. Instability in the Middle East, especially Iran, and in Venezuela, may impact global energy prices, in particular oil prices. This could impact United States oil and natural gas prices, which, in turn, could materially, adversely affect our business operations and financial performance.</w:t>
      </w:r>
    </w:p>
    <w:p>
      <w:pPr>
        <w:spacing w:after="0" w:line="8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Like other companies with major industrial facilities, we may be targets of terrorist activities. Many of our plants and facilities store significant quantities of ammonia and other materials that can be dangerous if mishandled. Any damage to infrastructure facilities, such as electric generation, transmission and distribution facilities, or injury to employees, who could be direct targets or indirect casualties of an act of terrorism, may affect our operations. Any disruption of our ability to produce or distribute our products could result in a significant decrease in revenues and significant additional costs to replace, repair or insure our assets, which could have a material adverse effect on our business, financial condition, results of operations and cash flows.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17" w:name="page18"/>
    <w:bookmarkEnd w:id="17"/>
    <w:p>
      <w:pP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Liquidity and Debt</w:t>
      </w:r>
    </w:p>
    <w:p>
      <w:pPr>
        <w:spacing w:after="0" w:line="1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generate sufficient cash to service our debt and may be required to take other actions to satisfy the obligations under our debt agreements, which may not be successful.</w:t>
      </w:r>
    </w:p>
    <w:p>
      <w:pPr>
        <w:spacing w:after="0" w:line="5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ability to make scheduled payments on our debt obligations depends on our financial condition and operating performance, prevailing economic and competitive conditions, and certain financial, business and other factors, some of which may be beyond our control.</w:t>
      </w:r>
    </w:p>
    <w:p>
      <w:pPr>
        <w:spacing w:after="0" w:line="54"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For example, we may not be able to maintain a level of cash flows sufficient to pay the principal and interest on our debt, including the $438.6 million principal amount of our 6.25% senior secured notes due 2028 (the “Senior Secured Notes”). In addition, if we were to draw on our Revolving Credit Facility, such borrowings would be at variable rates of interest and expose us to interest rate risk.</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cash flows and capital resources are insufficient to fund our debt obligations, we could face substantial liquidity problems and will need to seek additional capital through the issuance of debt, the issuance of equity, asset sales or a combination of the foregoing. If we are unsuccessful, we will need to reduce or delay investments and capital expenditures, dispose of other assets or operations, seek additional capital, or restructure or refinance debt. These alternative measures may not be successful, may not be completed on economically attractive terms, or may not be adequate for us to meet our debt obligations when due. Additionally, our debt agreements limit the use of the proceeds from many dispositions of assets or operations. As a result, we may not be permitted to use the proceeds from these dispositions to satisfy our debt obligations. If we cannot make scheduled payments on our debt, we will be in default and the outstanding principal and interest on our debt could be declared to be due and payable, in which case we could be forced into bankruptcy or liquidation or required to substantially restructure or alter our business operations or debt obligations. In such an event, we may not have sufficient assets to repay all of our debt.</w:t>
      </w:r>
    </w:p>
    <w:p>
      <w:pPr>
        <w:spacing w:after="0" w:line="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 if we suffer or appear to suffer from a lack of available liquidity, the evaluation of our creditworthiness by counterparties and rating agencies and the willingness of third parties to do business with us could be materially and adversely affected. In particular, our credit ratings could be lowered, suspended or withdrawn entirely at any time by the rating agencies. Downgrades in long-term debt ratings generally cause borrowing costs to increase and the potential pool of investors and funding sources to decrease and could trigger liquidity demands pursuant to the terms of contracts, leases or other agreements. Any future transactions by us, including the issuance of additional debt, the sale of any operating assets, or any other transaction to manage our liquidity, could result in temporary or permanent downgrades of our credit ratings.</w:t>
      </w:r>
    </w:p>
    <w:p>
      <w:pPr>
        <w:spacing w:after="0" w:line="7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Our substantial indebtedness level could limit our financial and operating activities, and adversely affect our ability to incur additional debt to fund future needs.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have a substantial amount of indebtedness. As a result, this level could, among other things:</w:t>
      </w:r>
    </w:p>
    <w:p>
      <w:pPr>
        <w:spacing w:after="0" w:line="27" w:lineRule="exact"/>
        <w:rPr>
          <w:sz w:val="20"/>
          <w:szCs w:val="20"/>
          <w:color w:val="auto"/>
        </w:rPr>
      </w:pPr>
    </w:p>
    <w:p>
      <w:pPr>
        <w:ind w:left="1020" w:right="120" w:hanging="503"/>
        <w:spacing w:after="0" w:line="25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to the payment of principal and interest, thereby reducing the funds available for operations and future business opportunities;</w:t>
      </w: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including our repurchase obligations;</w:t>
      </w:r>
    </w:p>
    <w:p>
      <w:pPr>
        <w:spacing w:after="0" w:line="9" w:lineRule="exact"/>
        <w:rPr>
          <w:rFonts w:ascii="Times New Roman" w:cs="Times New Roman" w:eastAsia="Times New Roman" w:hAnsi="Times New Roman"/>
          <w:sz w:val="18"/>
          <w:szCs w:val="18"/>
          <w:color w:val="auto"/>
        </w:rPr>
      </w:pPr>
    </w:p>
    <w:p>
      <w:pPr>
        <w:ind w:left="1020" w:right="540" w:hanging="503"/>
        <w:spacing w:after="0" w:line="25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money if needed for other purposes, including working capital, capital expenditures, debt service requirements, acquisitions and general corporate or other purposes, on satisfactory terms or at all;</w:t>
      </w: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adjust to changing economic, business and competitive conditions;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with competitors who may have less indebtedness or greater access to financing;</w:t>
      </w:r>
    </w:p>
    <w:p>
      <w:pPr>
        <w:spacing w:after="0" w:line="9" w:lineRule="exact"/>
        <w:rPr>
          <w:rFonts w:ascii="Times New Roman" w:cs="Times New Roman" w:eastAsia="Times New Roman" w:hAnsi="Times New Roman"/>
          <w:sz w:val="18"/>
          <w:szCs w:val="18"/>
          <w:color w:val="auto"/>
        </w:rPr>
      </w:pPr>
    </w:p>
    <w:p>
      <w:pPr>
        <w:ind w:left="1020" w:right="780" w:hanging="503"/>
        <w:spacing w:after="0" w:line="25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us more vulnerable to an increase in interest rates, a downturn in our operating performance or a decline in general economic conditions; and</w:t>
      </w:r>
    </w:p>
    <w:p>
      <w:pPr>
        <w:ind w:left="1020" w:right="100" w:hanging="503"/>
        <w:spacing w:after="0" w:line="26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us more susceptible to changes in credit ratings, which could affect our ability to obtain financing in the future and increase the cost of such financing.</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foregoing could adversely affect our liquidity, operating results and financial condition.</w:t>
      </w:r>
    </w:p>
    <w:p>
      <w:pPr>
        <w:spacing w:after="0" w:line="113"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Our debt agreements and the Exchange Agreement contain covenants and impose restrictions on our business operations, and any breach of these covenants or restrictions could result in an event of default under one or more of our debt agreements or contracts at different entities within our capital structure, including as a result of cross acceleration or default provisions.</w:t>
      </w:r>
    </w:p>
    <w:p>
      <w:pPr>
        <w:spacing w:after="0" w:line="6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debt agreements and the Exchange Agreement contain various covenants and other restrictions that, among other things, limit flexibility in operating our businesses. These covenants and other restrictions limit our ability to, among other things:</w:t>
      </w: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 or issue preferred shares;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repurchase or make distributions in respect of capital stock, or make other restricted payments;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 certain capital expenditures;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transfer assets;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assets to secure debt;</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fundamental corporate changes or changes to our business activities;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material acquisitions;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8" w:name="page19"/>
    <w:bookmarkEnd w:id="18"/>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sell or otherwise dispose of all or substantially all of our assets;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subsidiaries as unrestricted subsidiaries;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 repurchase or modify certain subordinated and other material debt.</w:t>
      </w:r>
    </w:p>
    <w:p>
      <w:pPr>
        <w:spacing w:after="0" w:line="9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Revolving Credit Facility also contains certain affirmative covenants and requires the borrowers to comply with a fixed charge coverage ratio (as defined in the Revolving Credit Facility) if their excess availability (as defined in the Revolving Credit Facility) falls below a certain level.</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covenants and restrictions could affect our ability to operate our business and may limit our ability to react to market conditions or take advantage of potential business opportunities as they arise. Additionally, our ability to comply with these covenants may be affected by events beyond our control, including general economic and credit conditions and industry downturns. A breach of any of these covenants or restrictions could result in a significant portion of our debt becoming due and payable or could result in significant contractual liability.</w:t>
      </w:r>
    </w:p>
    <w:p>
      <w:pPr>
        <w:spacing w:after="0" w:line="7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addition, certain failures to make payments when due on, or the acceleration of, significant indebtedness constitutes a default under some of our debt instruments, including the Indenture governing the Senior Secured Notes. Further, a breach of any of the covenants or restrictions in a debt instrument could result in an event of default under such debt instrument. Upon the occurrence of an event of default under one of these debt instruments, our lenders or noteholders could elect to declare all amounts outstanding under such debt instrument to be immediately due and payable and/or terminate all commitments to extend further credit. Such actions by those lenders or noteholders could cause cross defaults or accelerations under our other debt. If we were unable to repay those amounts, the lenders or noteholders could proceed against any collateral granted to them to secure such debt. In the case of a default under debt that is guaranteed, holders of such debt could also seek to enforce the guarantees. If lenders or noteholders accelerate the repayment of all borrowings, we would likely not have sufficient assets and funds to repay those borrowings. Such occurrence could result in our or our applicable subsidiary going into bankruptcy, liquidation or insolvency.</w:t>
      </w:r>
    </w:p>
    <w:p>
      <w:pPr>
        <w:spacing w:after="0" w:line="76"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color w:val="auto"/>
        </w:rPr>
        <w:t>Despite our current levels of debt, we may still incur more debt ranking senior or equal in right of payment with our existing obligations, including secured debt, which would increase the risks described herein.</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agreements relating to our debt, including the Indenture governing the Senior Secured Notes and the credit agreement governing our Revolving Credit Facility, limit but do not prohibit our ability to incur additional debt, including additional secured debt. Notwithstanding the fact that the Indenture governing the Senior Secured Notes and the credit agreement governing our Revolving Credit Facility limit our ability to incur additional debt or grant certain liens on our assets, the restrictions on the incurrence of additional indebtedness and liens are subject to a number of important qualifications and exceptions, and the additional indebtedness and liens incurred in compliance with these restrictions could be substantial. If new debt is added to our current debt levels, the related risks that we now face could intensify.</w:t>
      </w:r>
    </w:p>
    <w:p>
      <w:pPr>
        <w:spacing w:after="0" w:line="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Legal, Regulatory and Compliance Matters</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Current and future legislative or regulatory requirements affecting our business may result in increased costs and decreased revenues, cash flows and liquidity or could have other negative effects on our business.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business is subject to numerous health, safety, security and environmental laws and regulations. The manufacture, storage, handling and distribution of chemical products entail health, safety and environmental risks and impose obligations under health, safety and environmental laws and regulations, many of which provide for substantial fines, injunctive relief and potential criminal sanctions for violations. Although we believe we have established processes to monitor, review and manage our businesses to comply with the numerous health, safety and environmental laws and regulations, we previously were, and in the future, may be, subject to fines, penalties, sanctions and injunctive relief for violations and substantial expenditures for cleanup costs and other liabilities relating to the handling, manufacture, use, storage, emission, release, discharge or disposal of wastes, pollutants, effluents, hazardous substances, and other materials at or from our present and former chemical facilities, or where third-party sites where we disposed our wastes. Further, a number of our facilities are dependent on environmental permits to operate, the loss, or inability to renew or modification of which could have a material adverse effect on our ability to operate those facilities and, as a result, a material adverse effect on our results of operations and financial condition. These operating permits are subject to modification, renewal and revocation. In addition, third parties may contest our ability to receive or renew certain permits that we need to operate, which can lengthen the application process or even prevent us from obtaining necessary permits. Delays in obtaining permits or unanticipated permit conditions could delay projects, increase the costs of operations or make operations unfeasible. We regularly monitor and review our operations, procedures and policies for compliance with permits, laws and regulations. Despite these compliance efforts, risk of noncompliance, the risk of loss or modification of permits or changing regulatory or permit interpretation is inherent in the operation of our business.</w:t>
      </w:r>
    </w:p>
    <w:p>
      <w:pPr>
        <w:spacing w:after="0" w:line="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There can be no assurance as to the amount or timing of future expenditures for environmental compliance or remediation, and actual future expenditures may be different from the amounts we currently anticipate. Environmental requirements change frequently and are subject to interpretation. New requirements or interpretations along with the expanding scope of regulation may increase our future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9" w:name="page20"/>
    <w:bookmarkEnd w:id="19"/>
    <w:p>
      <w:pPr>
        <w:ind w:right="120"/>
        <w:spacing w:after="0" w:line="282" w:lineRule="auto"/>
        <w:rPr>
          <w:sz w:val="20"/>
          <w:szCs w:val="20"/>
          <w:color w:val="auto"/>
        </w:rPr>
      </w:pPr>
      <w:r>
        <w:rPr>
          <w:rFonts w:ascii="Times New Roman" w:cs="Times New Roman" w:eastAsia="Times New Roman" w:hAnsi="Times New Roman"/>
          <w:sz w:val="18"/>
          <w:szCs w:val="18"/>
          <w:color w:val="auto"/>
        </w:rPr>
        <w:t>expenditures to comply with environmental requirements. We try to anticipate future regulatory requirements that might be imposed and plan accordingly to remain in compliance with changing environmental laws and regulations and to minimize the costs of compliance.</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Changes to the production equipment at our chemical facilities that are required in order to comply with health, safety and environmental regulations may require substantial capital expenditures.</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Explosions, release incidents, and/or losses at other chemical facilities that we do not own or operate (such as the April 2013 explosion in West, Texas) could also result in new or additional legislation or regulatory changes, particularly relating to public health, safety or any of the products manufactured and/or sold by us or the inability on the part of our customers to obtain or maintain insurance as to certain products manufactured and/or sold by us, which could have a negative effect on our revenues, cash flow and liquidity.</w:t>
      </w:r>
    </w:p>
    <w:p>
      <w:pPr>
        <w:spacing w:after="0" w:line="7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summary, new or changed laws and regulations or the inability of our customers to obtain or maintain insurance in connection with any of our chemical products could have an adverse effect on our operating results, liquidity and financial condition.</w:t>
      </w:r>
    </w:p>
    <w:p>
      <w:pPr>
        <w:spacing w:after="0" w:line="5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Additionally, under the Comprehensive Environmental Response, Compensation, and Liability Act or similar state statutes, we may be required to conduct environmental investigation and remediation (and pay for natural resource damages) at presently or formerly owned or operated sites or at sites at which materials from our operations have been disposed or released. Such liability is strict and joint and several, meaning that we may be required to pay a disproportionate share of remediation costs if other responsible parties are unable to pay. Additionally, we could be required to conduct additional cleanup at sites where we previously participated in remediation efforts in response to new information or new regulatory requirements. Although we cannot presently provide a precise estimate of the ultimate cost of the exposure with respect to investigation and remediation obligations, we make accruals as warranted and we do not believe that the reasonably possible range of loss in excess of accruals would be material to our operations. However, given the uncertainties inherent to any estimation of remediation costs, potential changing regulations, the uncertainties of litigation and other factors, the ultimate amounts that we pay or expend could vary significantly from the amount we accrue and have a material impact on our business and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have adequate insurance.</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While we maintain liability, property and business interruption insurance, including certain coverage for environmental contamination, it is subject to coverage limits and policies that may exclude coverage for some types of damages. Although there may currently be sources from which such coverage may be obtained, the coverage may not continue to be available to us on commercially reasonable terms or the possible types of liabilities that may be incurred by us may not be covered by our insurance. In addition, our insurance carriers may not be able to meet their obligations under the policies, or the dollar amount of the liabilities may exceed our policy limits. Even a partially uninsured claim, if successful and of significant magnitude, could have a material adverse effect on our business, results of operations, financial condition and liquidity.</w:t>
      </w:r>
    </w:p>
    <w:p>
      <w:pPr>
        <w:spacing w:after="0" w:line="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Furthermore, we are subject to litigation for which we could be obligated to bear legal, settlement and other costs, which may be in excess of any available insurance coverage. If we are required to incur all or a portion of the costs arising out of any litigation or investigation as a result of inadequate insurance proceeds, if any, our business, results of operations, financial condition and liquidity could be materially adversely affected. For further discussion of our litigation, please see “</w:t>
      </w:r>
      <w:r>
        <w:rPr>
          <w:rFonts w:ascii="Times New Roman" w:cs="Times New Roman" w:eastAsia="Times New Roman" w:hAnsi="Times New Roman"/>
          <w:sz w:val="18"/>
          <w:szCs w:val="18"/>
          <w:i w:val="1"/>
          <w:iCs w:val="1"/>
          <w:color w:val="auto"/>
        </w:rPr>
        <w:t>Other Pending, Threatened or Settled Litigation</w:t>
      </w:r>
      <w:r>
        <w:rPr>
          <w:rFonts w:ascii="Times New Roman" w:cs="Times New Roman" w:eastAsia="Times New Roman" w:hAnsi="Times New Roman"/>
          <w:sz w:val="18"/>
          <w:szCs w:val="18"/>
          <w:color w:val="auto"/>
        </w:rPr>
        <w:t>” in Note 7 – Commitments and Contingencies to the Consolidated Financial Statements included in this report.</w:t>
      </w:r>
    </w:p>
    <w:p>
      <w:pPr>
        <w:spacing w:after="0" w:line="7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We may be required to modify or expand our operating, sales and reporting procedures and to install additional equipment in order to comply with current and possible future government regulations.</w:t>
      </w:r>
    </w:p>
    <w:p>
      <w:pPr>
        <w:spacing w:after="0" w:line="5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chemical industry in general, and producers and distributors of ammonia and AN specifically, are scrutinized by the government, industry and public on security issues. Under current and proposed regulations, we may be required to incur substantial additional costs relating to security at our chemical facilities and distribution centers, as well as in the transportation of our products. These costs could have a material effect on our results of operations, financial condition, and liquidity. The cost of such regulatory changes, if significant, could lead some of our customers to choose other products over ammonia and AN, which may have a significant adverse effect on our business.</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“Secure Handling of Ammonium Nitrate Act of 2007” was enacted by the United States Congress and directs the Department of Homeland Security (“DHS”) to regulate the sale, transfer, and possession of ammonium nitrate. Subsequently, DHS published a notice of proposed rulemaking in 2011 that would require sellers, buyers, their agents and transporters of solid AN and certain solid mixtures containing AN to possess a valid registration issued by DHS, keep certain records, report the theft or unexplained loss of regulated materials, and comply with certain other new requirements. We and others affected by this proposal submitted appropriate comments to DHS regarding the proposed regulation. The regulation was not finalized, and DHS has indicated that its next action, and the timing of such an action, is undetermined. It is possible that DHS could again propose similar or revised requirements. Depending on the provisions of any promulgated regulation by DHS and on our ability to pass these costs to our customers, these requirements may have a negative effect on the profitability of our AN business and may result in fewer distributors who are willing to handle the product.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0" w:name="page21"/>
    <w:bookmarkEnd w:id="20"/>
    <w:p>
      <w:pPr>
        <w:ind w:right="60"/>
        <w:spacing w:after="0" w:line="255" w:lineRule="auto"/>
        <w:rPr>
          <w:sz w:val="20"/>
          <w:szCs w:val="20"/>
          <w:color w:val="auto"/>
        </w:rPr>
      </w:pPr>
      <w:r>
        <w:rPr>
          <w:rFonts w:ascii="Times New Roman" w:cs="Times New Roman" w:eastAsia="Times New Roman" w:hAnsi="Times New Roman"/>
          <w:sz w:val="18"/>
          <w:szCs w:val="18"/>
          <w:color w:val="auto"/>
        </w:rPr>
        <w:t>On August 1, 2013, United States President Obama issued an executive order addressing the safety and security of chemical facilities in response to recent incidents involving chemicals such as the explosion at West, Texas. The President directed federal agencies to enhance existing regulations and make recommendations to the United States Congress to develop new laws that may affect our business. In January 2016, the United States Chemical Safety and Hazard Investigation Board (“CSB”) released its final report on the West, Texas incident. The CSB report identifies several federal and state regulations and standards that could be strengthened to reduce the risk of a similar incident occurring in the future. While the CSB does not have authority to directly regulate our business (beyond accidental release reporting), the findings in this report, and other activities taken in response to the West, Texas incident by federal, state, and local regulators may result in additional regulation of our processes and products.</w:t>
      </w:r>
    </w:p>
    <w:p>
      <w:pPr>
        <w:spacing w:after="0" w:line="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2024, the United States EPA finalized revisions to its Risk Management Program (“RMP”) under Section 112(r) of the Clean Air Act. The revisions are the results of many years of back-and-forth among changing administrations. The current RMP rule includes requirements for certain facilities to perform hazard analyses including a safer technologies and alternatives analysis, an analysis of natural hazards, third-party auditing in certain circumstances, increased transparency (including incident reports and making certain information publicly available), and new emergency response requirements. Although the new rule was effective in 2024, many of the new requirements have a 2027 implementation timeline. The Occupational Safety and Health Administration is likewise considering changes to its Process Safety Management standards. In addition, DHS, the EPA, and the Bureau of Alcohol, Tobacco, Firearms and Explosives updated a joint chemical advisory on the safe storage, handling, and management of AN. While these actions may result in additional regulatory requirements or changes to our operators, it is difficult to predict at this time how these and any other possible regulations, if and when adopted, will affect our business, operations, liquidity or financial results.</w:t>
      </w:r>
    </w:p>
    <w:p>
      <w:pPr>
        <w:spacing w:after="0" w:line="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Proposed and existing governmental laws and regulations relating to greenhouse gas and other air emissions may subject certain of our operations and customers to significant new costs and restrictions on their operations and may reduce sales of our products.</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chemical manufacturing facilities use significant amounts of electricity, natural gas and other raw materials necessary for the production of their chemical products that result, or could result, in certain greenhouse gas emissions into the environment. Federal and state legislatures and administrative agencies, including the EPA, are considering the scope and scale of greenhouse gas or other air emission regulation. Legislation and administrative actions have been considered that would regulate greenhouse gas emissions at some point in the future for our facilities, and existing and possible actions have already affected certain of our customers, leading to closure or rate reductions of certain facilities.</w:t>
      </w:r>
    </w:p>
    <w:p>
      <w:pPr>
        <w:spacing w:after="0" w:line="75"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In response to findings that emissions of carbon dioxide, methane and other greenhouse gases present an endangerment to public health and the environment, the EPA adopted regulations pursuant to the federal Clean Air Act to reduce greenhouse gas emissions from various sources. For example, the EPA requires certain large stationary sources to obtain preconstruction and operating permits for pollutants regulated under the Prevention of Significant Deterioration and Title V programs of the Clean Air Act. Facilities required to obtain preconstruction permits for such pollutants are also required to meet “best available control technology” standards that are being established by the states. These regulatory requirements could adversely affect our operations and restrict or delay our ability to obtain air permits for new or modified sources. The Trump administration has directed EPA to reevaluate its endangerment finding relating to greenhouse gases and has generally signaled a desire to engage in less regulation targeted at climate change. The ultimate outcome of the new administration’s position and its impact on our operations or the operations of our customers cannot be predicted at this time.</w:t>
      </w:r>
    </w:p>
    <w:p>
      <w:pPr>
        <w:spacing w:after="0" w:line="6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Greenhouse gas regulation could: increase the price of the electricity and other energy sources purchased by our chemical facilities; increase costs for natural gas and other raw materials (such as ammonia); potentially restrict access to or the use of certain raw materials necessary to produce our chemical products; and require us to incur substantial expenditures to retrofit our chemical facilities to comply with the proposed new laws and regulations regulating greenhouse gas emissions. Federal, state and local governments may also pass laws mandating the use of alternative energy sources, such as wind power and solar energy, which may increase the cost of energy use in certain of our chemical and other manufacturing operations. For example, over time, the EPA has promulgated rules seeking to limit greenhouse gases from electric power plants. Various of these rules have been either struck down in court or repealed with changes in administration. The EPA’s most recent attempt to limit greenhouse gasses from power plants was finalized in 2024 and was subject to immediate legal challenge. Should the rule be upheld, it could result in increased electricity costs and increased operating restrictions.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Laws, regulations or other issues related to climate change could have a material adverse effect on us.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we, or other companies with which we do business become subject to laws or regulations related to climate change, it could have a material adverse effect on us. The United States may enact new laws, regulations and interpretations relating to climate change, including potential cap-and-trade systems, carbon taxes and other requirements relating to reporting and reduction of carbon footprints and/or greenhouse gas emissions. Other countries have enacted climate change laws and regulations, and the United States has been involved in discussions regarding international climate change treaties, although the continued commitment to such treaties is uncertain under the Trump administration. The federal government and some of the states and localities in which we operate have considered or have enacted certain climate change laws and regulations relating to greenhouse gas emissions or requiring disclosure of</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1" w:name="page22"/>
    <w:bookmarkEnd w:id="21"/>
    <w:p>
      <w:pPr>
        <w:ind w:right="140"/>
        <w:spacing w:after="0" w:line="256" w:lineRule="auto"/>
        <w:rPr>
          <w:sz w:val="20"/>
          <w:szCs w:val="20"/>
          <w:color w:val="auto"/>
        </w:rPr>
      </w:pPr>
      <w:r>
        <w:rPr>
          <w:rFonts w:ascii="Times New Roman" w:cs="Times New Roman" w:eastAsia="Times New Roman" w:hAnsi="Times New Roman"/>
          <w:sz w:val="18"/>
          <w:szCs w:val="18"/>
          <w:color w:val="auto"/>
        </w:rPr>
        <w:t>greenhouse gas emissions. Although these laws and regulations have not had any known material adverse effect on us to date, they could result in substantial costs, including compliance costs, monitoring and reporting costs and capital. Furthermore, our reputation could be damaged if we violate climate change laws or regulations. We cannot predict how future laws and regulations, or future interpretations of current laws and regulations, related to climate change will affect our business, results of operations, liquidity and financial condition. Lastly, the potential physical impacts of climate change on our operations are highly uncertain and would be particular to the geographic circumstances in areas in which we operate. These may include changes in rainfall and storm patterns and intensities, water shortages and changing temperatures. Any of these matters could have a material adverse effect on us.</w:t>
      </w:r>
    </w:p>
    <w:p>
      <w:pPr>
        <w:spacing w:after="0" w:line="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Human 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of key personnel and other employees, including those with engineering and technical expertise, could negatively affect our business.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performance has been and will continue to be dependent upon the efforts of our executive officers. We cannot ensure that our executive officers will continue to be available. Although we have employment agreements with certain of our executive officers, including Mark T. Behrman and Cheryl A. Maguire, we do not have employment agreements with all of our key personnel. The loss of any of our executive officers could have a material adverse effect on us. We believe that our future success will depend in large part on our continued ability to attract and retain highly skilled and qualified personnel.</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our success depends upon our attracting and retaining skilled engineering personnel and others with technical expertise. Competition for such skilled personnel in our industry is high, especially for engineers and project managers who must reside in proximity to our facilities, which are in rural and less populated areas. As a result, we may experience higher than anticipated levels of employee attrition and may not be able to hire sufficiently qualified personnel in adequate numbers to meet our needs. Employee turnover and associated costs of rehiring, the loss of human capital and expertise through attrition and the reduced ability to attract talent could impair our ability to operate our business.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collective bargaining agreements with certain employees.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Approximately 28% of our employees are covered by collective bargaining agreements. We may not be able to renew our collective bargaining agreements on terms similar to current terms or renegotiate collective bargaining agreements on terms acceptable to us. The prolonged failure to renew or renegotiate a collective bargaining agreement could result in work stoppages. Additionally, if a collective bargaining agreement is negotiated at higher-than-anticipated cost, absorbing those costs or passing them through to customers in the form of higher prices may make us less competitive.</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Stockholders</w:t>
      </w:r>
    </w:p>
    <w:p>
      <w:pPr>
        <w:spacing w:after="0" w:line="11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Todd Boehly (“Boehly”), through an affiliate, has a significant influence over us, which could limit other stockholders’ ability to influence the outcome of key transactions, including a change of control.</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TLB-LSB, LLC (“TLB-LSB”), which is an affiliate of Boehly, beneficially owns, in the aggregate approximately 21% of our outstanding common stock as of December 31, 2025. Additionally, pursuant to the Board Representation and Standstill Agreement, as amended, TLB-LSB has certain board member nomination rights based on the size of our Board and TLB-LSB’s holdings. For as long as TLB-LSB continues to beneficially own a substantial percentage of the voting power of our outstanding common stock, Boehly and his affiliates will continue to have significant influence over us. For example, they will be able to strongly influence the election of all of the members of our Board and our business and affairs, including certain determinations with respect to mergers or other business combinations, the acquisition or disposition of assets, the incurrence of additional indebtedness, the issuance of additional shares of common stock or other equity securities, the repurchase or redemption of shares of our common stock and the payment of dividends.</w:t>
      </w:r>
    </w:p>
    <w:p>
      <w:pPr>
        <w:spacing w:after="0" w:line="8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Additionally, Boehly and his affiliates manage businesses across a range of industries and may acquire and hold interests in businesses that compete directly or indirectly with us. Boehly and his affiliates may also pursue acquisition opportunities that may be complementary to our business, and, as a result, those acquisition opportunities may not be available to us.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There can be no assurance that we will repurchase shares of common stock or that we will repurchase shares at favorable prices.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May 2023, our Board authorized a $150 million stock repurchase program. Total repurchase authority remaining under the repurchase program was $107 million as of December 31, 2025. The repurchase program may be suspended, terminated or modified at any time for any reason, including market conditions, the cost of repurchasing securities, the availability of alternative investment opportunities, liquidity, and other factors deemed appropriate. Under the repurchase program, we are authorized to purchase shares from time to time through open market or privately negotiated transactions. Such purchases may be made pursuant to Rule 10b5-1 plans or other means as determined by our management and in accordance with the requirements of the SEC. The repurchase program does not obligate us to purchase any particular number or type of securities. During 2025, we repurchased approximately 0.3 million shares of common stock at an average cost of $9.15 per share.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ind w:right="200"/>
        <w:spacing w:after="0" w:line="282" w:lineRule="auto"/>
        <w:rPr>
          <w:sz w:val="20"/>
          <w:szCs w:val="20"/>
          <w:color w:val="auto"/>
        </w:rPr>
      </w:pPr>
      <w:r>
        <w:rPr>
          <w:rFonts w:ascii="Times New Roman" w:cs="Times New Roman" w:eastAsia="Times New Roman" w:hAnsi="Times New Roman"/>
          <w:sz w:val="18"/>
          <w:szCs w:val="18"/>
          <w:color w:val="auto"/>
        </w:rPr>
        <w:t>Our stock repurchases will depend upon, among other factors, our cash balances and potential future capital requirements, results of operations, financial condition, and other factors that we may deem relevant. We can provide no assurance that we will repurchase stock at favorable prices, if at all.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a variety of factors that could discourage other parties from attempting to acquire us.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provides for a staggered Board and, except in limited circumstances, a two-thirds vote of outstanding voting shares to approve a merger, consolidation or sale of all, or substantially all, of our assets. In addition, we have entered into severance agreements with our executive officers and some of the executive officers of certain subsidiaries that provide, among other things, that if, within a specified period of time after the occurrence of a change in control of LSB, these officers are terminated, other than for cause, or the officer terminates his employment for good reason, the officer would be entitled to certain severance benefits. Certain of our debt instruments also provide special rights in a change of control, including in some cases the ability to be repaid in full or redeemed.</w:t>
      </w:r>
    </w:p>
    <w:p>
      <w:pPr>
        <w:spacing w:after="0" w:line="7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have authorized and unissued (including shares held in treasury) approximately 78.3 million shares of common stock and approximately 5.2 million shares of preferred stock as of December 31, 2025. These unissued shares could be used by our management to make it more difficult, and thereby discourage an attempt to acquire control of us.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foregoing provisions and agreements may discourage a third-party tender offer, proxy contest, or other attempts to acquire control of us and could have the effect of making it more difficult to remove incumbent management. In addition, Boehly, through his affiliates, has significant voting power and the Golsen Holders and Boehly, through his affiliates, have rights to designate board representatives, all of which may further discourage a third-party tender offer, proxy contest, or other attempts to acquire control of us.</w:t>
      </w:r>
    </w:p>
    <w:p>
      <w:pPr>
        <w:spacing w:after="0" w:line="7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Delaware has adopted an anti-takeover law which, among other things, will delay for three years business combinations with acquirers of 15% or more of the outstanding voting stock of publicly-held companies (such as us), unless:</w:t>
      </w:r>
    </w:p>
    <w:p>
      <w:pPr>
        <w:ind w:left="1020" w:right="480" w:hanging="503"/>
        <w:spacing w:after="0" w:line="250"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of the corporation approved the business combination that results in the stockholder becoming an invested stockholder;</w:t>
      </w: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acquirer owned at least 85% of the outstanding voting stock of such company prior to commencement of the transaction;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two-thirds of the stockholders, other than the acquirer, vote to approve the business combination after approval thereof by the Board; or</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corporation amend its articles of incorporation or by-laws electing not to be governed by this provision.</w:t>
      </w:r>
    </w:p>
    <w:p>
      <w:pPr>
        <w:spacing w:after="0" w:line="9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Future issuances or potential issuances of our common stock or preferred stock could adversely affect the price of our common stock and our ability to raise funds in new stock offerings and could dilute the percentage ownership or voting power of our common stockholders.</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Future sales of substantial amounts of our common stock, preferred stock or equity-related securities in the public market, or the perception that such sales could occur, could adversely affect prevailing trading prices of our common stock and could dilute the value of common stock held by our existing stockholders. No prediction can be made as to the effect, if any, that future sales of common stock, preferred stock, or equity-related securities, or the availability of shares of common stock for future sale will have on the trading price of our common stock. Such future sales could also significantly reduce the percentage ownership and voting power of our existing common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recognize the importance of developing, implementing, and maintaining robust cybersecurity measures to maintain the security, confidentiality, integrity, and availability of our business systems and commercially sensitive or confidential information. Our business depends on the proper functioning and availability of our information technology platforms, including communications and data processing systems. We are also required to effect electronic transmissions with third parties including clients, vendors and others with whom we do business, and with our Board. We also recognize that, as we continue to increase our dependence on information technologies to conduct our operations, the risks associated with cybersecurity also increase.</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utilize an enterprise-wide risk management process to identify, assess, track and manage risks faced by our organization. The Company’s Enterprise Risk Management Committee (the “ERM Committee”), is designated with the responsibility to direct our risk management program and to execute our risk management strategy, including cyber, technology, and third-party risk. To protect our information systems and operations from risks and to execute our cyber strategy, we use various security processes and technology tools that help identify, investigate, assess, prevent, and resolve potential vulnerabilities and security incidents in a timely manner. These include, but are not limited to, detection, monitoring and reporting processes and tools. Our team uses widely adopted methods and models to identify, evaluate, prioritize, and manage cyber and technology risks and develop and implement related information security safeguards. In partnership with third party advisors and consultants, we conduct regular reviews and tests of our program and leverage audits, penetration and vulnerability testing, cyber risk tabletops and security awareness trainings, and other business resilience exercises to evaluate the effectiveness of our program and improve our security measures. Our information security policies are designed to address current applicable legal requirements and to align with industry-recognized frameworks for cyber risk management. These standards cover physical, administrative, and technical safeguards and address a wide range of current cyber threats, including from third-party service providers. These policies and standards are reviewed and updated on a regular basis in order to respond to the constantly changing threat landscape.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Board of Directors considers cybersecurity to be a business risk and oversees enterprise-wide risks through the Audit Committee. The Audit Committee is designated by the Board with the responsibility for monitoring and reporting on management’s cybersecurity and risk management processes. The ERM Committee is the management-entity designated by the Chief Executive Officer with the responsibility to direct and execute our risk governance and strategy, including cyber and operational risk. This ERM Committee is composed of each of the Company’s Executive Vice Presidents and each of the Company’s Senior Vice Presidents. Our Senior Vice President and Treasurer chairs the ERM Committee. The Vice President for Information Technology (“IT”) leads the information security program, manages cyber governance and incident management.</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Vice President for IT and the Director of Infrastructure and Cybersecurity have over 45 years of combined information technology experience and over a decade of cybersecurity experience. The ERM Committee and Vice President for IT assess cyber risk and provide recommendations for management. The Chair of the ERM Committee and the Vice President for IT brief the Audit Committee regularly. These updates include an overview of cyber risk management activities, cyber threats, and key information security processes and mitigation efforts. The Chair of the Audit Committee provides regular reports to the Board on critical cyber risk and security topics presented to the Audit Committee by management. In addition, informal and ad hoc conversations about cyber risk and industry developments frequently occur among Board members and management.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Incident Management</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have implemented security procedures and measures in order to protect our information from theft, loss, damage or interruption from a number of potential sources or events. LSB maintains and tests an incident response plan that outlines steps for the containment, investigation of, response to and recovery from cybersecurity incidents. The plan also includes information pertaining to roles, responsibilities, and reporting process. This plan is a part of our formal, enterprise-wide crisis management process, which outlines a communication plan with executive leadership as well as guidelines for communication with the Board. During 2025, we did not experience a cybersecurity incident that resulted in a material adverse effect on our business strategy, results of operations, or financial condition; however, there can be no guarantee that we will not experience such an incident in the future. Although we make extensive efforts to maintain the security and integrity of our information systems and technology operations, these systems are subject to the cyber risk of incident or disruption, and there can be no assurance that our security safeguards, and those of our third-party providers, will prevent incidents to our or our third-party providers’ systems that could adversely affect our business. For a discussion of these risks,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General Risk Factors.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owned properties consist primarily of production facilities and former wholesale and retail distribution facilities. The following table presents our significant production facilities as of December 31, 2025:</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El Dorado Facility</w:t>
            </w:r>
          </w:p>
        </w:tc>
        <w:tc>
          <w:tcPr>
            <w:tcW w:w="14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Cherokee Facility</w:t>
            </w:r>
          </w:p>
        </w:tc>
        <w:tc>
          <w:tcPr>
            <w:tcW w:w="14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Pryor Facility</w:t>
            </w:r>
          </w:p>
        </w:tc>
      </w:tr>
      <w:tr>
        <w:trPr>
          <w:trHeight w:val="210"/>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Location</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El Dorado, AR</w:t>
            </w: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Cherokee, AL</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Pryor, OK</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Plant Area (acres)</w:t>
            </w:r>
          </w:p>
        </w:tc>
        <w:tc>
          <w:tcPr>
            <w:tcW w:w="16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150</w:t>
            </w:r>
          </w:p>
        </w:tc>
        <w:tc>
          <w:tcPr>
            <w:tcW w:w="1780" w:type="dxa"/>
            <w:vAlign w:val="bottom"/>
            <w:gridSpan w:val="2"/>
          </w:tcPr>
          <w:p>
            <w:pPr>
              <w:jc w:val="right"/>
              <w:ind w:right="615"/>
              <w:spacing w:after="0"/>
              <w:rPr>
                <w:sz w:val="20"/>
                <w:szCs w:val="20"/>
                <w:color w:val="auto"/>
              </w:rPr>
            </w:pPr>
            <w:r>
              <w:rPr>
                <w:rFonts w:ascii="Times New Roman" w:cs="Times New Roman" w:eastAsia="Times New Roman" w:hAnsi="Times New Roman"/>
                <w:sz w:val="18"/>
                <w:szCs w:val="18"/>
                <w:color w:val="auto"/>
              </w:rPr>
              <w:t>160</w:t>
            </w:r>
          </w:p>
        </w:tc>
        <w:tc>
          <w:tcPr>
            <w:tcW w:w="1600" w:type="dxa"/>
            <w:vAlign w:val="bottom"/>
            <w:gridSpan w:val="2"/>
          </w:tcPr>
          <w:p>
            <w:pPr>
              <w:jc w:val="right"/>
              <w:ind w:right="555"/>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Site Area (acres)</w:t>
            </w:r>
          </w:p>
        </w:tc>
        <w:tc>
          <w:tcPr>
            <w:tcW w:w="1640" w:type="dxa"/>
            <w:vAlign w:val="bottom"/>
            <w:shd w:val="clear" w:color="auto" w:fill="CFF0FC"/>
          </w:tcPr>
          <w:p>
            <w:pPr>
              <w:jc w:val="right"/>
              <w:ind w:right="533"/>
              <w:spacing w:after="0"/>
              <w:rPr>
                <w:sz w:val="20"/>
                <w:szCs w:val="20"/>
                <w:color w:val="auto"/>
              </w:rPr>
            </w:pPr>
            <w:r>
              <w:rPr>
                <w:rFonts w:ascii="Times New Roman" w:cs="Times New Roman" w:eastAsia="Times New Roman" w:hAnsi="Times New Roman"/>
                <w:sz w:val="18"/>
                <w:szCs w:val="18"/>
                <w:color w:val="auto"/>
              </w:rPr>
              <w:t>1,400</w:t>
            </w:r>
          </w:p>
        </w:tc>
        <w:tc>
          <w:tcPr>
            <w:tcW w:w="1780" w:type="dxa"/>
            <w:vAlign w:val="bottom"/>
            <w:gridSpan w:val="2"/>
            <w:shd w:val="clear" w:color="auto" w:fill="CFF0FC"/>
          </w:tcPr>
          <w:p>
            <w:pPr>
              <w:jc w:val="right"/>
              <w:ind w:right="535"/>
              <w:spacing w:after="0"/>
              <w:rPr>
                <w:sz w:val="20"/>
                <w:szCs w:val="20"/>
                <w:color w:val="auto"/>
              </w:rPr>
            </w:pPr>
            <w:r>
              <w:rPr>
                <w:rFonts w:ascii="Times New Roman" w:cs="Times New Roman" w:eastAsia="Times New Roman" w:hAnsi="Times New Roman"/>
                <w:sz w:val="18"/>
                <w:szCs w:val="18"/>
                <w:color w:val="auto"/>
              </w:rPr>
              <w:t>1,300</w:t>
            </w:r>
          </w:p>
        </w:tc>
        <w:tc>
          <w:tcPr>
            <w:tcW w:w="1600" w:type="dxa"/>
            <w:vAlign w:val="bottom"/>
            <w:gridSpan w:val="2"/>
            <w:shd w:val="clear" w:color="auto" w:fill="CFF0FC"/>
          </w:tcPr>
          <w:p>
            <w:pPr>
              <w:jc w:val="right"/>
              <w:ind w:right="515"/>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Site Status</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14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1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16"/>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Annual Ammonia Production Capacity (tons)</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493,000 (A)</w:t>
            </w: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188,000 (B)</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246,000 (C)</w:t>
            </w:r>
          </w:p>
        </w:tc>
      </w:tr>
      <w:tr>
        <w:trPr>
          <w:trHeight w:val="140"/>
        </w:trPr>
        <w:tc>
          <w:tcPr>
            <w:tcW w:w="622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_____________________________</w:t>
            </w: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r>
    </w:tbl>
    <w:p>
      <w:pPr>
        <w:spacing w:after="0" w:line="170"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ammonia production capacity is based on 1,350 tons per day of production for the year. The El Dorado Facility did not perform a Turnaround during 2025.</w:t>
      </w:r>
    </w:p>
    <w:p>
      <w:pPr>
        <w:spacing w:after="0" w:line="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ammonia production capacity is based on 515 tons per day of production for the year. The Cherokee Facility did not perform a Turnaround during 2025.</w:t>
      </w:r>
    </w:p>
    <w:p>
      <w:pPr>
        <w:spacing w:after="0" w:line="18"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ammonia production capacity is based on 675 tons per day of production for the year. The Pryor Facility did not perform a Turnaround during 2025.</w:t>
      </w:r>
    </w:p>
    <w:p>
      <w:pPr>
        <w:spacing w:after="0" w:line="11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For 2025, our facilities produced approximately 826,000 tons of ammonia, an increase from the prior year as a result of no Turnaround activity in 2025 compared to completing two Turnarounds in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currently lease the office space housing our headquarters in Oklahoma City, Oklahoma.</w:t>
      </w:r>
    </w:p>
    <w:p>
      <w:pPr>
        <w:spacing w:after="0" w:line="11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Most of our real property and equipment located at our chemical facilities are pledged as collateral to secure our long-term debt. All of the properties utilized by our businesses are suitable and adequate to meet the current needs of that business and relate to domestic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Industrial Matter</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2015, the Company received written notice from Global Industrial, Inc. (“Global”) of Global’s intention to assert mechanic liens for labor, service, or materials furnished under certain subcontract agreements for the construction of the ammonia plant (the “Ammonia Plant”) at our El Dorado Facility. Global was a subcontractor of Leidos Constructors, LLC (n/k/a Benham Constructors, LLC, and f/k/a SAIC Constructors, LLC) (“Benham”), the general contractor for the construction of the Ammonia Plant. Leidos Inc. (f/k/a Science Applications International Corporation) (“Leidos Inc.”) and Leidos Engineering, LLC (“Leidos Engineering” and, collectively with Benham and Leidos Inc., the “Leidos Entities”) Benham terminated the services of Global with respect to their work performed at our El Dorado Facility. We are pursuing the recovery of any damage or loss caused by Global’s work performed at our El Dorado Facility through their contract with the Leidos Entities. In March 2016, we were served a summons in a case styled </w:t>
      </w:r>
      <w:r>
        <w:rPr>
          <w:rFonts w:ascii="Times New Roman" w:cs="Times New Roman" w:eastAsia="Times New Roman" w:hAnsi="Times New Roman"/>
          <w:sz w:val="18"/>
          <w:szCs w:val="18"/>
          <w:i w:val="1"/>
          <w:iCs w:val="1"/>
          <w:color w:val="auto"/>
        </w:rPr>
        <w:t>Global Industrial,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d/b/a Global Turnaround vs. Leidos Constructors, LLC et al.</w:t>
      </w:r>
      <w:r>
        <w:rPr>
          <w:rFonts w:ascii="Times New Roman" w:cs="Times New Roman" w:eastAsia="Times New Roman" w:hAnsi="Times New Roman"/>
          <w:sz w:val="18"/>
          <w:szCs w:val="18"/>
          <w:color w:val="auto"/>
        </w:rPr>
        <w:t>, in the Circuit Court of Union County, Arkansas (the “Union County Trial Court”), wherein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sought damages under breach of contract and other claims (the “Action”). At the time of the summons, our accounts payable included invoices totaling approximately $3.5 million related to work performed by Global that is the subject of the claims asserted by Global, but such invoices were not approved by Benham for payment. We requested indemnification from the Leidos Entities under the terms of our contracts, which they denied. As a result, we are seeking reimbursement of legal expenses from the Leidos Entities under our contracts. We are also seeking damages from the Leidos Entities for their wrongdoing during the expansion, including breach of contract, fraud, professional negligence and gross negligence.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2018, the Union County Trial Court bifurcated the case into: (1) Global’s claims against the Leidos Entities and LSB and (2) the cross-claims between the Leidos Entities and LSB. Part (1) of the case was tried in the Union County Trial Court. In March 2020, the Union County Trial Court rendered a judgment and then an amended final judgment in April 2020. The amended final judgment awarded Global (i) approximately $7.4 million (including the $3.5 million referred to above) for labor, service and materials furnished relating to the Ammonia Plant on the basis of what the Union County Trial Court called a claim for “nonpayment of invoices,” (ii) approximately $1.3 million for prejudgment interest on the same claim, and (iii) a lien on certain property and foreclosure on the lien to satisfy the monetary obligations of the judgement. In addition, post-judgment interest was set to accrue at the annual rate of 4.25% until the judgment is paid. LSB appealed this judgment and on October 18, 2023, the Arkansas Court of Appeals reversed and remanded. The Arkansas Court of Appeal ruled that the lien was defective and therefore invalid, and that the claim for “nonpayment of invoices” was not a cause of action and reversed and remanded the judgment on that claim. In December 2023, the Arkansas Court of Appeal denied Global’s request for rehearing and the Arkansas Supreme Court declined to hear Global’s appeal. As a result, we do not expect to have any material continuing liability related to this matter and, in 2023, we reversed approximately $9.8 million of payables and accrued liabilities, which related to approximately $2.4 million in pre-and post-judgement accrued interest and $7.4 million of gross plant,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5" w:name="page26"/>
    <w:bookmarkEnd w:id="25"/>
    <w:p>
      <w:pPr>
        <w:jc w:val="both"/>
        <w:spacing w:after="0" w:line="266" w:lineRule="auto"/>
        <w:rPr>
          <w:sz w:val="20"/>
          <w:szCs w:val="20"/>
          <w:color w:val="auto"/>
        </w:rPr>
      </w:pPr>
      <w:r>
        <w:rPr>
          <w:rFonts w:ascii="Times New Roman" w:cs="Times New Roman" w:eastAsia="Times New Roman" w:hAnsi="Times New Roman"/>
          <w:sz w:val="18"/>
          <w:szCs w:val="18"/>
          <w:color w:val="auto"/>
        </w:rPr>
        <w:t>property and equipment. These adjustments also impacted our results of operations for the twelve months ended December 31, 2023, through the reversals of approximately $2.4 million of interest expense and of approximately $1.8 million in previously recognized depreciation expense (a component of cost of sales) on the related plant, property and equipment.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2025, the Company and Global reached a settlement where the Company waived all its remaining claims against Global in return for a full release of claims by Global and Global’s dismissal, with prejudice, of its claims against the Company.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intends to vigorously pursue its claims against the Leidos Entities and vigorously contest the cross-claims raised by the Leidos Entities. Trial for the remaining claims in this matter are scheduled to begin at the end of October 2026.</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also involved in various other claims and legal actions (including matters involving gain contingencies) in the ordinary course of our business. While it is possible that the actual claims results could differ from our estimates, after consultation with legal counsel, we believe that any such differences will not have a material effect on our business, financial condition, results of operations or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PART II</w:t>
      </w:r>
    </w:p>
    <w:p>
      <w:pPr>
        <w:spacing w:after="0" w:line="22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trading on the New York Stock Exchange under the symbol “LXU.”</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February 20, 2026, we had approximately 255 record holders of our common stock. This number is based on the actual number of holders registered at such date and does not include holders whose shares are held in “street name” by brokers and other nominees.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Discussions relating to our equity compensation plans under Item 12 of Part III are incorporated by reference to our definitive proxy statement which we intend to file with the SEC no later than 120 days after the end of the fiscal year covered by this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not paid cash dividends on our outstanding common stock in many years, and we do not currently anticipate paying cash dividends on our outstanding common stock in the near future. Our Board has not made a decision whether or not to pay dividends on our common stock in 2026.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were no sales of unregistered securities during the year ended December 31, 2025 that were not previously reported on a Quarterly Report on Form 10-Q or a Current Report on Form 8-K.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2025, we repurchased approximately 0.3 million shares at an average cost of $9.15 per share, all of which occurred during the three months ended December 31,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purchase of its common stock during the three months ended December 31, 2025:</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31" w:lineRule="exact"/>
        <w:rPr>
          <w:sz w:val="20"/>
          <w:szCs w:val="20"/>
          <w:color w:val="auto"/>
        </w:rPr>
      </w:pPr>
    </w:p>
    <w:p>
      <w:pPr>
        <w:ind w:right="740"/>
        <w:spacing w:after="0" w:line="276" w:lineRule="auto"/>
        <w:rPr>
          <w:sz w:val="20"/>
          <w:szCs w:val="20"/>
          <w:color w:val="auto"/>
        </w:rPr>
      </w:pPr>
      <w:r>
        <w:rPr>
          <w:rFonts w:ascii="Times New Roman" w:cs="Times New Roman" w:eastAsia="Times New Roman" w:hAnsi="Times New Roman"/>
          <w:sz w:val="17"/>
          <w:szCs w:val="17"/>
          <w:color w:val="auto"/>
        </w:rPr>
        <w:t>October 1 - October 31, 2025 November 1 - November 30, 2025</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 Maximum Number (or</w:t>
            </w:r>
          </w:p>
        </w:tc>
        <w:tc>
          <w:tcPr>
            <w:tcW w:w="0" w:type="dxa"/>
            <w:vAlign w:val="bottom"/>
          </w:tcPr>
          <w:p>
            <w:pPr>
              <w:spacing w:after="0"/>
              <w:rPr>
                <w:sz w:val="1"/>
                <w:szCs w:val="1"/>
                <w:color w:val="auto"/>
              </w:rPr>
            </w:pPr>
          </w:p>
        </w:tc>
      </w:tr>
      <w:tr>
        <w:trPr>
          <w:trHeight w:val="148"/>
        </w:trPr>
        <w:tc>
          <w:tcPr>
            <w:tcW w:w="1460" w:type="dxa"/>
            <w:vAlign w:val="bottom"/>
            <w:vMerge w:val="restart"/>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(a) Total Number of</w:t>
            </w: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(b) Average Price</w:t>
            </w:r>
          </w:p>
        </w:tc>
        <w:tc>
          <w:tcPr>
            <w:tcW w:w="2540" w:type="dxa"/>
            <w:vAlign w:val="bottom"/>
            <w:vMerge w:val="restart"/>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(c) Total Number of Shares (or Units)</w:t>
            </w:r>
          </w:p>
        </w:tc>
        <w:tc>
          <w:tcPr>
            <w:tcW w:w="1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9"/>
        </w:trPr>
        <w:tc>
          <w:tcPr>
            <w:tcW w:w="1460" w:type="dxa"/>
            <w:vAlign w:val="bottom"/>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540" w:type="dxa"/>
            <w:vAlign w:val="bottom"/>
            <w:vMerge w:val="continue"/>
          </w:tcPr>
          <w:p>
            <w:pPr>
              <w:spacing w:after="0"/>
              <w:rPr>
                <w:sz w:val="12"/>
                <w:szCs w:val="12"/>
                <w:color w:val="auto"/>
              </w:rPr>
            </w:pPr>
          </w:p>
        </w:tc>
        <w:tc>
          <w:tcPr>
            <w:tcW w:w="1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(or Units) that May</w:t>
            </w:r>
          </w:p>
        </w:tc>
        <w:tc>
          <w:tcPr>
            <w:tcW w:w="0" w:type="dxa"/>
            <w:vAlign w:val="bottom"/>
          </w:tcPr>
          <w:p>
            <w:pPr>
              <w:spacing w:after="0"/>
              <w:rPr>
                <w:sz w:val="1"/>
                <w:szCs w:val="1"/>
                <w:color w:val="auto"/>
              </w:rPr>
            </w:pPr>
          </w:p>
        </w:tc>
      </w:tr>
      <w:tr>
        <w:trPr>
          <w:trHeight w:val="148"/>
        </w:trPr>
        <w:tc>
          <w:tcPr>
            <w:tcW w:w="146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12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Paid per Share</w:t>
            </w:r>
          </w:p>
        </w:tc>
        <w:tc>
          <w:tcPr>
            <w:tcW w:w="254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 Under the</w:t>
            </w:r>
          </w:p>
        </w:tc>
        <w:tc>
          <w:tcPr>
            <w:tcW w:w="0" w:type="dxa"/>
            <w:vAlign w:val="bottom"/>
          </w:tcPr>
          <w:p>
            <w:pPr>
              <w:spacing w:after="0"/>
              <w:rPr>
                <w:sz w:val="1"/>
                <w:szCs w:val="1"/>
                <w:color w:val="auto"/>
              </w:rPr>
            </w:pPr>
          </w:p>
        </w:tc>
      </w:tr>
      <w:tr>
        <w:trPr>
          <w:trHeight w:val="155"/>
        </w:trPr>
        <w:tc>
          <w:tcPr>
            <w:tcW w:w="1460" w:type="dxa"/>
            <w:vAlign w:val="bottom"/>
          </w:tcPr>
          <w:p>
            <w:pPr>
              <w:jc w:val="center"/>
              <w:ind w:right="101"/>
              <w:spacing w:after="0" w:line="155"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60" w:type="dxa"/>
            <w:vAlign w:val="bottom"/>
          </w:tcPr>
          <w:p>
            <w:pPr>
              <w:spacing w:after="0"/>
              <w:rPr>
                <w:sz w:val="13"/>
                <w:szCs w:val="13"/>
                <w:color w:val="auto"/>
              </w:rPr>
            </w:pPr>
          </w:p>
        </w:tc>
        <w:tc>
          <w:tcPr>
            <w:tcW w:w="1020" w:type="dxa"/>
            <w:vAlign w:val="bottom"/>
          </w:tcPr>
          <w:p>
            <w:pPr>
              <w:jc w:val="right"/>
              <w:ind w:right="296"/>
              <w:spacing w:after="0" w:line="155" w:lineRule="exact"/>
              <w:rPr>
                <w:sz w:val="20"/>
                <w:szCs w:val="20"/>
                <w:color w:val="auto"/>
              </w:rPr>
            </w:pPr>
            <w:r>
              <w:rPr>
                <w:rFonts w:ascii="Times New Roman" w:cs="Times New Roman" w:eastAsia="Times New Roman" w:hAnsi="Times New Roman"/>
                <w:sz w:val="14"/>
                <w:szCs w:val="14"/>
                <w:b w:val="1"/>
                <w:bCs w:val="1"/>
                <w:color w:val="auto"/>
              </w:rPr>
              <w:t>(or Unit)</w:t>
            </w:r>
          </w:p>
        </w:tc>
        <w:tc>
          <w:tcPr>
            <w:tcW w:w="254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Announced Plans or Program (1)</w:t>
            </w:r>
          </w:p>
        </w:tc>
        <w:tc>
          <w:tcPr>
            <w:tcW w:w="160" w:type="dxa"/>
            <w:vAlign w:val="bottom"/>
          </w:tcPr>
          <w:p>
            <w:pPr>
              <w:spacing w:after="0"/>
              <w:rPr>
                <w:sz w:val="13"/>
                <w:szCs w:val="13"/>
                <w:color w:val="auto"/>
              </w:rPr>
            </w:pPr>
          </w:p>
        </w:tc>
        <w:tc>
          <w:tcPr>
            <w:tcW w:w="1740" w:type="dxa"/>
            <w:vAlign w:val="bottom"/>
          </w:tcPr>
          <w:p>
            <w:pPr>
              <w:jc w:val="center"/>
              <w:ind w:right="19"/>
              <w:spacing w:after="0" w:line="155" w:lineRule="exact"/>
              <w:rPr>
                <w:sz w:val="20"/>
                <w:szCs w:val="20"/>
                <w:color w:val="auto"/>
              </w:rPr>
            </w:pPr>
            <w:r>
              <w:rPr>
                <w:rFonts w:ascii="Times New Roman" w:cs="Times New Roman" w:eastAsia="Times New Roman" w:hAnsi="Times New Roman"/>
                <w:sz w:val="14"/>
                <w:szCs w:val="14"/>
                <w:b w:val="1"/>
                <w:bCs w:val="1"/>
                <w:color w:val="auto"/>
              </w:rPr>
              <w:t>Plans or Program</w:t>
            </w:r>
          </w:p>
        </w:tc>
        <w:tc>
          <w:tcPr>
            <w:tcW w:w="0" w:type="dxa"/>
            <w:vAlign w:val="bottom"/>
          </w:tcPr>
          <w:p>
            <w:pPr>
              <w:spacing w:after="0"/>
              <w:rPr>
                <w:sz w:val="1"/>
                <w:szCs w:val="1"/>
                <w:color w:val="auto"/>
              </w:rPr>
            </w:pPr>
          </w:p>
        </w:tc>
      </w:tr>
      <w:tr>
        <w:trPr>
          <w:trHeight w:val="216"/>
        </w:trPr>
        <w:tc>
          <w:tcPr>
            <w:tcW w:w="14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109,359,096</w:t>
            </w:r>
          </w:p>
        </w:tc>
        <w:tc>
          <w:tcPr>
            <w:tcW w:w="0" w:type="dxa"/>
            <w:vAlign w:val="bottom"/>
          </w:tcPr>
          <w:p>
            <w:pPr>
              <w:spacing w:after="0"/>
              <w:rPr>
                <w:sz w:val="1"/>
                <w:szCs w:val="1"/>
                <w:color w:val="auto"/>
              </w:rPr>
            </w:pPr>
          </w:p>
        </w:tc>
      </w:tr>
      <w:tr>
        <w:trPr>
          <w:trHeight w:val="232"/>
        </w:trPr>
        <w:tc>
          <w:tcPr>
            <w:tcW w:w="14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170,004</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9.19</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107,796,806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-272415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220" w:space="720"/>
            <w:col w:w="730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3840" w:type="dxa"/>
            <w:vAlign w:val="bottom"/>
            <w:tcBorders>
              <w:bottom w:val="single" w:sz="8" w:color="CCEEFF"/>
            </w:tcBorders>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December 1 - December 31, 2025</w:t>
            </w:r>
          </w:p>
        </w:tc>
        <w:tc>
          <w:tcPr>
            <w:tcW w:w="1500" w:type="dxa"/>
            <w:vAlign w:val="bottom"/>
            <w:tcBorders>
              <w:bottom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132,044</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70"/>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9.10</w:t>
            </w:r>
          </w:p>
        </w:tc>
        <w:tc>
          <w:tcPr>
            <w:tcW w:w="100" w:type="dxa"/>
            <w:vAlign w:val="bottom"/>
            <w:tcBorders>
              <w:bottom w:val="single" w:sz="8" w:color="CCEEFF"/>
            </w:tcBorders>
            <w:shd w:val="clear" w:color="auto" w:fill="CCEEFF"/>
          </w:tcPr>
          <w:p>
            <w:pPr>
              <w:spacing w:after="0"/>
              <w:rPr>
                <w:sz w:val="17"/>
                <w:szCs w:val="17"/>
                <w:color w:val="auto"/>
              </w:rPr>
            </w:pPr>
          </w:p>
        </w:tc>
        <w:tc>
          <w:tcPr>
            <w:tcW w:w="2480" w:type="dxa"/>
            <w:vAlign w:val="bottom"/>
            <w:tcBorders>
              <w:bottom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132,044</w:t>
            </w:r>
          </w:p>
        </w:tc>
        <w:tc>
          <w:tcPr>
            <w:tcW w:w="620" w:type="dxa"/>
            <w:vAlign w:val="bottom"/>
            <w:tcBorders>
              <w:bottom w:val="single" w:sz="8" w:color="CCEEFF"/>
            </w:tcBorders>
            <w:shd w:val="clear" w:color="auto" w:fill="CCEEFF"/>
          </w:tcPr>
          <w:p>
            <w:pPr>
              <w:jc w:val="right"/>
              <w:ind w:right="330"/>
              <w:spacing w:after="0" w:line="199"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0"/>
              <w:spacing w:after="0" w:line="199" w:lineRule="exact"/>
              <w:rPr>
                <w:sz w:val="20"/>
                <w:szCs w:val="20"/>
                <w:color w:val="auto"/>
              </w:rPr>
            </w:pPr>
            <w:r>
              <w:rPr>
                <w:rFonts w:ascii="Times New Roman" w:cs="Times New Roman" w:eastAsia="Times New Roman" w:hAnsi="Times New Roman"/>
                <w:sz w:val="18"/>
                <w:szCs w:val="18"/>
                <w:color w:val="auto"/>
              </w:rPr>
              <w:t>106,595,023</w:t>
            </w:r>
          </w:p>
        </w:tc>
      </w:tr>
      <w:tr>
        <w:trPr>
          <w:trHeight w:val="228"/>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302,048</w:t>
            </w:r>
          </w:p>
        </w:tc>
        <w:tc>
          <w:tcPr>
            <w:tcW w:w="5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302,048</w:t>
            </w:r>
          </w:p>
        </w:tc>
        <w:tc>
          <w:tcPr>
            <w:tcW w:w="620" w:type="dxa"/>
            <w:vAlign w:val="bottom"/>
          </w:tcPr>
          <w:p>
            <w:pPr>
              <w:spacing w:after="0"/>
              <w:rPr>
                <w:sz w:val="19"/>
                <w:szCs w:val="19"/>
                <w:color w:val="auto"/>
              </w:rPr>
            </w:pPr>
          </w:p>
        </w:tc>
        <w:tc>
          <w:tcPr>
            <w:tcW w:w="14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-156845</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-156845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-156845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-10795</wp:posOffset>
            </wp:positionV>
            <wp:extent cx="33858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-79375</wp:posOffset>
            </wp:positionV>
            <wp:extent cx="33858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81" w:lineRule="exact"/>
        <w:rPr>
          <w:sz w:val="20"/>
          <w:szCs w:val="20"/>
          <w:color w:val="auto"/>
        </w:rPr>
      </w:pPr>
    </w:p>
    <w:p>
      <w:pPr>
        <w:ind w:left="520" w:right="60" w:hanging="512"/>
        <w:spacing w:after="0" w:line="282" w:lineRule="auto"/>
        <w:tabs>
          <w:tab w:leader="none" w:pos="5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On May 8, 2023, the Company announced that our Board authorized a $150 million stock repurchase program. The stock repurchase program is discussed in </w:t>
      </w:r>
      <w:r>
        <w:rPr>
          <w:rFonts w:ascii="Times New Roman" w:cs="Times New Roman" w:eastAsia="Times New Roman" w:hAnsi="Times New Roman"/>
          <w:sz w:val="16"/>
          <w:szCs w:val="16"/>
          <w:i w:val="1"/>
          <w:iCs w:val="1"/>
          <w:color w:val="auto"/>
        </w:rPr>
        <w:t>Item 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Management Discussion and Analysis – Liquidity and Capital Resources – Capitalization </w:t>
      </w:r>
      <w:r>
        <w:rPr>
          <w:rFonts w:ascii="Times New Roman" w:cs="Times New Roman" w:eastAsia="Times New Roman" w:hAnsi="Times New Roman"/>
          <w:sz w:val="16"/>
          <w:szCs w:val="16"/>
          <w:color w:val="auto"/>
        </w:rPr>
        <w:t>and in Note 1 – Summary of Significant Accounting Policies.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repurchase program does not have an expiration date and can be discontinued at any time.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discussion is intended to provide a reader of our financial statements with management’s perspective on our financial condition, results of operations, liquidity, and certain other factors that may affect our future results. Investors should read the following discussion and analysis in conjunction with the consolidated financial statements and related notes included in “</w:t>
      </w:r>
      <w:r>
        <w:rPr>
          <w:rFonts w:ascii="Times New Roman" w:cs="Times New Roman" w:eastAsia="Times New Roman" w:hAnsi="Times New Roman"/>
          <w:sz w:val="18"/>
          <w:szCs w:val="18"/>
          <w:i w:val="1"/>
          <w:iCs w:val="1"/>
          <w:color w:val="auto"/>
        </w:rPr>
        <w:t>Item 8. Financial Statements and Supplementary Data.</w:t>
      </w:r>
      <w:r>
        <w:rPr>
          <w:rFonts w:ascii="Times New Roman" w:cs="Times New Roman" w:eastAsia="Times New Roman" w:hAnsi="Times New Roman"/>
          <w:sz w:val="18"/>
          <w:szCs w:val="18"/>
          <w:color w:val="auto"/>
        </w:rPr>
        <w:t>” Notes referenced in this discussion and analysis refer to the notes to consolidated financial statements that are found in “</w:t>
      </w:r>
      <w:r>
        <w:rPr>
          <w:rFonts w:ascii="Times New Roman" w:cs="Times New Roman" w:eastAsia="Times New Roman" w:hAnsi="Times New Roman"/>
          <w:sz w:val="18"/>
          <w:szCs w:val="18"/>
          <w:i w:val="1"/>
          <w:iCs w:val="1"/>
          <w:color w:val="auto"/>
        </w:rPr>
        <w:t>Item 8. Financial Statements and Supplementary Data—Notes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Certain statements contained in this discussion may be deemed to be forward-looking statements. See “</w:t>
      </w:r>
      <w:r>
        <w:rPr>
          <w:rFonts w:ascii="Times New Roman" w:cs="Times New Roman" w:eastAsia="Times New Roman" w:hAnsi="Times New Roman"/>
          <w:sz w:val="18"/>
          <w:szCs w:val="18"/>
          <w:i w:val="1"/>
          <w:iCs w:val="1"/>
          <w:color w:val="auto"/>
        </w:rPr>
        <w:t>Special Note Regarding Forward-Looking Statements</w:t>
      </w:r>
      <w:r>
        <w:rPr>
          <w:rFonts w:ascii="Times New Roman" w:cs="Times New Roman" w:eastAsia="Times New Roman" w:hAnsi="Times New Roman"/>
          <w:sz w:val="18"/>
          <w:szCs w:val="18"/>
          <w:color w:val="auto"/>
        </w:rPr>
        <w:t>.” Actual results could differ materially from those discussed in or implied by forward-looking statements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various factors, including those discussed below and elsewhere in this Annual Report on Form 10-K, particularly in the section entitled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Unless we state otherwise or the context otherwise requires, the terms “LSB,” “we,” “us,” “our” and the “Company” refer to LSB Industries,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its consolidated subsidiaries.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LSB is headquartered in Oklahoma City, Oklahoma and we manufacture and sell chemical products for the agricultural and industrial markets. We own and operate three multi-plant facilities in Cherokee, Alabama, El Dorado, Arkansas and Pryor, Oklahoma, and operate a facility on behalf of Covestro LLC in Baytown, Texas. Our products are sold through distributors and directly to end customers, primarily throughout the United States and parts of Canada, and to explosives manufacturers in the United States and other parts of North America.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Initiatives for 2026</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our future results of operations and financial condition to benefit from the following key initiatives:</w:t>
      </w:r>
    </w:p>
    <w:p>
      <w:pPr>
        <w:spacing w:after="0" w:line="115" w:lineRule="exact"/>
        <w:rPr>
          <w:sz w:val="20"/>
          <w:szCs w:val="20"/>
          <w:color w:val="auto"/>
        </w:rPr>
      </w:pPr>
    </w:p>
    <w:p>
      <w:pPr>
        <w:ind w:left="660" w:right="20" w:hanging="502"/>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 to improve Environmental, Health &amp; Safety at our Facilities. </w:t>
      </w:r>
      <w:r>
        <w:rPr>
          <w:rFonts w:ascii="Times New Roman" w:cs="Times New Roman" w:eastAsia="Times New Roman" w:hAnsi="Times New Roman"/>
          <w:sz w:val="18"/>
          <w:szCs w:val="18"/>
          <w:color w:val="auto"/>
        </w:rPr>
        <w:t>We prioritize high safety standards that not only enable us to protect what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matters, which is the well-being of our employees, but also translates into improved plant performance. We remain focused on our safety programs to move closer to attaining zero injuries. We continue to invest additional capital across our facilities to build upon the progress we have made in implementing enhanced safety programs during the last several years.</w:t>
      </w:r>
    </w:p>
    <w:p>
      <w:pPr>
        <w:spacing w:after="0" w:line="85" w:lineRule="exact"/>
        <w:rPr>
          <w:rFonts w:ascii="Times New Roman" w:cs="Times New Roman" w:eastAsia="Times New Roman" w:hAnsi="Times New Roman"/>
          <w:sz w:val="18"/>
          <w:szCs w:val="18"/>
          <w:color w:val="auto"/>
        </w:rPr>
      </w:pPr>
    </w:p>
    <w:p>
      <w:pPr>
        <w:ind w:left="660" w:right="240" w:hanging="502"/>
        <w:spacing w:after="0" w:line="25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Improve the Reliability at our Facilities while Supplying our Customers with Products of the Highest Quality. </w:t>
      </w:r>
      <w:r>
        <w:rPr>
          <w:rFonts w:ascii="Times New Roman" w:cs="Times New Roman" w:eastAsia="Times New Roman" w:hAnsi="Times New Roman"/>
          <w:sz w:val="18"/>
          <w:szCs w:val="18"/>
          <w:color w:val="auto"/>
        </w:rPr>
        <w:t>Improving the reliability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while supplying customers with high-quality products remains a key operational focus. We have several initiatives underway aimed at increasing production volumes of ammonia and downstream products through improved operational execution and asset reliability. Progress in these areas is expected to support higher available production and improved unit cost performance over time, while we continue to maintain a strong focus on product quality and customer requirements.</w:t>
      </w:r>
    </w:p>
    <w:p>
      <w:pPr>
        <w:spacing w:after="0" w:line="75" w:lineRule="exact"/>
        <w:rPr>
          <w:rFonts w:ascii="Times New Roman" w:cs="Times New Roman" w:eastAsia="Times New Roman" w:hAnsi="Times New Roman"/>
          <w:sz w:val="18"/>
          <w:szCs w:val="18"/>
          <w:color w:val="auto"/>
        </w:rPr>
      </w:pPr>
    </w:p>
    <w:p>
      <w:pPr>
        <w:ind w:left="1020" w:right="420" w:hanging="503"/>
        <w:spacing w:after="0" w:line="267"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Turnaround Excellence: </w:t>
      </w:r>
      <w:r>
        <w:rPr>
          <w:rFonts w:ascii="Times New Roman" w:cs="Times New Roman" w:eastAsia="Times New Roman" w:hAnsi="Times New Roman"/>
          <w:sz w:val="18"/>
          <w:szCs w:val="18"/>
          <w:color w:val="auto"/>
        </w:rPr>
        <w:t>We will continue to focus on the safe and effective execution of scheduled Turnarounds, with an emphasis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schedule adherence, cost control, and minimizing operational risk. We will continue to apply our standardized Turnaround management practices across all sites, including its revised Turnaround Standard, to support consistent execution and long-term asset reliability.</w:t>
      </w:r>
    </w:p>
    <w:p>
      <w:pPr>
        <w:spacing w:after="0" w:line="65" w:lineRule="exact"/>
        <w:rPr>
          <w:rFonts w:ascii="Times New Roman" w:cs="Times New Roman" w:eastAsia="Times New Roman" w:hAnsi="Times New Roman"/>
          <w:sz w:val="18"/>
          <w:szCs w:val="18"/>
          <w:color w:val="auto"/>
        </w:rPr>
      </w:pPr>
    </w:p>
    <w:p>
      <w:pPr>
        <w:ind w:left="1020" w:right="300" w:hanging="503"/>
        <w:spacing w:after="0" w:line="284"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Mechanical Integrity: </w:t>
      </w:r>
      <w:r>
        <w:rPr>
          <w:rFonts w:ascii="Times New Roman" w:cs="Times New Roman" w:eastAsia="Times New Roman" w:hAnsi="Times New Roman"/>
          <w:sz w:val="18"/>
          <w:szCs w:val="18"/>
          <w:color w:val="auto"/>
        </w:rPr>
        <w:t>We will continue to enhance mechanical integrity through ongoing refinement of our inspection programs,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objective of reducing fixed equipment failures and unplanned downtime.</w:t>
      </w:r>
    </w:p>
    <w:p>
      <w:pPr>
        <w:spacing w:after="0" w:line="50" w:lineRule="exact"/>
        <w:rPr>
          <w:rFonts w:ascii="Times New Roman" w:cs="Times New Roman" w:eastAsia="Times New Roman" w:hAnsi="Times New Roman"/>
          <w:sz w:val="18"/>
          <w:szCs w:val="18"/>
          <w:color w:val="auto"/>
        </w:rPr>
      </w:pPr>
    </w:p>
    <w:p>
      <w:pPr>
        <w:ind w:left="1020" w:right="180" w:hanging="503"/>
        <w:spacing w:after="0" w:line="284"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Asset Care Strategies: </w:t>
      </w:r>
      <w:r>
        <w:rPr>
          <w:rFonts w:ascii="Times New Roman" w:cs="Times New Roman" w:eastAsia="Times New Roman" w:hAnsi="Times New Roman"/>
          <w:sz w:val="18"/>
          <w:szCs w:val="18"/>
          <w:color w:val="auto"/>
        </w:rPr>
        <w:t>We will continue to advance our machinery and asset care strategies, with a focus on reducing unplanned downtime,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optimizing the scope and duration of planned outages, and improving the effectiveness of startup operations.</w:t>
      </w:r>
    </w:p>
    <w:p>
      <w:pPr>
        <w:spacing w:after="0" w:line="50" w:lineRule="exact"/>
        <w:rPr>
          <w:rFonts w:ascii="Times New Roman" w:cs="Times New Roman" w:eastAsia="Times New Roman" w:hAnsi="Times New Roman"/>
          <w:sz w:val="18"/>
          <w:szCs w:val="18"/>
          <w:color w:val="auto"/>
        </w:rPr>
      </w:pPr>
    </w:p>
    <w:p>
      <w:pPr>
        <w:ind w:left="1020" w:right="80" w:hanging="503"/>
        <w:spacing w:after="0" w:line="284"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Culture of Excellence</w:t>
      </w:r>
      <w:r>
        <w:rPr>
          <w:rFonts w:ascii="Times New Roman" w:cs="Times New Roman" w:eastAsia="Times New Roman" w:hAnsi="Times New Roman"/>
          <w:sz w:val="18"/>
          <w:szCs w:val="18"/>
          <w:color w:val="auto"/>
        </w:rPr>
        <w:t>: We will continue to strengthen operational discipline and accountability across the organization, supporting improved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productivity and overall operational reliability.</w:t>
      </w:r>
    </w:p>
    <w:p>
      <w:pPr>
        <w:spacing w:after="0" w:line="50" w:lineRule="exact"/>
        <w:rPr>
          <w:rFonts w:ascii="Times New Roman" w:cs="Times New Roman" w:eastAsia="Times New Roman" w:hAnsi="Times New Roman"/>
          <w:sz w:val="18"/>
          <w:szCs w:val="18"/>
          <w:color w:val="auto"/>
        </w:rPr>
      </w:pPr>
    </w:p>
    <w:p>
      <w:pPr>
        <w:ind w:left="660" w:right="300" w:hanging="502"/>
        <w:spacing w:after="0" w:line="267"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Advance Productivity Improvement. </w:t>
      </w:r>
      <w:r>
        <w:rPr>
          <w:rFonts w:ascii="Times New Roman" w:cs="Times New Roman" w:eastAsia="Times New Roman" w:hAnsi="Times New Roman"/>
          <w:sz w:val="18"/>
          <w:szCs w:val="18"/>
          <w:color w:val="auto"/>
        </w:rPr>
        <w:t>We are accelerating productivity improvements through a comprehensive focus on fixed and variable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optimization, procurement-driven savings, automation, and process changes with multiple initiatives underway to identify, assess, and pursue cost-reduction opportunities.</w:t>
      </w:r>
    </w:p>
    <w:p>
      <w:pPr>
        <w:spacing w:after="0" w:line="65" w:lineRule="exact"/>
        <w:rPr>
          <w:rFonts w:ascii="Times New Roman" w:cs="Times New Roman" w:eastAsia="Times New Roman" w:hAnsi="Times New Roman"/>
          <w:sz w:val="18"/>
          <w:szCs w:val="18"/>
          <w:color w:val="auto"/>
        </w:rPr>
      </w:pPr>
    </w:p>
    <w:p>
      <w:pPr>
        <w:ind w:left="660" w:right="40" w:hanging="502"/>
        <w:spacing w:after="0" w:line="25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Continued Optimization and Increase the Breadth of Distribution of our Product Mix. </w:t>
      </w:r>
      <w:r>
        <w:rPr>
          <w:rFonts w:ascii="Times New Roman" w:cs="Times New Roman" w:eastAsia="Times New Roman" w:hAnsi="Times New Roman"/>
          <w:sz w:val="18"/>
          <w:szCs w:val="18"/>
          <w:color w:val="auto"/>
        </w:rPr>
        <w:t>We have initiatives underway to increase the distribution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products within our industrial and agricultural end markets, among other product mix optimization strategies. We believe that these initiatives and strategies, combined with continued expansion of our customer relationships, the robust market analysis capabilities we have developed, and the establishment of in-market tank storage and distribution terminals, will make us more effective in identifying and capitalizing on the most profitable distribution opportunities for our products, while making our financial results more stable and predictable. Additionally, we have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ind w:left="660"/>
        <w:spacing w:after="0" w:line="282" w:lineRule="auto"/>
        <w:rPr>
          <w:sz w:val="20"/>
          <w:szCs w:val="20"/>
          <w:color w:val="auto"/>
        </w:rPr>
      </w:pPr>
      <w:r>
        <w:rPr>
          <w:rFonts w:ascii="Times New Roman" w:cs="Times New Roman" w:eastAsia="Times New Roman" w:hAnsi="Times New Roman"/>
          <w:sz w:val="18"/>
          <w:szCs w:val="18"/>
          <w:color w:val="auto"/>
        </w:rPr>
        <w:t>completed and are advancing several capital improvement projects with the intention of increasing our sales volumes of higher value downstream products resulting in improvements in our overall profit margins.</w:t>
      </w:r>
    </w:p>
    <w:p>
      <w:pPr>
        <w:spacing w:after="0" w:line="52" w:lineRule="exact"/>
        <w:rPr>
          <w:sz w:val="20"/>
          <w:szCs w:val="20"/>
          <w:color w:val="auto"/>
        </w:rPr>
      </w:pPr>
    </w:p>
    <w:p>
      <w:pPr>
        <w:ind w:left="660" w:right="40" w:hanging="502"/>
        <w:spacing w:after="0" w:line="258"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Grow Our Platform. </w:t>
      </w:r>
      <w:r>
        <w:rPr>
          <w:rFonts w:ascii="Times New Roman" w:cs="Times New Roman" w:eastAsia="Times New Roman" w:hAnsi="Times New Roman"/>
          <w:sz w:val="18"/>
          <w:szCs w:val="18"/>
          <w:color w:val="auto"/>
        </w:rPr>
        <w:t>We continue to evaluate opportunities across all our facilities to increase production capacity through the implementation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several potential debottlenecking and other margin enhancement projects. Additionally, from time to time, we evaluate opportunities to acquire strategic assets or companies where we believe those acquisitions will enhance our value and provide attractive returns to our stockholders. We also consider assets and companies that can provide us with geographic expansion, extend an existing product line, add one or more new product lines, leverage our existing ammonia production capabilities, or complement our existing business lines, among other accretive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6889750</wp:posOffset>
            </wp:positionH>
            <wp:positionV relativeFrom="paragraph">
              <wp:posOffset>-84455</wp:posOffset>
            </wp:positionV>
            <wp:extent cx="285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Low Carbon Ammonia Initiatives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2024, we announced an agreement to supply, for a five-year period commencing January 1, 2025, up to 150,000 short tons per year of low carbon ammonium nitrate solution (“ANS”) to Freeport Minerals Corporation (“Freeport”). In early 2025 we began supplying conventional ANS to Freeport from our El Dorado Facility, and expect to phase in the low carbon contracted volume in late 2026. Freeport intends to use the low carbon ANS purchased from us for its United States copper mining operations.</w:t>
      </w:r>
    </w:p>
    <w:p>
      <w:pPr>
        <w:spacing w:after="0" w:line="12"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In April 2022, we entered into an agreement with Lapis Carbon Solutions (“Lapis”) to develop a project to capture and sequester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at our El Dorado Facility. Lapis, backed by Cresta Fund Management, a Dallas-based middle-market infrastructure investment firm, will invest the majority of the capital required for project development. The project is expected to be completed and operational by the end of 2026, subject to the approval of a Class VI permit, at which time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injections are expected to begin. Once operational, the project at the El Dorado site will initially capture and sequester approximately 400,000 to 500,000 metric tons of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per year in underground saline aquifers.</w:t>
      </w:r>
    </w:p>
    <w:p>
      <w:pPr>
        <w:spacing w:after="0" w:line="23"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The sequestered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generated from the facility’s ammonia production is expected to qualify for federal tax credits under Internal Revenue Code Section 45Q, which are $85 per metric ton of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captured and sequestered. Lapis, as the majority owner of the carbon capture and sequestration equipment, will earn the 45Q tax credits and will pay us a fee for each ton of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captured and sequestered, which we expect to commence at the end of 2026. Once in operation, the sequestered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is expected to reduce our overall scope 1 GHG emissions by approximately 25% from current levels. In addition, sequestering approximately 400,000 to 500,000 metric tons of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annually is expected to enable us to produce approximately 305,000 to 380,000 metric tons of low carbon ammonia annually, a product that could potentially be sold at higher price levels than conventional ammonia. In February 2023, a key milestone was achieved in the advancement of our low carbon ammonia project at El Dorado by filing a pre-construction Class VI permit application with the United States Environmental Protection Agency (the “EPA”). The EPA recognized the application as complete in March 2023 and is currently in the review process. In June 2025, Lapis completed the drilling of a stratigraphic injection well at the El Dorado site and has been gathering data to support the EPA in its continuing technical review of our Class VI application. Lapis resubmitted the pre-construction Class VI permit application to the EPA in December 2025. Once the project receives EPA approval, we intend to use this well for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injections.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Outlook</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Demand for our industrial products remains consistent, despite global economic concerns. Demand for AN for use in mining applications is robust across all commodities, particularly with copper and gold, as miners, have been maximizing production volumes to take advantage of record prices. AN demand for explosives used in quarrying/aggregate production for infrastructure upgrade and expansion remains steady. Demand for AN in coal is also robust, supporting electricity production and the deferral of coal-fired power plant closures. These factors should continue to support AN demand well into 2026. Demand for nitric acid is robust domestically, where it is supported by tariffs and preliminary anti-dumping duties on imports of methylene diphenyl diisocyanate (MDI). Economic uncertainty continues to be heightened by the potential impacts of tariffs on global trade flows, consumer prices and production input costs. However, we believe that we have a meaningful degree of downside protection in our industrial business given our diverse customer base, which is almost entirely located in the United States, the nature of our contracts and our ability to shift our production mix to products where demand and pricing are strongest.</w:t>
      </w:r>
    </w:p>
    <w:p>
      <w:pPr>
        <w:spacing w:after="0" w:line="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Ammonia prices currently reflect constrained global inventories resulting from reduced supply from the Middle East and Trinidad, higher cost of production in Europe and delays to the start-up of new production capacity. Supply constraints are expected to ease throughout the first half of 2026. New production in the United States is expected to come online mid-2026, which could pressure pricing in the near term.</w:t>
      </w:r>
    </w:p>
    <w:p>
      <w:pPr>
        <w:spacing w:after="0" w:line="6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Pricing for ammonia derivative fertilizer products remains strong. UAN prices have recently improved, reflecting continued low levels of domestic inventory and constrained supply. Channel inventories remain on the tighter end of the range and are expected to remain this way until late in the second quarter. UAN values are also benefiting from a strengthening in Urea prices.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outlook for United States corn calls for a small increase in stocks to use as a result of strong 2025 plantings and harvest. We expect to see a reduction in planted acres in 2026 closer to recent averages of 91 million to 93 million acres underpinning nitrogen fertilizer demand levels in line with recent years.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See a more detailed discussion below under “Key Industry Factors” below.</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Industry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and Demand</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Industrial Products - </w:t>
      </w:r>
      <w:r>
        <w:rPr>
          <w:rFonts w:ascii="Times New Roman" w:cs="Times New Roman" w:eastAsia="Times New Roman" w:hAnsi="Times New Roman"/>
          <w:sz w:val="18"/>
          <w:szCs w:val="18"/>
          <w:color w:val="auto"/>
        </w:rPr>
        <w:t>Our industrial products’ sales volumes are dependent upon general economic conditions primarily in the housing, automotive, mining,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paper industries. Nitric acid demand has been robust, reflecting strong domestic production driven by preliminary anti-dumping duties on imported MDI, import tariffs and the resilience of the United States economy. Our sales prices generally vary with the market price of ammonia or natural gas, as applicable, in our pricing arrangements with customers.</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LDAN and AN solutions are primarily used to produce AN fuel oil and specialty emulsions for use in explosives in the quarry and the construction industries, for metals mining and to a lesser extent, for coal. Demand for AN is also benefiting from high copper and gold prices, which is leading United States producers to maximize mine production volumes, robust quarrying/aggregate production for infrastructure upgrade and expansion along with steady coal production to support electricity production and the deferral of coal power plant closures.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Economic uncertainty continues to be heightened by the potential impacts of tariffs on global trade flows, consumer prices and production input costs. However, we believe that we have a meaningful degree of downside protection in our industrial business given our diverse customer base which is almost entirely located in the United States, the nature of our contracts and our ability to shift our production mix to products where demand and pricing are strongest.</w:t>
      </w:r>
    </w:p>
    <w:p>
      <w:pPr>
        <w:spacing w:after="0" w:line="70"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Fertilizer - </w:t>
      </w:r>
      <w:r>
        <w:rPr>
          <w:rFonts w:ascii="Times New Roman" w:cs="Times New Roman" w:eastAsia="Times New Roman" w:hAnsi="Times New Roman"/>
          <w:sz w:val="18"/>
          <w:szCs w:val="18"/>
          <w:color w:val="auto"/>
        </w:rPr>
        <w:t>The price at which our agricultural products are ultimately sold depends on numerous factors, including the supply and demand for nitrogen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fertilizers which, in turn, depends upon world grain demand and production levels, the cost and availability of transportation and storage, weather conditions, competitive pricing and the availability of imports. Additionally, expansions or upgrades of competitors’ facilities and international and domestic political and economic developments continue to play an important role in the global nitrogen fertilizer industry economics. These factors can affect, in addition to selling prices, the level of inventories in the market which can cause price volatility and affect product margins.</w:t>
      </w:r>
    </w:p>
    <w:p>
      <w:pPr>
        <w:spacing w:after="0" w:line="7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From a farmers’ perspective, the demand for fertilizer is affected by the aggregate crop planting decisions and farm economics, weather and fertilizer application rate decisions of individual farmers. Individual farmers make planting decisions based largely on prospective profitability of a harvest, while the specific varieties and amounts of fertilizer they apply depend on factors such as their financial resources, soil conditions, weather patterns and the types of crops planted.</w:t>
      </w:r>
    </w:p>
    <w:p>
      <w:pPr>
        <w:spacing w:after="0" w:line="7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Additionally, changes in corn, soybean, cotton and wheat prices can affect the number of acres of corn planted in a given year, and the number of acres planted will drive the level of nitrogen fertilizer consumption, likely affecting prices.</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According to the World Agricultural Supply and Demand Estimates Report (“WASDE Report”) dated February 10, 2026 (the “February Report”), farmers planted approximately 98.8 million acres of corn in the 2025 planting season, up 8.7% compared to the 2024 planting season. According to the February Report, the USDA estimates the United States ending stocks for the 2025 Harvest will be approximately 54.0 million metric tons, a 37.1% increase from the 2024 Harvest. The USDA's expected yield per acre for the 2025 Harvest is 186.5 bushels, up approximately 4.0% from a year ago.</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February 2026 estimates are associated with the corn market: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2026 Crop</w:t>
            </w:r>
          </w:p>
        </w:tc>
        <w:tc>
          <w:tcPr>
            <w:tcW w:w="22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 Crop</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rPr>
              <w:t>2024 Crop</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(2025 Harvest)</w:t>
            </w:r>
          </w:p>
        </w:tc>
        <w:tc>
          <w:tcPr>
            <w:tcW w:w="2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(2024 Harvest)</w:t>
            </w:r>
          </w:p>
        </w:tc>
        <w:tc>
          <w:tcPr>
            <w:tcW w:w="220" w:type="dxa"/>
            <w:vAlign w:val="bottom"/>
          </w:tcPr>
          <w:p>
            <w:pPr>
              <w:spacing w:after="0"/>
              <w:rPr>
                <w:sz w:val="12"/>
                <w:szCs w:val="12"/>
                <w:color w:val="auto"/>
              </w:rPr>
            </w:pPr>
          </w:p>
        </w:tc>
        <w:tc>
          <w:tcPr>
            <w:tcW w:w="13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740" w:type="dxa"/>
            <w:vAlign w:val="bottom"/>
          </w:tcPr>
          <w:p>
            <w:pPr>
              <w:jc w:val="center"/>
              <w:ind w:left="17"/>
              <w:spacing w:after="0" w:line="149" w:lineRule="exact"/>
              <w:rPr>
                <w:sz w:val="20"/>
                <w:szCs w:val="20"/>
                <w:color w:val="auto"/>
              </w:rPr>
            </w:pPr>
            <w:r>
              <w:rPr>
                <w:rFonts w:ascii="Times New Roman" w:cs="Times New Roman" w:eastAsia="Times New Roman" w:hAnsi="Times New Roman"/>
                <w:sz w:val="14"/>
                <w:szCs w:val="14"/>
                <w:b w:val="1"/>
                <w:bCs w:val="1"/>
                <w:color w:val="auto"/>
              </w:rPr>
              <w:t>(2023 Harvest)</w:t>
            </w:r>
          </w:p>
        </w:tc>
        <w:tc>
          <w:tcPr>
            <w:tcW w:w="220" w:type="dxa"/>
            <w:vAlign w:val="bottom"/>
          </w:tcPr>
          <w:p>
            <w:pPr>
              <w:spacing w:after="0"/>
              <w:rPr>
                <w:sz w:val="12"/>
                <w:szCs w:val="12"/>
                <w:color w:val="auto"/>
              </w:rPr>
            </w:pPr>
          </w:p>
        </w:tc>
        <w:tc>
          <w:tcPr>
            <w:tcW w:w="138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282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February Report (1)</w:t>
            </w:r>
          </w:p>
        </w:tc>
        <w:tc>
          <w:tcPr>
            <w:tcW w:w="22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February Report (1)</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Change (2)</w:t>
            </w:r>
          </w:p>
        </w:tc>
        <w:tc>
          <w:tcPr>
            <w:tcW w:w="24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February Report (1)</w:t>
            </w:r>
          </w:p>
        </w:tc>
        <w:tc>
          <w:tcPr>
            <w:tcW w:w="220" w:type="dxa"/>
            <w:vAlign w:val="bottom"/>
          </w:tcPr>
          <w:p>
            <w:pPr>
              <w:spacing w:after="0"/>
              <w:rPr>
                <w:sz w:val="15"/>
                <w:szCs w:val="15"/>
                <w:color w:val="auto"/>
              </w:rPr>
            </w:pPr>
          </w:p>
        </w:tc>
        <w:tc>
          <w:tcPr>
            <w:tcW w:w="11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Change (3)</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U.S. Area Planted </w:t>
            </w:r>
            <w:r>
              <w:rPr>
                <w:rFonts w:ascii="Times New Roman" w:cs="Times New Roman" w:eastAsia="Times New Roman" w:hAnsi="Times New Roman"/>
                <w:sz w:val="14"/>
                <w:szCs w:val="14"/>
                <w:i w:val="1"/>
                <w:iCs w:val="1"/>
                <w:color w:val="auto"/>
              </w:rPr>
              <w:t>(Million acres)</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5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8.7%</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6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U.S. Yield per Acre </w:t>
            </w:r>
            <w:r>
              <w:rPr>
                <w:rFonts w:ascii="Times New Roman" w:cs="Times New Roman" w:eastAsia="Times New Roman" w:hAnsi="Times New Roman"/>
                <w:sz w:val="14"/>
                <w:szCs w:val="14"/>
                <w:i w:val="1"/>
                <w:iCs w:val="1"/>
                <w:color w:val="auto"/>
              </w:rPr>
              <w:t>(Bushels)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U.S. Production </w:t>
            </w:r>
            <w:r>
              <w:rPr>
                <w:rFonts w:ascii="Times New Roman" w:cs="Times New Roman" w:eastAsia="Times New Roman" w:hAnsi="Times New Roman"/>
                <w:sz w:val="14"/>
                <w:szCs w:val="14"/>
                <w:i w:val="1"/>
                <w:iCs w:val="1"/>
                <w:color w:val="auto"/>
              </w:rPr>
              <w:t>(Million bushels)</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17,021</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14,892</w:t>
            </w:r>
          </w:p>
        </w:tc>
        <w:tc>
          <w:tcPr>
            <w:tcW w:w="15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14.3%</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15,341</w:t>
            </w:r>
          </w:p>
        </w:tc>
        <w:tc>
          <w:tcPr>
            <w:tcW w:w="16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198"/>
        </w:trPr>
        <w:tc>
          <w:tcPr>
            <w:tcW w:w="2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xml:space="preserve">U.S. Ending Stocks </w:t>
            </w:r>
            <w:r>
              <w:rPr>
                <w:rFonts w:ascii="Times New Roman" w:cs="Times New Roman" w:eastAsia="Times New Roman" w:hAnsi="Times New Roman"/>
                <w:sz w:val="14"/>
                <w:szCs w:val="14"/>
                <w:i w:val="1"/>
                <w:iCs w:val="1"/>
                <w:color w:val="auto"/>
              </w:rPr>
              <w:t>(Million metric tons)</w:t>
            </w:r>
          </w:p>
        </w:tc>
        <w:tc>
          <w:tcPr>
            <w:tcW w:w="16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54.0</w:t>
            </w:r>
          </w:p>
        </w:tc>
        <w:tc>
          <w:tcPr>
            <w:tcW w:w="18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39.4</w:t>
            </w:r>
          </w:p>
        </w:tc>
        <w:tc>
          <w:tcPr>
            <w:tcW w:w="1580" w:type="dxa"/>
            <w:vAlign w:val="bottom"/>
            <w:gridSpan w:val="3"/>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37.1%</w:t>
            </w:r>
          </w:p>
        </w:tc>
        <w:tc>
          <w:tcPr>
            <w:tcW w:w="17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44.8</w:t>
            </w:r>
          </w:p>
        </w:tc>
        <w:tc>
          <w:tcPr>
            <w:tcW w:w="1600" w:type="dxa"/>
            <w:vAlign w:val="bottom"/>
            <w:gridSpan w:val="3"/>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World Ending Stocks </w:t>
            </w:r>
            <w:r>
              <w:rPr>
                <w:rFonts w:ascii="Times New Roman" w:cs="Times New Roman" w:eastAsia="Times New Roman" w:hAnsi="Times New Roman"/>
                <w:sz w:val="14"/>
                <w:szCs w:val="14"/>
                <w:i w:val="1"/>
                <w:iCs w:val="1"/>
                <w:color w:val="auto"/>
              </w:rPr>
              <w:t>(Million metric</w:t>
            </w: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1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5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6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71"/>
        </w:trPr>
        <w:tc>
          <w:tcPr>
            <w:tcW w:w="2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tons)</w:t>
            </w:r>
          </w:p>
        </w:tc>
        <w:tc>
          <w:tcPr>
            <w:tcW w:w="1640" w:type="dxa"/>
            <w:vAlign w:val="bottom"/>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2311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236" w:lineRule="auto"/>
        <w:rPr>
          <w:sz w:val="20"/>
          <w:szCs w:val="20"/>
          <w:color w:val="auto"/>
        </w:rPr>
      </w:pPr>
      <w:r>
        <w:rPr>
          <w:rFonts w:ascii="Times New Roman" w:cs="Times New Roman" w:eastAsia="Times New Roman" w:hAnsi="Times New Roman"/>
          <w:sz w:val="11"/>
          <w:szCs w:val="11"/>
          <w:color w:val="auto"/>
        </w:rPr>
        <w:t>_____________________________</w:t>
      </w:r>
    </w:p>
    <w:p>
      <w:pPr>
        <w:spacing w:after="0" w:line="1" w:lineRule="exact"/>
        <w:rPr>
          <w:sz w:val="20"/>
          <w:szCs w:val="20"/>
          <w:color w:val="auto"/>
        </w:rPr>
      </w:pPr>
    </w:p>
    <w:p>
      <w:pPr>
        <w:ind w:left="520" w:right="100" w:hanging="512"/>
        <w:spacing w:after="0" w:line="261" w:lineRule="auto"/>
        <w:tabs>
          <w:tab w:leader="none" w:pos="5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Information obtained from the February Report for the </w:t>
      </w:r>
      <w:r>
        <w:rPr>
          <w:rFonts w:ascii="Times New Roman" w:cs="Times New Roman" w:eastAsia="Times New Roman" w:hAnsi="Times New Roman"/>
          <w:sz w:val="17"/>
          <w:szCs w:val="17"/>
          <w:color w:val="auto"/>
        </w:rPr>
        <w:t>2025/2026 (“2026 Crop”), 2024/2025 ("2025 Crop") and 2023/2024 (“2024 Crop”)</w:t>
      </w:r>
      <w:r>
        <w:rPr>
          <w:rFonts w:ascii="Times New Roman" w:cs="Times New Roman" w:eastAsia="Times New Roman" w:hAnsi="Times New Roman"/>
          <w:sz w:val="16"/>
          <w:szCs w:val="16"/>
          <w:color w:val="auto"/>
        </w:rPr>
        <w:t xml:space="preserve"> corn marketing years. The marketing year is the twelve-month period during which a crop normally is marketed. For example, the marketing year for the current corn crop is from September 1 of the current year to August 31 of the next year. The year begins at the harvest and continues until just before harvest of the following year.</w:t>
      </w:r>
    </w:p>
    <w:p>
      <w:pPr>
        <w:ind w:left="520" w:hanging="512"/>
        <w:spacing w:after="0"/>
        <w:tabs>
          <w:tab w:leader="none" w:pos="5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percentage change between the 2026 Crop amounts compared to the 2025 Crop amounts.</w:t>
      </w:r>
    </w:p>
    <w:p>
      <w:pPr>
        <w:spacing w:after="0" w:line="18"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percentage change between the 2026 Crop amounts compared to the 2024 Crop amounts.</w:t>
      </w:r>
    </w:p>
    <w:p>
      <w:pPr>
        <w:spacing w:after="0" w:line="1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According to the February Report, the USDA </w:t>
      </w:r>
      <w:r>
        <w:rPr>
          <w:rFonts w:ascii="Times New Roman" w:cs="Times New Roman" w:eastAsia="Times New Roman" w:hAnsi="Times New Roman"/>
          <w:sz w:val="18"/>
          <w:szCs w:val="18"/>
          <w:color w:val="222222"/>
        </w:rPr>
        <w:t>bumped up domestic corn exports for the 2025 Harvest by 100 million bushels to 3.3 billion bushels, a record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for corn exports, and lowering ending stocks. Domestically there were no other changes. </w:t>
      </w:r>
      <w:r>
        <w:rPr>
          <w:rFonts w:ascii="Times New Roman" w:cs="Times New Roman" w:eastAsia="Times New Roman" w:hAnsi="Times New Roman"/>
          <w:sz w:val="18"/>
          <w:szCs w:val="18"/>
          <w:color w:val="000000"/>
        </w:rPr>
        <w:t>The USDA reduced foreign</w:t>
      </w:r>
      <w:r>
        <w:rPr>
          <w:rFonts w:ascii="Times New Roman" w:cs="Times New Roman" w:eastAsia="Times New Roman" w:hAnsi="Times New Roman"/>
          <w:sz w:val="18"/>
          <w:szCs w:val="18"/>
          <w:color w:val="222222"/>
        </w:rPr>
        <w:t xml:space="preserve"> beginning stocks and production with exports increased slightly, reducing projected </w:t>
      </w:r>
      <w:r>
        <w:rPr>
          <w:rFonts w:ascii="Times New Roman" w:cs="Times New Roman" w:eastAsia="Times New Roman" w:hAnsi="Times New Roman"/>
          <w:sz w:val="18"/>
          <w:szCs w:val="18"/>
          <w:color w:val="000000"/>
        </w:rPr>
        <w:t>foreign</w:t>
      </w:r>
      <w:r>
        <w:rPr>
          <w:rFonts w:ascii="Times New Roman" w:cs="Times New Roman" w:eastAsia="Times New Roman" w:hAnsi="Times New Roman"/>
          <w:sz w:val="18"/>
          <w:szCs w:val="18"/>
          <w:color w:val="222222"/>
        </w:rPr>
        <w:t xml:space="preserve"> ending stocks. P</w:t>
      </w:r>
      <w:r>
        <w:rPr>
          <w:rFonts w:ascii="Times New Roman" w:cs="Times New Roman" w:eastAsia="Times New Roman" w:hAnsi="Times New Roman"/>
          <w:sz w:val="18"/>
          <w:szCs w:val="18"/>
          <w:color w:val="000000"/>
        </w:rPr>
        <w:t>rojected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ind w:right="400"/>
        <w:spacing w:after="0" w:line="282" w:lineRule="auto"/>
        <w:rPr>
          <w:sz w:val="20"/>
          <w:szCs w:val="20"/>
          <w:color w:val="auto"/>
        </w:rPr>
      </w:pPr>
      <w:r>
        <w:rPr>
          <w:rFonts w:ascii="Times New Roman" w:cs="Times New Roman" w:eastAsia="Times New Roman" w:hAnsi="Times New Roman"/>
          <w:sz w:val="18"/>
          <w:szCs w:val="18"/>
          <w:color w:val="auto"/>
        </w:rPr>
        <w:t>season-average farm price remained unchanged from the prior month at $4.10 per bushel. From a demand perspective, we believe that corn prices will remain at a level that will further support demand for fertilizers during 2026.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Gas Prices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Natural gas is the primary resource for conversion and manufacturing production of our nitrogen products. In recent years, United States natural gas reserves have increased significantly due to, among other factors, advances in extracting shale gas, which has reduced and stabilized natural gas prices, providing North America with a cost advantage over certain imports. As a result, our competitive position and that of other North American nitrogen fertilizer producers has been positively affected. More recently, higher United States natural gas costs are being driven by rising LNG exports, coupled with increased power-generation and industrial demand.</w:t>
      </w:r>
    </w:p>
    <w:p>
      <w:pPr>
        <w:spacing w:after="0" w:line="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Historically, we have purchased natural gas either on the spot market, through forward purchase contracts, or a combination of both and have used forward purchase contracts to lock in pricing for a portion of our natural gas requirements. These forward purchase contracts are generally either fixed-price or index-price, short-term in nature and for a fixed supply quantity. We are able to purchase natural gas at competitive prices due to our connections to large distribution systems and their proximity to interstate pipeline systems. At December 31, 2025, we had natural gas contracts of approximately 0.2 million MMBtus, at an average cost of $4.39 per MMBtu. These contracts extend through March 2026. The following table shows the annual volume of natural gas we purchased and the average cost per MMBtu:</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49"/>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Natural gas volumes (MMBtu in millions)</w:t>
            </w:r>
          </w:p>
        </w:tc>
        <w:tc>
          <w:tcPr>
            <w:tcW w:w="110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Natural gas average cost per MMBtu</w:t>
            </w:r>
          </w:p>
        </w:tc>
        <w:tc>
          <w:tcPr>
            <w:tcW w:w="1100" w:type="dxa"/>
            <w:vAlign w:val="bottom"/>
          </w:tcPr>
          <w:p>
            <w:pPr>
              <w:jc w:val="right"/>
              <w:ind w:right="919"/>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3.46</w:t>
            </w:r>
          </w:p>
        </w:tc>
        <w:tc>
          <w:tcPr>
            <w:tcW w:w="6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2.30</w:t>
            </w:r>
          </w:p>
        </w:tc>
      </w:tr>
      <w:tr>
        <w:trPr>
          <w:trHeight w:val="20"/>
        </w:trPr>
        <w:tc>
          <w:tcPr>
            <w:tcW w:w="77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Transportation Costs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Costs for transporting nitrogen-based products can be significant relative to their selling price. We continue to evaluate the rising costs of freight domestically. As a result of increases in demand for available rail, truck and barge options to transport product, primarily during the spring and fall planting seasons, higher transportation costs have and could continue to impact our margins, where we are unable to fully pass through these costs to our customers. Additionally, truck driver shortages could impact our ability to fulfill customer demand. As a result, we continue to evaluate supply chain efficiencies to reduce or counter the impact of higher logistics costs.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Operational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Facility Reliability</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Consistent, reliable and safe operations at our chemical plants are critical to our financial performance and results of operations. Planned downtime, including Turnarounds, and unplanned downtime can adversely affect results of operations through reduced sales volumes, lower fixed cost absorption, and increased repair and maintenance costs, which are expensed as incurred.</w:t>
      </w:r>
    </w:p>
    <w:p>
      <w:pPr>
        <w:spacing w:after="0" w:line="6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performed major Turnaround activities at our Pryor Facility during the third quarter of 2024 and at our Cherokee Facility during the fourth quarter of 2024. Minor planned outages were executed at our El Dorado Facility in July 2024 to replace the ammonia primary reformer catalyst. We did not perform any major planned ammonia Turnaround events during 2025 at the El Dorado Facility, although a minor Turnaround was completed on our nitric acid plants at our El Dorado Facility during 2025.</w:t>
      </w:r>
    </w:p>
    <w:p>
      <w:pPr>
        <w:spacing w:after="0" w:line="7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Based on our current maintenance schedule, Turnaround activities in 2026 are expected to include an ammonia plant Turnaround at our El Dorado Facility during the second quarter and a full-site Turnaround at our Pryor Facility during the third quarter. Additionally, a minor turnaround on the urea plant at our Cherokee Facility is planned for the third quarter of 2026.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Ammonia Production</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Ammonia is the basic product used to produce all of our upgraded products. The ammonia production rates of our plants affect the total cost per ton of each product produced and the overall sales of our products.</w:t>
      </w:r>
    </w:p>
    <w:p>
      <w:pPr>
        <w:spacing w:after="0" w:line="5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Total ammonia production in 2025 was 826,000 tons, which was higher than 2024 production due to improved operating performance and the absence of significant planned Turnarounds during 2025. For 2026, we are targeting total ammonia production of approximately 780,000 tons to 810,000 tons, which reflects planned Turnaround work at our El Dorado and Pryor Facilities in 2026.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Sales Contracts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certain instances, we may use forward sales of our fertilizer products to optimize our asset utilization, planning process and production scheduling. These sales are made by offering customers the opportunity to purchase product on a forward basis at prices and delivery dates that are agreed upon, with dates typically occurring within 12 months. We use this program to varying degrees during the year depending on market conditions and our view of changing price environments. Fixing the selling prices of our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ind w:right="460"/>
        <w:spacing w:after="0" w:line="282" w:lineRule="auto"/>
        <w:rPr>
          <w:sz w:val="20"/>
          <w:szCs w:val="20"/>
          <w:color w:val="auto"/>
        </w:rPr>
      </w:pPr>
      <w:r>
        <w:rPr>
          <w:rFonts w:ascii="Times New Roman" w:cs="Times New Roman" w:eastAsia="Times New Roman" w:hAnsi="Times New Roman"/>
          <w:sz w:val="18"/>
          <w:szCs w:val="18"/>
          <w:color w:val="auto"/>
        </w:rPr>
        <w:t>products months in advance of their ultimate delivery to customers typically causes our reported selling prices and margins to differ from spot market prices and margins available at the time of shipment.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for 2025</w:t>
      </w:r>
    </w:p>
    <w:p>
      <w:pPr>
        <w:spacing w:after="0" w:line="12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Our consolidated net sales for 2025 were $615.2 million compared to $522.4 million for 2024. Our consolidated operating income for 2025 was $57.3 million compared to an operating loss of $5.5 million for 2024. The items affecting our operating results are discussed below and under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Affecting Comparability of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Shift in Production Mix</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2025, we commenced the transition of our production from fertilizer grade ammonium nitrate (“HDAN”), an agricultural product, to ANS, a product used in industrial and mining applications. The transition was completed during the third quarter of 2025, at which time we ceased production of HDAN. This shift in production mix is consistent with our strategy to transition a portion of our sales from agricultural sales made at spot market pricing, which can be volatile, to sales under multi-year contracts that provide the pass-through of natural gas feedstock costs.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Prices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2025 average selling prices for our UAN and ammonia increased, while AN &amp; Nitric Acid decreased slightly compared to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Turnaround Activities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performed major Turnaround activities at our Pryor Facility during the third quarter of 2024 and at our Cherokee Facility during the fourth quarter of 2024. In addition, we executed a minor planned outage at our El Dorado Facility in July 2024 to replace the catalyst in the ammonia plant in order to maximize production rates. In 2025, we executed a minor planned Turnaround on our nitric acid plants at our El Dorado Facility. There were no planned major ammonia Turnarounds in 2025.</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Turnaround activities typically adversely affect results of operations, including through lost contribution margin from reduced sales, lower fixed cost absorption due to decreased production, and increased repair and maintenance costs. Turnaround-related costs may be incurred in periods prior to the actual plant shutdown, including costs associated with planning and procurement activities.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Extinguishment of Senior Secured Notes</w:t>
      </w:r>
    </w:p>
    <w:p>
      <w:pPr>
        <w:spacing w:after="0" w:line="12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During 2025, we repurchased $39.9 million in principal amount of our Senior Secured Notes through open market transactions for approximately $39.5 million, which was accounted for as an extinguishment of debt. Including our write-off of the associated remaining portion of unamortized debt issuance costs, we recognized a loss on extinguishment of debt of approximately $0.1 million.</w:t>
      </w:r>
    </w:p>
    <w:p>
      <w:pPr>
        <w:spacing w:after="0" w:line="6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2024, we repurchased $96.6 million of our Senior Secured Notes through open market transactions for approximately $92.2 million. As a result, we recognized a gain on extinguishment of debt, net of issuance costs, of approximately $3.0 million. The 2024 and 2025 repurchase transactions also served to reduce our interest expense.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6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The following is a discussion and analysis of our consolidated results of operations for the year ended December 31, 2025, compared to the year ended December 31, 2024. For a discussion and analysis of our consolidated results of operations for the year ended December 31, 2024, compared to the year ended December 31, 2023, see </w:t>
      </w:r>
      <w:r>
        <w:rPr>
          <w:rFonts w:ascii="Times New Roman" w:cs="Times New Roman" w:eastAsia="Times New Roman" w:hAnsi="Times New Roman"/>
          <w:sz w:val="18"/>
          <w:szCs w:val="18"/>
          <w:i w:val="1"/>
          <w:iCs w:val="1"/>
          <w:color w:val="auto"/>
        </w:rPr>
        <w:t>“Item 7, Management’s Discussion and Analysis and Results of Operations”</w:t>
      </w:r>
      <w:r>
        <w:rPr>
          <w:rFonts w:ascii="Times New Roman" w:cs="Times New Roman" w:eastAsia="Times New Roman" w:hAnsi="Times New Roman"/>
          <w:sz w:val="18"/>
          <w:szCs w:val="18"/>
          <w:color w:val="auto"/>
        </w:rPr>
        <w:t xml:space="preserve"> in our 2024 Form 10-K filed with the SEC on February 27, 2025.</w:t>
      </w:r>
    </w:p>
    <w:p>
      <w:pPr>
        <w:spacing w:after="0" w:line="1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Net sales to unaffiliated customers are reported in the consolidated financial statements and gross profit represents net sales less cost of sales. Net sales are reported on a gross basis with the cost of freight being recorded in cost of sales.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Year Ended December 31, 2025 Compared to Year Ended December 31, 2024</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financial information, the increase or decrease between those periods, the percentage increase or decrease between those periods with respect to each line item:</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vMerge w:val="restart"/>
          </w:tcPr>
          <w:p>
            <w:pPr>
              <w:spacing w:after="0"/>
              <w:rPr>
                <w:sz w:val="13"/>
                <w:szCs w:val="13"/>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0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740" w:type="dxa"/>
            <w:vAlign w:val="bottom"/>
            <w:gridSpan w:val="4"/>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 &amp; Nitric Acid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241,530</w:t>
            </w:r>
          </w:p>
        </w:tc>
        <w:tc>
          <w:tcPr>
            <w:tcW w:w="260" w:type="dxa"/>
            <w:vAlign w:val="bottom"/>
          </w:tcPr>
          <w:p>
            <w:pPr>
              <w:spacing w:after="0"/>
              <w:rPr>
                <w:sz w:val="18"/>
                <w:szCs w:val="18"/>
                <w:color w:val="auto"/>
              </w:rPr>
            </w:pP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212,478</w:t>
            </w:r>
          </w:p>
        </w:tc>
        <w:tc>
          <w:tcPr>
            <w:tcW w:w="3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29,052</w:t>
            </w: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Urea ammonium nitrate (UAN)</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191,055</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139,435</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51,620</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16"/>
        </w:trPr>
        <w:tc>
          <w:tcPr>
            <w:tcW w:w="5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Ammonia</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146,621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136,662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9,959</w:t>
            </w: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36,002</w:t>
            </w:r>
          </w:p>
        </w:tc>
        <w:tc>
          <w:tcPr>
            <w:tcW w:w="2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33,825</w:t>
            </w:r>
          </w:p>
        </w:tc>
        <w:tc>
          <w:tcPr>
            <w:tcW w:w="3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3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10"/>
        </w:trPr>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net sales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615,208</w:t>
            </w:r>
          </w:p>
        </w:tc>
        <w:tc>
          <w:tcPr>
            <w:tcW w:w="260" w:type="dxa"/>
            <w:vAlign w:val="bottom"/>
          </w:tcPr>
          <w:p>
            <w:pPr>
              <w:spacing w:after="0"/>
              <w:rPr>
                <w:sz w:val="18"/>
                <w:szCs w:val="18"/>
                <w:color w:val="auto"/>
              </w:rPr>
            </w:pP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522,400</w:t>
            </w:r>
          </w:p>
        </w:tc>
        <w:tc>
          <w:tcPr>
            <w:tcW w:w="3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92,808</w:t>
            </w: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104,302</w:t>
            </w:r>
          </w:p>
        </w:tc>
        <w:tc>
          <w:tcPr>
            <w:tcW w:w="260" w:type="dxa"/>
            <w:vAlign w:val="bottom"/>
          </w:tcPr>
          <w:p>
            <w:pPr>
              <w:spacing w:after="0"/>
              <w:rPr>
                <w:sz w:val="18"/>
                <w:szCs w:val="18"/>
                <w:color w:val="auto"/>
              </w:rPr>
            </w:pP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47,797</w:t>
            </w:r>
          </w:p>
        </w:tc>
        <w:tc>
          <w:tcPr>
            <w:tcW w:w="3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56,505</w:t>
            </w: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9"/>
                <w:szCs w:val="9"/>
                <w:color w:val="auto"/>
              </w:rPr>
              <w:t>(1)</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81,623</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74,260</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16"/>
        </w:trPr>
        <w:tc>
          <w:tcPr>
            <w:tcW w:w="5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Turnaround expense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(31,623)</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Adjusted gross profit </w:t>
            </w:r>
            <w:r>
              <w:rPr>
                <w:rFonts w:ascii="Times New Roman" w:cs="Times New Roman" w:eastAsia="Times New Roman" w:hAnsi="Times New Roman"/>
                <w:sz w:val="9"/>
                <w:szCs w:val="9"/>
                <w:color w:val="auto"/>
              </w:rPr>
              <w:t>(2)</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192,083</w:t>
            </w:r>
          </w:p>
        </w:tc>
        <w:tc>
          <w:tcPr>
            <w:tcW w:w="2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159,838</w:t>
            </w:r>
          </w:p>
        </w:tc>
        <w:tc>
          <w:tcPr>
            <w:tcW w:w="3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32,245</w:t>
            </w:r>
          </w:p>
        </w:tc>
        <w:tc>
          <w:tcPr>
            <w:tcW w:w="3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197"/>
        </w:trPr>
        <w:tc>
          <w:tcPr>
            <w:tcW w:w="5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41,507</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41,767</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(260)</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(6,014)</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57,274</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(5,505)</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62,779</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(3,795)</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(gain) on extinguishments of debt</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(3,013)</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other income, net</w:t>
            </w:r>
          </w:p>
        </w:tc>
        <w:tc>
          <w:tcPr>
            <w:tcW w:w="320" w:type="dxa"/>
            <w:vAlign w:val="bottom"/>
          </w:tcPr>
          <w:p>
            <w:pPr>
              <w:spacing w:after="0"/>
              <w:rPr>
                <w:sz w:val="18"/>
                <w:szCs w:val="18"/>
                <w:color w:val="auto"/>
              </w:rPr>
            </w:pPr>
          </w:p>
        </w:tc>
        <w:tc>
          <w:tcPr>
            <w:tcW w:w="134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(5,984)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(10,907)</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3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7,936</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(6,684)</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14,620</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5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(19,353)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43,966</w:t>
            </w:r>
          </w:p>
        </w:tc>
        <w:tc>
          <w:tcPr>
            <w:tcW w:w="3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 xml:space="preserve">Gross profit percentage </w:t>
            </w:r>
            <w:r>
              <w:rPr>
                <w:rFonts w:ascii="Times New Roman" w:cs="Times New Roman" w:eastAsia="Times New Roman" w:hAnsi="Times New Roman"/>
                <w:sz w:val="9"/>
                <w:szCs w:val="9"/>
                <w:color w:val="auto"/>
              </w:rPr>
              <w:t>(3)</w:t>
            </w:r>
          </w:p>
        </w:tc>
        <w:tc>
          <w:tcPr>
            <w:tcW w:w="3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9.1 %</w:t>
            </w:r>
          </w:p>
        </w:tc>
        <w:tc>
          <w:tcPr>
            <w:tcW w:w="2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7.9 %</w:t>
            </w: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 xml:space="preserve">Adjusted gross profit percentage </w:t>
            </w:r>
            <w:r>
              <w:rPr>
                <w:rFonts w:ascii="Times New Roman" w:cs="Times New Roman" w:eastAsia="Times New Roman" w:hAnsi="Times New Roman"/>
                <w:sz w:val="9"/>
                <w:szCs w:val="9"/>
                <w:color w:val="auto"/>
              </w:rPr>
              <w:t>(2)(3)</w:t>
            </w:r>
          </w:p>
        </w:tc>
        <w:tc>
          <w:tcPr>
            <w:tcW w:w="320" w:type="dxa"/>
            <w:vAlign w:val="bottom"/>
          </w:tcPr>
          <w:p>
            <w:pPr>
              <w:spacing w:after="0"/>
              <w:rPr>
                <w:sz w:val="17"/>
                <w:szCs w:val="17"/>
                <w:color w:val="auto"/>
              </w:rPr>
            </w:pPr>
          </w:p>
        </w:tc>
        <w:tc>
          <w:tcPr>
            <w:tcW w:w="1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31.2 %</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30.6 %</w:t>
            </w:r>
          </w:p>
        </w:tc>
        <w:tc>
          <w:tcPr>
            <w:tcW w:w="200" w:type="dxa"/>
            <w:vAlign w:val="bottom"/>
          </w:tcPr>
          <w:p>
            <w:pPr>
              <w:spacing w:after="0"/>
              <w:rPr>
                <w:sz w:val="17"/>
                <w:szCs w:val="17"/>
                <w:color w:val="auto"/>
              </w:rPr>
            </w:pPr>
          </w:p>
        </w:tc>
        <w:tc>
          <w:tcPr>
            <w:tcW w:w="118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0.6 %</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Property, plant and equipment expenditures</w:t>
            </w:r>
          </w:p>
        </w:tc>
        <w:tc>
          <w:tcPr>
            <w:tcW w:w="320" w:type="dxa"/>
            <w:vAlign w:val="bottom"/>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77,461</w:t>
            </w:r>
          </w:p>
        </w:tc>
        <w:tc>
          <w:tcPr>
            <w:tcW w:w="26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92,294</w:t>
            </w:r>
          </w:p>
        </w:tc>
        <w:tc>
          <w:tcPr>
            <w:tcW w:w="3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(14,833)</w:t>
            </w:r>
          </w:p>
        </w:tc>
        <w:tc>
          <w:tcPr>
            <w:tcW w:w="12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88"/>
        </w:trPr>
        <w:tc>
          <w:tcPr>
            <w:tcW w:w="5160" w:type="dxa"/>
            <w:vAlign w:val="bottom"/>
            <w:tcBorders>
              <w:top w:val="single" w:sz="8" w:color="CFF0FC"/>
            </w:tcBorders>
          </w:tcPr>
          <w:p>
            <w:pPr>
              <w:spacing w:after="0" w:line="88" w:lineRule="exact"/>
              <w:rPr>
                <w:sz w:val="20"/>
                <w:szCs w:val="20"/>
                <w:color w:val="auto"/>
              </w:rPr>
            </w:pPr>
            <w:r>
              <w:rPr>
                <w:rFonts w:ascii="Times New Roman" w:cs="Times New Roman" w:eastAsia="Times New Roman" w:hAnsi="Times New Roman"/>
                <w:sz w:val="10"/>
                <w:szCs w:val="10"/>
                <w:color w:val="auto"/>
              </w:rPr>
              <w:t>_____________________________</w:t>
            </w:r>
          </w:p>
        </w:tc>
        <w:tc>
          <w:tcPr>
            <w:tcW w:w="32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260" w:type="dxa"/>
            <w:vAlign w:val="bottom"/>
            <w:tcBorders>
              <w:top w:val="single" w:sz="8" w:color="CFF0FC"/>
            </w:tcBorders>
          </w:tcPr>
          <w:p>
            <w:pPr>
              <w:spacing w:after="0"/>
              <w:rPr>
                <w:sz w:val="7"/>
                <w:szCs w:val="7"/>
                <w:color w:val="auto"/>
              </w:rPr>
            </w:pPr>
          </w:p>
        </w:tc>
        <w:tc>
          <w:tcPr>
            <w:tcW w:w="80" w:type="dxa"/>
            <w:vAlign w:val="bottom"/>
            <w:tcBorders>
              <w:top w:val="single" w:sz="8" w:color="CFF0FC"/>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340" w:type="dxa"/>
            <w:vAlign w:val="bottom"/>
            <w:tcBorders>
              <w:top w:val="single" w:sz="8" w:color="CFF0FC"/>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320" w:type="dxa"/>
            <w:vAlign w:val="bottom"/>
            <w:tcBorders>
              <w:top w:val="single" w:sz="8" w:color="CFF0FC"/>
            </w:tcBorders>
          </w:tcPr>
          <w:p>
            <w:pPr>
              <w:spacing w:after="0"/>
              <w:rPr>
                <w:sz w:val="7"/>
                <w:szCs w:val="7"/>
                <w:color w:val="auto"/>
              </w:rPr>
            </w:pPr>
          </w:p>
        </w:tc>
        <w:tc>
          <w:tcPr>
            <w:tcW w:w="1000" w:type="dxa"/>
            <w:vAlign w:val="bottom"/>
            <w:tcBorders>
              <w:top w:val="single" w:sz="8" w:color="CFF0FC"/>
            </w:tcBorders>
          </w:tcPr>
          <w:p>
            <w:pPr>
              <w:spacing w:after="0"/>
              <w:rPr>
                <w:sz w:val="7"/>
                <w:szCs w:val="7"/>
                <w:color w:val="auto"/>
              </w:rPr>
            </w:pPr>
          </w:p>
        </w:tc>
        <w:tc>
          <w:tcPr>
            <w:tcW w:w="220" w:type="dxa"/>
            <w:vAlign w:val="bottom"/>
            <w:tcBorders>
              <w:top w:val="single" w:sz="8" w:color="CFF0FC"/>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N/M  Not meaningful.</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-3133090</wp:posOffset>
            </wp:positionV>
            <wp:extent cx="1371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-3133090</wp:posOffset>
            </wp:positionV>
            <wp:extent cx="1371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-3133090</wp:posOffset>
            </wp:positionV>
            <wp:extent cx="1371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-2266950</wp:posOffset>
            </wp:positionV>
            <wp:extent cx="137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-2249805</wp:posOffset>
            </wp:positionV>
            <wp:extent cx="137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-2266950</wp:posOffset>
            </wp:positionV>
            <wp:extent cx="137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-2249805</wp:posOffset>
            </wp:positionV>
            <wp:extent cx="137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-2266950</wp:posOffset>
            </wp:positionV>
            <wp:extent cx="137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-2249805</wp:posOffset>
            </wp:positionV>
            <wp:extent cx="137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-1136015</wp:posOffset>
            </wp:positionV>
            <wp:extent cx="1371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-1136015</wp:posOffset>
            </wp:positionV>
            <wp:extent cx="1371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-1136015</wp:posOffset>
            </wp:positionV>
            <wp:extent cx="1371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-553085</wp:posOffset>
            </wp:positionV>
            <wp:extent cx="137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-535940</wp:posOffset>
            </wp:positionV>
            <wp:extent cx="1371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-553085</wp:posOffset>
            </wp:positionV>
            <wp:extent cx="1371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-535940</wp:posOffset>
            </wp:positionV>
            <wp:extent cx="1371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-553085</wp:posOffset>
            </wp:positionV>
            <wp:extent cx="1371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-535940</wp:posOffset>
            </wp:positionV>
            <wp:extent cx="1371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-226695</wp:posOffset>
            </wp:positionV>
            <wp:extent cx="137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-210185</wp:posOffset>
            </wp:positionV>
            <wp:extent cx="1371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-226695</wp:posOffset>
            </wp:positionV>
            <wp:extent cx="137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-210185</wp:posOffset>
            </wp:positionV>
            <wp:extent cx="1371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-226695</wp:posOffset>
            </wp:positionV>
            <wp:extent cx="137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-210185</wp:posOffset>
            </wp:positionV>
            <wp:extent cx="1371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520" w:hanging="512"/>
        <w:spacing w:after="0"/>
        <w:tabs>
          <w:tab w:leader="none" w:pos="5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amount classified as cost of sales.</w:t>
      </w:r>
    </w:p>
    <w:p>
      <w:pPr>
        <w:spacing w:after="0" w:line="18" w:lineRule="exact"/>
        <w:rPr>
          <w:rFonts w:ascii="Times New Roman" w:cs="Times New Roman" w:eastAsia="Times New Roman" w:hAnsi="Times New Roman"/>
          <w:sz w:val="16"/>
          <w:szCs w:val="16"/>
          <w:color w:val="auto"/>
        </w:rPr>
      </w:pPr>
    </w:p>
    <w:p>
      <w:pPr>
        <w:ind w:left="520" w:right="80" w:hanging="512"/>
        <w:spacing w:after="0" w:line="264" w:lineRule="auto"/>
        <w:tabs>
          <w:tab w:leader="none" w:pos="5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non-GAAP measure. The amounts exclude unallocated depreciation and amortization and Turnaround expenses, which we believe are not reflective of our operating performance in a given period.</w:t>
      </w:r>
    </w:p>
    <w:p>
      <w:pPr>
        <w:ind w:left="520" w:hanging="512"/>
        <w:spacing w:after="0"/>
        <w:tabs>
          <w:tab w:leader="none" w:pos="5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percentage of total net sales.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3" w:name="page34"/>
    <w:bookmarkEnd w:id="33"/>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tables provide key operating metrics for the fertilizer and major industrial products, the increase or decrease between those periods, and the percentage increase or decrease between those periods with respect to each line item:</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Product (tons sold)</w:t>
            </w:r>
          </w:p>
        </w:tc>
        <w:tc>
          <w:tcPr>
            <w:tcW w:w="4060" w:type="dxa"/>
            <w:vAlign w:val="bottom"/>
            <w:gridSpan w:val="3"/>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40" w:type="dxa"/>
            <w:vAlign w:val="bottom"/>
            <w:tcBorders>
              <w:right w:val="single" w:sz="8" w:color="CFF0FC"/>
            </w:tcBorders>
            <w:gridSpan w:val="4"/>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AN &amp; Nitric Acid</w:t>
            </w:r>
          </w:p>
        </w:tc>
        <w:tc>
          <w:tcPr>
            <w:tcW w:w="28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641,404</w:t>
            </w:r>
          </w:p>
        </w:tc>
        <w:tc>
          <w:tcPr>
            <w:tcW w:w="260" w:type="dxa"/>
            <w:vAlign w:val="bottom"/>
            <w:tcBorders>
              <w:left w:val="single" w:sz="8" w:color="CFF0FC"/>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553,613</w:t>
            </w:r>
          </w:p>
        </w:tc>
        <w:tc>
          <w:tcPr>
            <w:tcW w:w="260" w:type="dxa"/>
            <w:vAlign w:val="bottom"/>
            <w:tcBorders>
              <w:left w:val="single" w:sz="8" w:color="CFF0FC"/>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87,791</w:t>
            </w: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16"/>
        </w:trPr>
        <w:tc>
          <w:tcPr>
            <w:tcW w:w="52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Urea ammonium nitrate (UAN)</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549,955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482,775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67,180</w:t>
            </w:r>
          </w:p>
        </w:tc>
        <w:tc>
          <w:tcPr>
            <w:tcW w:w="2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16"/>
        </w:trPr>
        <w:tc>
          <w:tcPr>
            <w:tcW w:w="5240" w:type="dxa"/>
            <w:vAlign w:val="bottom"/>
            <w:tcBorders>
              <w:right w:val="single" w:sz="8" w:color="CFF0FC"/>
            </w:tcBorders>
            <w:gridSpan w:val="4"/>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Ammonia</w:t>
            </w:r>
          </w:p>
        </w:tc>
        <w:tc>
          <w:tcPr>
            <w:tcW w:w="28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315,565</w:t>
            </w:r>
          </w:p>
        </w:tc>
        <w:tc>
          <w:tcPr>
            <w:tcW w:w="260" w:type="dxa"/>
            <w:vAlign w:val="bottom"/>
            <w:tcBorders>
              <w:left w:val="single" w:sz="8" w:color="CFF0FC"/>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321,300</w:t>
            </w:r>
          </w:p>
        </w:tc>
        <w:tc>
          <w:tcPr>
            <w:tcW w:w="260" w:type="dxa"/>
            <w:vAlign w:val="bottom"/>
            <w:tcBorders>
              <w:left w:val="single" w:sz="8" w:color="CFF0FC"/>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(5,735)</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180" w:type="dxa"/>
            <w:vAlign w:val="bottom"/>
            <w:shd w:val="clear" w:color="auto" w:fill="CFF0FC"/>
          </w:tcPr>
          <w:p>
            <w:pPr>
              <w:spacing w:after="0" w:line="20" w:lineRule="exact"/>
              <w:rPr>
                <w:sz w:val="1"/>
                <w:szCs w:val="1"/>
                <w:color w:val="auto"/>
              </w:rPr>
            </w:pPr>
          </w:p>
        </w:tc>
        <w:tc>
          <w:tcPr>
            <w:tcW w:w="12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540" w:type="dxa"/>
            <w:vAlign w:val="bottom"/>
            <w:tcBorders>
              <w:right w:val="single" w:sz="8" w:color="auto"/>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tcBorders>
              <w:right w:val="single" w:sz="8" w:color="CFF0FC"/>
            </w:tcBorders>
            <w:shd w:val="clear" w:color="auto" w:fill="000000"/>
          </w:tcPr>
          <w:p>
            <w:pPr>
              <w:spacing w:after="0" w:line="20" w:lineRule="exact"/>
              <w:rPr>
                <w:sz w:val="1"/>
                <w:szCs w:val="1"/>
                <w:color w:val="auto"/>
              </w:rPr>
            </w:pPr>
          </w:p>
        </w:tc>
        <w:tc>
          <w:tcPr>
            <w:tcW w:w="26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tcBorders>
              <w:right w:val="single" w:sz="8" w:color="CFF0FC"/>
            </w:tcBorders>
            <w:shd w:val="clear" w:color="auto" w:fill="000000"/>
          </w:tcPr>
          <w:p>
            <w:pPr>
              <w:spacing w:after="0" w:line="20" w:lineRule="exact"/>
              <w:rPr>
                <w:sz w:val="1"/>
                <w:szCs w:val="1"/>
                <w:color w:val="auto"/>
              </w:rPr>
            </w:pPr>
          </w:p>
        </w:tc>
        <w:tc>
          <w:tcPr>
            <w:tcW w:w="26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left w:val="single" w:sz="8" w:color="CFF0FC"/>
              <w:right w:val="single" w:sz="8" w:color="CFF0FC"/>
            </w:tcBorders>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1,506,924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1,357,688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149,236</w:t>
            </w:r>
          </w:p>
        </w:tc>
        <w:tc>
          <w:tcPr>
            <w:tcW w:w="2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line="20" w:lineRule="exact"/>
              <w:rPr>
                <w:sz w:val="1"/>
                <w:szCs w:val="1"/>
                <w:color w:val="auto"/>
              </w:rPr>
            </w:pPr>
          </w:p>
        </w:tc>
      </w:tr>
      <w:tr>
        <w:trPr>
          <w:trHeight w:val="320"/>
        </w:trPr>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2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Gross Average Selling Prices (price per ton)</w:t>
            </w:r>
          </w:p>
        </w:tc>
        <w:tc>
          <w:tcPr>
            <w:tcW w:w="280" w:type="dxa"/>
            <w:vAlign w:val="bottom"/>
          </w:tcPr>
          <w:p>
            <w:pPr>
              <w:spacing w:after="0"/>
              <w:rPr>
                <w:sz w:val="15"/>
                <w:szCs w:val="15"/>
                <w:color w:val="auto"/>
              </w:rPr>
            </w:pPr>
          </w:p>
        </w:tc>
        <w:tc>
          <w:tcPr>
            <w:tcW w:w="10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AN &amp; Nitric Acid</w:t>
            </w:r>
          </w:p>
        </w:tc>
        <w:tc>
          <w:tcPr>
            <w:tcW w:w="254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60" w:type="dxa"/>
            <w:vAlign w:val="bottom"/>
            <w:tcBorders>
              <w:left w:val="single" w:sz="8" w:color="CFF0FC"/>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60" w:type="dxa"/>
            <w:vAlign w:val="bottom"/>
            <w:tcBorders>
              <w:left w:val="single" w:sz="8" w:color="CFF0FC"/>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2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Urea ammonium nitrate (UAN)</w:t>
            </w:r>
          </w:p>
        </w:tc>
        <w:tc>
          <w:tcPr>
            <w:tcW w:w="280" w:type="dxa"/>
            <w:vAlign w:val="bottom"/>
          </w:tcPr>
          <w:p>
            <w:pPr>
              <w:jc w:val="right"/>
              <w:ind w:right="15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60" w:type="dxa"/>
            <w:vAlign w:val="bottom"/>
          </w:tcPr>
          <w:p>
            <w:pPr>
              <w:spacing w:after="0"/>
              <w:rPr>
                <w:sz w:val="18"/>
                <w:szCs w:val="18"/>
                <w:color w:val="auto"/>
              </w:rPr>
            </w:pPr>
          </w:p>
        </w:tc>
        <w:tc>
          <w:tcPr>
            <w:tcW w:w="3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16"/>
        </w:trPr>
        <w:tc>
          <w:tcPr>
            <w:tcW w:w="5240" w:type="dxa"/>
            <w:vAlign w:val="bottom"/>
            <w:tcBorders>
              <w:right w:val="single" w:sz="8" w:color="CFF0FC"/>
            </w:tcBorders>
            <w:gridSpan w:val="4"/>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Ammonia</w:t>
            </w:r>
          </w:p>
        </w:tc>
        <w:tc>
          <w:tcPr>
            <w:tcW w:w="28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60" w:type="dxa"/>
            <w:vAlign w:val="bottom"/>
            <w:tcBorders>
              <w:left w:val="single" w:sz="8" w:color="CFF0FC"/>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60" w:type="dxa"/>
            <w:vAlign w:val="bottom"/>
            <w:tcBorders>
              <w:left w:val="single" w:sz="8" w:color="CFF0FC"/>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367"/>
        </w:trPr>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52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Average Benchmark Prices (price per ton)</w:t>
            </w:r>
          </w:p>
        </w:tc>
        <w:tc>
          <w:tcPr>
            <w:tcW w:w="280" w:type="dxa"/>
            <w:vAlign w:val="bottom"/>
          </w:tcPr>
          <w:p>
            <w:pPr>
              <w:spacing w:after="0"/>
              <w:rPr>
                <w:sz w:val="15"/>
                <w:szCs w:val="15"/>
                <w:color w:val="auto"/>
              </w:rPr>
            </w:pPr>
          </w:p>
        </w:tc>
        <w:tc>
          <w:tcPr>
            <w:tcW w:w="10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Tampa Ammonia Benchmark</w:t>
            </w:r>
          </w:p>
        </w:tc>
        <w:tc>
          <w:tcPr>
            <w:tcW w:w="2800" w:type="dxa"/>
            <w:vAlign w:val="bottom"/>
            <w:tcBorders>
              <w:right w:val="single" w:sz="8" w:color="CFF0FC"/>
            </w:tcBorders>
            <w:gridSpan w:val="2"/>
            <w:shd w:val="clear" w:color="auto" w:fill="CFF0FC"/>
          </w:tcPr>
          <w:p>
            <w:pPr>
              <w:spacing w:after="0"/>
              <w:rPr>
                <w:sz w:val="18"/>
                <w:szCs w:val="18"/>
                <w:color w:val="auto"/>
              </w:rPr>
            </w:pPr>
          </w:p>
        </w:tc>
        <w:tc>
          <w:tcPr>
            <w:tcW w:w="28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506</w:t>
            </w:r>
          </w:p>
        </w:tc>
        <w:tc>
          <w:tcPr>
            <w:tcW w:w="30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488</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4"/>
        </w:trPr>
        <w:tc>
          <w:tcPr>
            <w:tcW w:w="52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NOLA UAN</w:t>
            </w: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319</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-1553845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-1553845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-1553845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noted in the table above, we recorded net sales of $615.2 million in 2025, compared to $522.4 million for 2024, representing an increase of $92.8 million. The increase was primarily driven by higher sales volumes of AN &amp; Nitric Acid and UAN, reflecting improved plant reliability, throughput, and operational efficiency, as well as the absence of major Turnaround activities during 2025. Improved pricing, particularly for UAN, also contributed to the increase in net sales. The price decrease within the AN &amp; Nitric Acid product group was primarily a result of the changing product mix within that group. Ammonia sales declined, in line with our strategy to upgrade ammonia to maximize higher value downstream products like Nitric Acid, AN and UAN.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As noted in the table above, we recognized a gross profit of $104.3 million for 2025 compared to $47.8 million for 2024, or a $56.5 million increase. Overall, our gross profit percentage was 17.0% for 2025 compared to 9.1% for 2024. Our adjusted gross profit percentage increased to 31.2% for 2025 from 30.6% for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gross profit for 2025 was higher compared to the prior year primarily due to the favorable sales volumes and prices and lower Turnaround expenses.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favorable changes were partially offset by higher natural gas costs.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SG&amp;A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selling, general and administrative expenses were $41.5 million for 2025, a decrease of $0.3 million compared to 2024. The net decrease was primarily driven by decreases in professional fees, insurance and other miscellaneous expenses items, partially offset by an increase in compensation related expenses.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Other expense, net, which consists primarily of asset write-downs, was lower in 2025 compared to the prior year. During 2025 and 2024, we recorded asset write-downs of $6.4 million and $11.7 million, respectively. Included in the write-down for 2025 was a $1.5 million impairment on a parcel of land for which we are currently in negotiations to sell. The remaining write-downs for 2025 and for 2024 were primarily related to assets sold or no longer in use.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Interest expense, net for 2025 was $30.7 million compared to $34.5 million for 2024. The decrease was primarily related to a declining balance in the outstanding amount of our Senior Secured Notes as a result of debt repurchases made in recent years. Interest expense was also lower, as we paid off our Secured Financing Agreement due 2025 in August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Extinguishment of Debt</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2025, we repurchased $39.9 million of our Senior Secured Notes through open market transactions for approximately $39.5 million. Including our write-off of the associated remaining portion of unamortized debt issuance costs, we recognized a loss on extinguishment of debt of approximately $0.1 million.</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2024, we repurchased $96.6 million of our Senior Secured Notes through open market transactions for approximately $92.2 million. Including our write-off of the associated remaining portion of unamortized debt issuance costs, we recognized a gain on extinguishment of debt of approximately $3.0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Other Income, net</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Non-operating other income for 2025 was $6.0 million compared to $10.9 million for 2024, primarily relating to interest income earned during both periods from our short-term investments and cash equivalents. Interest income was lower as a result of lower interest rates and a decline in the amount of short-term investments and cash equivalents that we carry.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provision for income taxes for 2025 was $7.9 million compared to the benefit for income taxes of $6.7 million for 2024. The resulting effective tax rate for 2025 was 24.4% on pre-tax income compared to 25.7% for 2024 on pre-tax loss. For 2025, the effective tax rate was higher than the statutory rate primarily due to nondeductible compensation expense. For 2024, the effective tax rate was higher than the statutory rate primarily due to changes to valuation allowances and remeasurement of state deferred balances as a result of changes to state apportionment. Also see discussion in Note 6 – Income Taxes.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activities for 2025 and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3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5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 operating activities</w:t>
            </w:r>
          </w:p>
        </w:tc>
        <w:tc>
          <w:tcPr>
            <w:tcW w:w="17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95,522</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86,576</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8,946</w:t>
            </w:r>
          </w:p>
        </w:tc>
      </w:tr>
      <w:tr>
        <w:trPr>
          <w:trHeight w:val="196"/>
        </w:trPr>
        <w:tc>
          <w:tcPr>
            <w:tcW w:w="3900" w:type="dxa"/>
            <w:vAlign w:val="bottom"/>
            <w:tcBorders>
              <w:top w:val="single" w:sz="8" w:color="CFF0FC"/>
            </w:tcBorders>
          </w:tcPr>
          <w:p>
            <w:pPr>
              <w:spacing w:after="0"/>
              <w:rPr>
                <w:sz w:val="17"/>
                <w:szCs w:val="17"/>
                <w:color w:val="auto"/>
              </w:rPr>
            </w:pPr>
          </w:p>
        </w:tc>
        <w:tc>
          <w:tcPr>
            <w:tcW w:w="130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5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 investing activities</w:t>
            </w:r>
          </w:p>
        </w:tc>
        <w:tc>
          <w:tcPr>
            <w:tcW w:w="17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(42,356)</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(53,080)</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10,724</w:t>
            </w:r>
          </w:p>
        </w:tc>
      </w:tr>
      <w:tr>
        <w:trPr>
          <w:trHeight w:val="197"/>
        </w:trPr>
        <w:tc>
          <w:tcPr>
            <w:tcW w:w="3900" w:type="dxa"/>
            <w:vAlign w:val="bottom"/>
            <w:tcBorders>
              <w:top w:val="single" w:sz="8" w:color="CFF0FC"/>
            </w:tcBorders>
          </w:tcPr>
          <w:p>
            <w:pPr>
              <w:spacing w:after="0"/>
              <w:rPr>
                <w:sz w:val="17"/>
                <w:szCs w:val="17"/>
                <w:color w:val="auto"/>
              </w:rPr>
            </w:pPr>
          </w:p>
        </w:tc>
        <w:tc>
          <w:tcPr>
            <w:tcW w:w="130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3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 financing activities</w:t>
            </w:r>
          </w:p>
        </w:tc>
        <w:tc>
          <w:tcPr>
            <w:tcW w:w="130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(53,885)</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(114,298)</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60,413</w:t>
            </w:r>
          </w:p>
        </w:tc>
      </w:tr>
      <w:tr>
        <w:trPr>
          <w:trHeight w:val="20"/>
        </w:trPr>
        <w:tc>
          <w:tcPr>
            <w:tcW w:w="39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-624840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-607695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-624840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-607695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-325120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-307975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-325120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-307975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-25400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Net Cash Flow from Operating Activities</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$95.5 million for 2025 compared to $86.6 million for 2024, a change of $8.9 million. The increase was primarily a result of improved gross profit partially offset by changes in working capital.</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Net Cash Flow from Investing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by investing activities was $42.4 million for 2025 compared to $53.1 million used by investing activities for 2024, a change of $10.7 million.</w:t>
      </w:r>
    </w:p>
    <w:p>
      <w:pPr>
        <w:spacing w:after="0" w:line="11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2025, the net cash used by investing activities primarily related to expenditures for property, plant and equipment of $77.5 million, partially offset by proceeds from net redemptions (i.e. amounts maturing exceeded amounts reinvested) of our short-term investments of $34.5 million.</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2024, the net cash used by investing activities primarily related to expenditures for property, plant and equipment of $92.3 million, partially offset by proceeds from net redemptions of our short-term investments of $39.4 million.</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Net Cash Flow from Financing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by financing activities was $53.9 million for 2025 compared to $114.3 million used for 2024, a change of $60.4 million.</w:t>
      </w:r>
    </w:p>
    <w:p>
      <w:pPr>
        <w:spacing w:after="0" w:line="1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2025, the net cash used by financing activities primarily consisted of repurchases of our Senior Secured Notes of $39.5 million, payments on our Secured Financing due 2025 and short-term financing of $24.9 million, repurchases of $2.4 million of common stock and $1.2 million for tax withholding obligations related to the vesting of equity awards partially offset by proceeds from short-term financing of $14.2 million.</w:t>
      </w:r>
    </w:p>
    <w:p>
      <w:pPr>
        <w:spacing w:after="0" w:line="6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For 2024, the net cash used primarily consists of repurchases of our Senior Secured Notes of $92.2 million, payments on other long-term debt and short-term financing of $23.4 million, repurchases of $11.9 million of common stock, and $2.1 million for tax withholding obligations related to the vesting of equity awards, partially offset by proceeds from short-term financing of $16.1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5" w:name="page36"/>
    <w:bookmarkEnd w:id="35"/>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Capitalization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total current cash, cash equivalents and short-term investments, long-term debt and stockholders’ equity: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w w:val="93"/>
              </w:rPr>
              <w:t>Millions)</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78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19.5</w:t>
            </w: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129.0</w:t>
            </w:r>
          </w:p>
        </w:tc>
        <w:tc>
          <w:tcPr>
            <w:tcW w:w="4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164.0</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and cash equivalents and short-term investments</w:t>
            </w:r>
          </w:p>
        </w:tc>
        <w:tc>
          <w:tcPr>
            <w:tcW w:w="278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148.5</w:t>
            </w: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184.2</w:t>
            </w:r>
          </w:p>
        </w:tc>
        <w:tc>
          <w:tcPr>
            <w:tcW w:w="0" w:type="dxa"/>
            <w:vAlign w:val="bottom"/>
          </w:tcPr>
          <w:p>
            <w:pPr>
              <w:spacing w:after="0"/>
              <w:rPr>
                <w:sz w:val="1"/>
                <w:szCs w:val="1"/>
                <w:color w:val="auto"/>
              </w:rPr>
            </w:pPr>
          </w:p>
        </w:tc>
      </w:tr>
      <w:tr>
        <w:trPr>
          <w:trHeight w:val="197"/>
        </w:trPr>
        <w:tc>
          <w:tcPr>
            <w:tcW w:w="6000" w:type="dxa"/>
            <w:vAlign w:val="bottom"/>
            <w:tcBorders>
              <w:top w:val="single" w:sz="8" w:color="CFF0FC"/>
            </w:tcBorders>
          </w:tcPr>
          <w:p>
            <w:pPr>
              <w:spacing w:after="0"/>
              <w:rPr>
                <w:sz w:val="17"/>
                <w:szCs w:val="17"/>
                <w:color w:val="auto"/>
              </w:rPr>
            </w:pPr>
          </w:p>
        </w:tc>
        <w:tc>
          <w:tcPr>
            <w:tcW w:w="1720" w:type="dxa"/>
            <w:vAlign w:val="bottom"/>
            <w:tcBorders>
              <w:top w:val="single" w:sz="8" w:color="CFF0FC"/>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 and long-term debt:</w:t>
            </w:r>
          </w:p>
        </w:tc>
        <w:tc>
          <w:tcPr>
            <w:tcW w:w="17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780" w:type="dxa"/>
            <w:vAlign w:val="bottom"/>
            <w:gridSpan w:val="2"/>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Senior Secured Notes due 2028 </w:t>
            </w:r>
            <w:r>
              <w:rPr>
                <w:rFonts w:ascii="Times New Roman" w:cs="Times New Roman" w:eastAsia="Times New Roman" w:hAnsi="Times New Roman"/>
                <w:sz w:val="9"/>
                <w:szCs w:val="9"/>
                <w:color w:val="auto"/>
              </w:rPr>
              <w:t>(1)</w:t>
            </w:r>
          </w:p>
        </w:tc>
        <w:tc>
          <w:tcPr>
            <w:tcW w:w="17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438.6</w:t>
            </w:r>
          </w:p>
        </w:tc>
        <w:tc>
          <w:tcPr>
            <w:tcW w:w="4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478.4</w:t>
            </w:r>
          </w:p>
        </w:tc>
        <w:tc>
          <w:tcPr>
            <w:tcW w:w="0" w:type="dxa"/>
            <w:vAlign w:val="bottom"/>
          </w:tcPr>
          <w:p>
            <w:pPr>
              <w:spacing w:after="0"/>
              <w:rPr>
                <w:sz w:val="1"/>
                <w:szCs w:val="1"/>
                <w:color w:val="auto"/>
              </w:rPr>
            </w:pPr>
          </w:p>
        </w:tc>
      </w:tr>
      <w:tr>
        <w:trPr>
          <w:trHeight w:val="216"/>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Secured Financing Agreement due 2025</w:t>
            </w:r>
          </w:p>
        </w:tc>
        <w:tc>
          <w:tcPr>
            <w:tcW w:w="1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7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6.2</w:t>
            </w:r>
          </w:p>
        </w:tc>
        <w:tc>
          <w:tcPr>
            <w:tcW w:w="4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Unamortized debt issuance costs </w:t>
            </w:r>
            <w:r>
              <w:rPr>
                <w:rFonts w:ascii="Times New Roman" w:cs="Times New Roman" w:eastAsia="Times New Roman" w:hAnsi="Times New Roman"/>
                <w:sz w:val="9"/>
                <w:szCs w:val="9"/>
                <w:color w:val="auto"/>
              </w:rPr>
              <w:t>(2)</w:t>
            </w:r>
          </w:p>
        </w:tc>
        <w:tc>
          <w:tcPr>
            <w:tcW w:w="1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(3.8)</w:t>
            </w:r>
          </w:p>
        </w:tc>
        <w:tc>
          <w:tcPr>
            <w:tcW w:w="4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debt, including current portion, net</w:t>
            </w:r>
          </w:p>
        </w:tc>
        <w:tc>
          <w:tcPr>
            <w:tcW w:w="278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441.0</w:t>
            </w: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485.2</w:t>
            </w:r>
          </w:p>
        </w:tc>
        <w:tc>
          <w:tcPr>
            <w:tcW w:w="0" w:type="dxa"/>
            <w:vAlign w:val="bottom"/>
          </w:tcPr>
          <w:p>
            <w:pPr>
              <w:spacing w:after="0"/>
              <w:rPr>
                <w:sz w:val="1"/>
                <w:szCs w:val="1"/>
                <w:color w:val="auto"/>
              </w:rPr>
            </w:pPr>
          </w:p>
        </w:tc>
      </w:tr>
      <w:tr>
        <w:trPr>
          <w:trHeight w:val="20"/>
        </w:trPr>
        <w:tc>
          <w:tcPr>
            <w:tcW w:w="600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Total stockholders' equity</w:t>
            </w:r>
          </w:p>
        </w:tc>
        <w:tc>
          <w:tcPr>
            <w:tcW w:w="2780" w:type="dxa"/>
            <w:vAlign w:val="bottom"/>
            <w:gridSpan w:val="2"/>
          </w:tcPr>
          <w:p>
            <w:pPr>
              <w:jc w:val="right"/>
              <w:ind w:right="908"/>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8"/>
              <w:spacing w:after="0" w:line="196" w:lineRule="exact"/>
              <w:rPr>
                <w:sz w:val="20"/>
                <w:szCs w:val="20"/>
                <w:color w:val="auto"/>
              </w:rPr>
            </w:pPr>
            <w:r>
              <w:rPr>
                <w:rFonts w:ascii="Times New Roman" w:cs="Times New Roman" w:eastAsia="Times New Roman" w:hAnsi="Times New Roman"/>
                <w:sz w:val="18"/>
                <w:szCs w:val="18"/>
                <w:color w:val="auto"/>
              </w:rPr>
              <w:t>520.0</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491.6</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_____________________________</w:t>
            </w:r>
          </w:p>
        </w:tc>
        <w:tc>
          <w:tcPr>
            <w:tcW w:w="17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6000" w:type="dxa"/>
            <w:vAlign w:val="bottom"/>
            <w:vMerge w:val="continue"/>
          </w:tcPr>
          <w:p>
            <w:pPr>
              <w:spacing w:after="0"/>
              <w:rPr>
                <w:sz w:val="9"/>
                <w:szCs w:val="9"/>
                <w:color w:val="auto"/>
              </w:rPr>
            </w:pPr>
          </w:p>
        </w:tc>
        <w:tc>
          <w:tcPr>
            <w:tcW w:w="17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-1399540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-1382395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-1399540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-1382395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-267970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-251460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-267970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-251460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discussion below relating to the debt repurchases.</w:t>
      </w:r>
    </w:p>
    <w:p>
      <w:pPr>
        <w:spacing w:after="0" w:line="26" w:lineRule="exact"/>
        <w:rPr>
          <w:rFonts w:ascii="Times New Roman" w:cs="Times New Roman" w:eastAsia="Times New Roman" w:hAnsi="Times New Roman"/>
          <w:sz w:val="16"/>
          <w:szCs w:val="16"/>
          <w:color w:val="auto"/>
        </w:rPr>
      </w:pPr>
    </w:p>
    <w:p>
      <w:pPr>
        <w:ind w:left="520" w:right="20" w:hanging="512"/>
        <w:spacing w:after="0" w:line="288" w:lineRule="auto"/>
        <w:tabs>
          <w:tab w:leader="none" w:pos="5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issuance costs as of December 31, 2025 and 2024 of approximately $0.5 million and $0.6 million, respectively, relating to our Revolving Credit Facility are not included in Unamortized debt issuance cost. These costs are included in our consolidated balance sheet in Intangible and other assets, net.</w:t>
      </w:r>
    </w:p>
    <w:p>
      <w:pPr>
        <w:spacing w:after="0" w:line="5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Revolving Credit Facility – </w:t>
      </w:r>
      <w:r>
        <w:rPr>
          <w:rFonts w:ascii="Times New Roman" w:cs="Times New Roman" w:eastAsia="Times New Roman" w:hAnsi="Times New Roman"/>
          <w:sz w:val="18"/>
          <w:szCs w:val="18"/>
          <w:color w:val="auto"/>
        </w:rPr>
        <w:t>In December 2023, we entered into a secured revolving credit facility (the “Revolving Credit Facility”) with the lenders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identified on the signature pages thereof and JPMorgan Chase Bank, N.A, as administrative agent. The Revolving Credit Facility provides for borrowings up to an initial maximum of $75 million, with an option to increase the maximum by an additional $25 million (which amount is uncommitted). Availability under the Revolving Credit Facility is subject to a borrowing base and is subject to an availability block of $7.5 million, which is applied against the $75 million initially reducing the maximum (which can be removed by us at our sole discretion, subject to the satisfaction of certain conditions) (the “Availability Block”). The Revolving Credit Facility provides for a sub-facility for the issuance of letters of credit in an aggregate amount not to exceed $10 million, with the outstanding amount of any such letters of credit reducing availability for borrowings. As of December 31, 2025 our Revolving Credit Facility was undrawn and had approximately $44.3 million of availability.</w:t>
      </w:r>
    </w:p>
    <w:p>
      <w:pPr>
        <w:spacing w:after="0" w:line="8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Revolving Credit Facility contains one financial covenant, which requires that, solely if we elect to remove the Availability Block, then we must maintain a minimum fixed charge coverage ratio of not less than 1.00:1.00. The financial covenant, if triggered, is tested monthly. The financial covenant was not triggered as of December 31, 2025.</w:t>
      </w:r>
    </w:p>
    <w:p>
      <w:pPr>
        <w:spacing w:after="0" w:line="6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Senior Secured Notes due 2028 – </w:t>
      </w:r>
      <w:r>
        <w:rPr>
          <w:rFonts w:ascii="Times New Roman" w:cs="Times New Roman" w:eastAsia="Times New Roman" w:hAnsi="Times New Roman"/>
          <w:sz w:val="18"/>
          <w:szCs w:val="18"/>
          <w:color w:val="auto"/>
        </w:rPr>
        <w:t>As of December 31, 2025, we had $438.6 million outstanding in aggregate principal amount of Senior Secured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originated from the issuance at par of two tranches of $500 million and $200 million in aggregate principal of such notes in October 2021 and March 2022, respectively. During 2025, we repurchased $39.9 million of Senior Secured Notes through open market transactions for approximately $39.5 million and recognized a loss on extinguishment of debt of approximately $0.1 million. During 2024, we repurchased $96.6 million of Senior Secured Notes through open market transactions for approximately $92.2 million and recognized a gain on extinguishment of debt of approximately $3.0 million. The Senior Secured Notes have an interest rate of 6.25%, to be paid semiannually in arrears on May 15th and October 15th, and mature on October 15, 2028.</w:t>
      </w:r>
    </w:p>
    <w:p>
      <w:pPr>
        <w:spacing w:after="0" w:line="6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Secured Financing Agreement due 2025 – </w:t>
      </w:r>
      <w:r>
        <w:rPr>
          <w:rFonts w:ascii="Times New Roman" w:cs="Times New Roman" w:eastAsia="Times New Roman" w:hAnsi="Times New Roman"/>
          <w:sz w:val="18"/>
          <w:szCs w:val="18"/>
          <w:color w:val="auto"/>
        </w:rPr>
        <w:t>During the third quarter of 2025, we paid off the loan by making the final balloon payment of approximately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 million on a 60-month, $30 million secured financing arrangement with an affiliate of Eldridge Industries, L.L.C.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Finance Leases – </w:t>
      </w:r>
      <w:r>
        <w:rPr>
          <w:rFonts w:ascii="Times New Roman" w:cs="Times New Roman" w:eastAsia="Times New Roman" w:hAnsi="Times New Roman"/>
          <w:sz w:val="18"/>
          <w:szCs w:val="18"/>
          <w:color w:val="auto"/>
        </w:rPr>
        <w:t>Our finance leases consist primarily of leases on railcars. Most of our railcar leases are classified as operating leases.</w:t>
      </w:r>
    </w:p>
    <w:p>
      <w:pPr>
        <w:spacing w:after="0" w:line="10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Capital Expenditures – </w:t>
      </w:r>
      <w:r>
        <w:rPr>
          <w:rFonts w:ascii="Times New Roman" w:cs="Times New Roman" w:eastAsia="Times New Roman" w:hAnsi="Times New Roman"/>
          <w:sz w:val="18"/>
          <w:szCs w:val="18"/>
          <w:color w:val="auto"/>
        </w:rPr>
        <w:t>Our capital expenditures during 2025 relating to plant, property and equipment were $77.5 million compared to $92.3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Of the expenditures in 2025, approximately $52.7 million was spent on projects to sustain our production capacity while approximately $24.8 million was spent on growth initiatives. Our capital expenditures were funded primarily from cash</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6" w:name="page37"/>
    <w:bookmarkEnd w:id="36"/>
    <w:p>
      <w:pPr>
        <w:ind w:right="200"/>
        <w:spacing w:after="0" w:line="282" w:lineRule="auto"/>
        <w:rPr>
          <w:sz w:val="20"/>
          <w:szCs w:val="20"/>
          <w:color w:val="auto"/>
        </w:rPr>
      </w:pPr>
      <w:r>
        <w:rPr>
          <w:rFonts w:ascii="Times New Roman" w:cs="Times New Roman" w:eastAsia="Times New Roman" w:hAnsi="Times New Roman"/>
          <w:sz w:val="18"/>
          <w:szCs w:val="18"/>
          <w:color w:val="auto"/>
        </w:rPr>
        <w:t>and working capital. We expect capital expenditures to be approximately $75 million for 2026 of which $55 million is expected to be spent on sustaining production with the remainder spent on growth initiatives.</w:t>
      </w:r>
    </w:p>
    <w:p>
      <w:pPr>
        <w:spacing w:after="0" w:line="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Liquidity – </w:t>
      </w:r>
      <w:r>
        <w:rPr>
          <w:rFonts w:ascii="Times New Roman" w:cs="Times New Roman" w:eastAsia="Times New Roman" w:hAnsi="Times New Roman"/>
          <w:sz w:val="18"/>
          <w:szCs w:val="18"/>
          <w:color w:val="auto"/>
        </w:rPr>
        <w:t>We believe that the combination of our cash and cash equivalents, short-term investments, the availability on our Revolving Credit Facility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cash flow from operations will be sufficient to fund our anticipated liquidity needs for the next 12 months.</w:t>
      </w:r>
    </w:p>
    <w:p>
      <w:pPr>
        <w:spacing w:after="0" w:line="5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of December 31, 2025, we had approximately $148.5 million in cash and cash equivalents and short-term investments. Our capital allocation strategy includes, from time to time, seeking to deploy capital through additional share repurchases or the retirement or purchase of outstanding debt. Such repurchases may be made in open market purchases, privately negotiated transactions or otherwise and will depend on prevailing market conditions, our liquidity requirements, contractual restrictions and other factors.</w:t>
      </w:r>
    </w:p>
    <w:p>
      <w:pPr>
        <w:spacing w:after="0" w:line="6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Equity and Debt Repurchases – </w:t>
      </w:r>
      <w:r>
        <w:rPr>
          <w:rFonts w:ascii="Times New Roman" w:cs="Times New Roman" w:eastAsia="Times New Roman" w:hAnsi="Times New Roman"/>
          <w:sz w:val="18"/>
          <w:szCs w:val="18"/>
          <w:color w:val="auto"/>
        </w:rPr>
        <w:t>In May 2023, our Board authorized a $150 million stock repurchase program. The program is intended as a means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maximize stockholder value by returning capital to stockholders. Under the repurchase program, we are authorized to purchase shares from time to time through open market or privately negotiated transactions. Such purchases may be made pursuant to Rule 10b5-1 plans or other means as determined by our management and in accordance with the requirements of the SEC. The repurchase program does not obligate us to purchase any particular number or type of securities.</w:t>
      </w:r>
    </w:p>
    <w:p>
      <w:pPr>
        <w:spacing w:after="0" w:line="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2025, we repurchased approximately 0.3 million shares at an average cost of $9.15 per share, all of which occurred during our fiscal quarter ended December 31, 2025. Total repurchase authority remaining under the repurchase program was $106.6 million as of December 31, 2025. The repurchase program does not have a set expiration date, but may be suspended, terminated or modified at any time for any reason.</w:t>
      </w:r>
    </w:p>
    <w:p>
      <w:pPr>
        <w:spacing w:after="0" w:line="6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During 2025, we repurchased $39.9 million in principal amount of our Senior Secured Notes for approximately $39.5 million, which was accounted for as an extinguishment of debt. Including our write-off of the associated remaining portion of unamortized debt issuance costs, we recognized a loss on extinguishment of debt of approximately $0.1 million. The debt repurchase was intended as a means to deleverage our balance sheet and reduce future interest costs while maintaining a balanced capital allocation strategy that provides an appropriate level of liquidity to fund our operations and future growth opportunities.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 Associated with Environmental Regulatory Compliance</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subject to numerous federal, state and local laws and regulations, including matters regarding environmental, health and safety matters. As a result, we incurred expenses of $4.1 million in 2025 for environmental compliance, compared to $5.2 million in 2024. For 2026, we expect to incur expenses of approximately $5.8 million for environmental compliance. However, it is possible that the actual costs could be significantly different from our estimates.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We have not paid cash dividends on our outstanding common stock in many years, and we do not currently anticipate paying cash dividends on our outstanding common stock in the near future.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Seasonality</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believe sales of fertilizer products to the agricultural industry are seasonal while sales into the industrial sectors generally are less susceptible to seasonal conditions or cycles. The selling seasons for agricultural products are primarily during the spring and fall planting seasons, which typically extend from March through June and from September through November in the geographical markets where we distribute the majority of our agricultural products. As a result, we typically increase our inventory of fertilizer products prior to the beginning of each planting season in order to meet the demand for our products. In addition, the amount and timing of sales to the agricultural markets depend upon weather conditions and other circumstances beyond our control. With respect to feedstock cost, we may experience higher cost of natural gas in winter months as a result of increased heating demand combined with the potential of constrained supply during periods of very cold temperatures.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Performance and Payment Bonds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December 31, 2025, we have agreed to indemnify the sureties for payments, up to $10.2 million, made by them in respect of such bonds. All of these insurance bonds are expected to remain in place in 2026.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 sheet arrangements as defined in Item 303(a)(4)(ii) of Regulation S-K under the Securities Exchange Act of 1934.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auto"/>
        </w:rPr>
        <w:t>Aggregate Contractual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our aggregate contractual obligations are summarized in the following table: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00" w:type="dxa"/>
            <w:vAlign w:val="bottom"/>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vMerge w:val="restart"/>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Payments Due in the Year Ending December 31,</w:t>
            </w: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0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2027</w:t>
            </w: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2028</w:t>
            </w: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2029</w:t>
            </w: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2030</w:t>
            </w:r>
          </w:p>
        </w:tc>
        <w:tc>
          <w:tcPr>
            <w:tcW w:w="280" w:type="dxa"/>
            <w:vAlign w:val="bottom"/>
          </w:tcPr>
          <w:p>
            <w:pPr>
              <w:spacing w:after="0"/>
              <w:rPr>
                <w:sz w:val="12"/>
                <w:szCs w:val="12"/>
                <w:color w:val="auto"/>
              </w:rPr>
            </w:pPr>
          </w:p>
        </w:tc>
        <w:tc>
          <w:tcPr>
            <w:tcW w:w="820" w:type="dxa"/>
            <w:vAlign w:val="bottom"/>
            <w:tcBorders>
              <w:bottom w:val="single" w:sz="8" w:color="auto"/>
            </w:tcBorders>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Senior Secured Notes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438,580</w:t>
            </w:r>
          </w:p>
        </w:tc>
        <w:tc>
          <w:tcPr>
            <w:tcW w:w="30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438,580</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500" w:type="dxa"/>
            <w:vAlign w:val="bottom"/>
            <w:tcBorders>
              <w:bottom w:val="single" w:sz="8" w:color="CFF0FC"/>
            </w:tcBorders>
            <w:shd w:val="clear" w:color="auto" w:fill="CFF0FC"/>
          </w:tcPr>
          <w:p>
            <w:pPr>
              <w:ind w:left="80"/>
              <w:spacing w:after="0" w:line="202" w:lineRule="exact"/>
              <w:rPr>
                <w:sz w:val="20"/>
                <w:szCs w:val="20"/>
                <w:color w:val="auto"/>
              </w:rPr>
            </w:pPr>
            <w:r>
              <w:rPr>
                <w:rFonts w:ascii="Times New Roman" w:cs="Times New Roman" w:eastAsia="Times New Roman" w:hAnsi="Times New Roman"/>
                <w:sz w:val="18"/>
                <w:szCs w:val="18"/>
                <w:color w:val="auto"/>
              </w:rPr>
              <w:t>Finance leases</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6,233</w:t>
            </w:r>
          </w:p>
        </w:tc>
        <w:tc>
          <w:tcPr>
            <w:tcW w:w="3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444,813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439,307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payments on long-term debt (1)</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71,040</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27,844</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27,788</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14,028</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Short-term financing</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57,426</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11,073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9,850</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8,515</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7,359</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6,704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Natural gas pipeline commitment (2)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contractual obligations (3)</w:t>
            </w:r>
          </w:p>
        </w:tc>
        <w:tc>
          <w:tcPr>
            <w:tcW w:w="2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6,067</w:t>
            </w:r>
          </w:p>
        </w:tc>
        <w:tc>
          <w:tcPr>
            <w:tcW w:w="3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2,786</w:t>
            </w:r>
          </w:p>
        </w:tc>
        <w:tc>
          <w:tcPr>
            <w:tcW w:w="2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2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2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2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rPr>
              <w:t>590,932</w:t>
            </w:r>
          </w:p>
        </w:tc>
        <w:tc>
          <w:tcPr>
            <w:tcW w:w="30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rPr>
              <w:t>53,869</w:t>
            </w:r>
          </w:p>
        </w:tc>
        <w:tc>
          <w:tcPr>
            <w:tcW w:w="2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u w:val="single" w:color="auto"/>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rPr>
              <w:t>39,964</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rPr>
              <w:t>463,246</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8,536</w:t>
            </w:r>
          </w:p>
        </w:tc>
        <w:tc>
          <w:tcPr>
            <w:tcW w:w="28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7,828</w:t>
            </w:r>
          </w:p>
        </w:tc>
        <w:tc>
          <w:tcPr>
            <w:tcW w:w="28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rPr>
              <w:t>17,489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-979805</wp:posOffset>
            </wp:positionV>
            <wp:extent cx="768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-979805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-979805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-979805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-979805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-979805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-979805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-10795</wp:posOffset>
            </wp:positionV>
            <wp:extent cx="120840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-79375</wp:posOffset>
            </wp:positionV>
            <wp:extent cx="47231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723130" cy="8255"/>
                    </a:xfrm>
                    <a:prstGeom prst="rect">
                      <a:avLst/>
                    </a:prstGeom>
                    <a:noFill/>
                  </pic:spPr>
                </pic:pic>
              </a:graphicData>
            </a:graphic>
          </wp:anchor>
        </w:drawing>
      </w:r>
    </w:p>
    <w:p>
      <w:pPr>
        <w:spacing w:after="0" w:line="56" w:lineRule="exact"/>
        <w:rPr>
          <w:sz w:val="20"/>
          <w:szCs w:val="20"/>
          <w:color w:val="auto"/>
        </w:rPr>
      </w:pPr>
    </w:p>
    <w:p>
      <w:pPr>
        <w:ind w:left="860" w:right="160" w:hanging="478"/>
        <w:spacing w:after="0" w:line="253" w:lineRule="auto"/>
        <w:tabs>
          <w:tab w:leader="none" w:pos="8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estimated interest payments are all based on fixed interest rates. As of December 31, 2025, we do not have any outstanding borrowings based on variable interest rates.</w:t>
      </w:r>
    </w:p>
    <w:p>
      <w:pPr>
        <w:spacing w:after="0" w:line="6" w:lineRule="exact"/>
        <w:rPr>
          <w:rFonts w:ascii="Times New Roman" w:cs="Times New Roman" w:eastAsia="Times New Roman" w:hAnsi="Times New Roman"/>
          <w:sz w:val="18"/>
          <w:szCs w:val="18"/>
          <w:color w:val="auto"/>
        </w:rPr>
      </w:pPr>
    </w:p>
    <w:p>
      <w:pPr>
        <w:ind w:left="860" w:hanging="478"/>
        <w:spacing w:after="0"/>
        <w:tabs>
          <w:tab w:leader="none" w:pos="8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Our proportionate share of the minimum costs to ensure capacity relating to a gathering and pipeline system.</w:t>
      </w:r>
    </w:p>
    <w:p>
      <w:pPr>
        <w:spacing w:after="0" w:line="9" w:lineRule="exact"/>
        <w:rPr>
          <w:rFonts w:ascii="Times New Roman" w:cs="Times New Roman" w:eastAsia="Times New Roman" w:hAnsi="Times New Roman"/>
          <w:sz w:val="18"/>
          <w:szCs w:val="18"/>
          <w:color w:val="auto"/>
        </w:rPr>
      </w:pPr>
    </w:p>
    <w:p>
      <w:pPr>
        <w:ind w:left="860" w:hanging="478"/>
        <w:spacing w:after="0"/>
        <w:tabs>
          <w:tab w:leader="none" w:pos="8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Includes commitments for utility purchases, natural gas transportation and forward contracts on natural gas.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New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 – Summary of Significant Accounting Policies for recently adopted and issued accounting standards.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Estimates</w:t>
      </w:r>
    </w:p>
    <w:p>
      <w:pPr>
        <w:spacing w:after="0" w:line="121"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requires management to make estimates and assumptions that affect the reported amount of assets, liabilities, revenues and expenses, and disclosures of contingencies and fair values. It is reasonably possible that the estimates and assumptions utilized as of December 31, 2025, could change in the near term. The more critical areas of financial reporting affected by management's judgment, estimates and assumptions include the following:</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Contingencies </w:t>
      </w:r>
      <w:r>
        <w:rPr>
          <w:rFonts w:ascii="Times New Roman" w:cs="Times New Roman" w:eastAsia="Times New Roman" w:hAnsi="Times New Roman"/>
          <w:sz w:val="18"/>
          <w:szCs w:val="18"/>
          <w:color w:val="auto"/>
        </w:rPr>
        <w:t>– Certain conditions may exist which may result in a loss, but which will only be resolved when future events occur. We assess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contingent liabilities, and such assessment inherently involves an exercise of judgment. If the assessment of a contingency indicates that it is probable that a loss has been incurred, we would accrue for such contingent loss when such loss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realizable and earned.</w:t>
      </w:r>
    </w:p>
    <w:p>
      <w:pPr>
        <w:spacing w:after="0" w:line="81"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We are involved in various legal matters that require management to make estimates and assumptions as discussed in Note 7 – Commitments and Contingencies.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reasonably possible that the actual costs could be significantly different than our estimates.</w:t>
      </w:r>
    </w:p>
    <w:p>
      <w:pPr>
        <w:spacing w:after="0" w:line="11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Regulatory Compliance </w:t>
      </w:r>
      <w:r>
        <w:rPr>
          <w:rFonts w:ascii="Times New Roman" w:cs="Times New Roman" w:eastAsia="Times New Roman" w:hAnsi="Times New Roman"/>
          <w:sz w:val="18"/>
          <w:szCs w:val="18"/>
          <w:color w:val="auto"/>
        </w:rPr>
        <w:t>– As discussed under “</w:t>
      </w:r>
      <w:r>
        <w:rPr>
          <w:rFonts w:ascii="Times New Roman" w:cs="Times New Roman" w:eastAsia="Times New Roman" w:hAnsi="Times New Roman"/>
          <w:sz w:val="18"/>
          <w:szCs w:val="18"/>
          <w:i w:val="1"/>
          <w:iCs w:val="1"/>
          <w:color w:val="auto"/>
        </w:rPr>
        <w:t>Item 1. Business–Government Regulation</w:t>
      </w:r>
      <w:r>
        <w:rPr>
          <w:rFonts w:ascii="Times New Roman" w:cs="Times New Roman" w:eastAsia="Times New Roman" w:hAnsi="Times New Roman"/>
          <w:sz w:val="18"/>
          <w:szCs w:val="18"/>
          <w:color w:val="auto"/>
        </w:rPr>
        <w:t>” of this report, we are subject to numerous federal, state,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local laws and regulations, including matters regarding environmental, health and safety matters. We have developed policies and procedures related to regulatory compliance. We must continually monitor whether we have maintained compliance with such laws and regulations and the operating implications, if any, and amount of penalties, fines and assessments that may result from noncompliance. We will also be obligated to manage certain discharge water outlets and monitor groundwater contaminants at our chemical facilities should we discontinue the operations of a facility. Certain conditions exist which may result in a loss, but which will only be resolved when future events occur relating to these matters. We are involved in various environmental matters that require management to make estimates and assumptions, including matters discussed in “Note 7 – Commitments and Contingencies.” As of December 31, 2025 and 2024, liabilities totaling $0.7 million and $0.6 million, respectively, have been accrued relating to these matters. It is also reasonably possible that the estimates and assumptions utilized as of December 31, 2025 could change in the near term. Actual results could differ materially from these estimates and judgments, as additional information becomes known.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Income Tax – </w:t>
      </w:r>
      <w:r>
        <w:rPr>
          <w:rFonts w:ascii="Times New Roman" w:cs="Times New Roman" w:eastAsia="Times New Roman" w:hAnsi="Times New Roman"/>
          <w:sz w:val="18"/>
          <w:szCs w:val="18"/>
          <w:color w:val="auto"/>
        </w:rPr>
        <w:t>As discussed under “Income Taxes” in Note 1 – Summary of Significant Accounting Policies and in Note 6 – Income Taxes, income 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accounted for under the asset and liability method. Deferred tax assets and liabilities are measured using enacted tax rates expected to apply to taxable income in the years in which those differences are expected to be recovered or settled. We establish valuation allowances if we believe it is more-likely-than-not that some or all of deferred tax assets will not be realized. Significant judgment is applied in evaluating the need for and the magnitude of appropriate valuation allowances against deferred tax assets. As of December 31, 2025 and 2024, our valuation allowance on deferred tax assets was $14.3 million and $14.2 million, respectively.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Management uses adjusted gross profit as a supplemental measure to review and assess the performance of our core business operations and for planning purposes. We define adjusted gross profit as gross profit excluding depreciation and amortization and Turnaround expenses associated with our cost of sales, which we believe are not reflective of our operating performance in a given period.</w:t>
      </w:r>
    </w:p>
    <w:p>
      <w:pPr>
        <w:spacing w:after="0" w:line="68"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Adjusted gross profit is a metric that provides investors with greater transparency to the information used by management in its financial and operational decision-making. We believe this metric is useful to investors because it facilitates comparisons of our core business operations across periods on a consistent basis. Management believes that the non-GAAP measure presented in this Annual Report on Form 10-K, when viewed in combination with our results prepared in accordance with U.S. GAAP, provides a more complete understanding of the factors and trends affecting our business and performance.</w:t>
      </w:r>
    </w:p>
    <w:p>
      <w:pPr>
        <w:spacing w:after="0" w:line="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Adjusted gross profit is not a measure of financial performance under U.S. GAAP, and should not be considered a substitute for gross profit, which we consider to be the most directly comparable U.S. GAAP measure. Adjusted gross profit has limitations as an analytical tool, and when assessing our operating performance, investors should not consider adjusted gross profit in isolation, or as a substitute for gross profit prepared in accordance with U.S. GAAP. Adjusted gross profit may not be comparable to similarly titled measures of other companies and other companies may not calculate such measure in the same manner as we do.</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gross profit to adjusted gross profit.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Reconciliation of Gross Profit to Adjusted Gross Profit:</w:t>
            </w:r>
          </w:p>
        </w:tc>
        <w:tc>
          <w:tcPr>
            <w:tcW w:w="218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2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6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380" w:type="dxa"/>
            <w:vAlign w:val="bottom"/>
            <w:gridSpan w:val="2"/>
            <w:shd w:val="clear" w:color="auto" w:fill="CFF0FC"/>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104,302</w:t>
            </w:r>
          </w:p>
        </w:tc>
        <w:tc>
          <w:tcPr>
            <w:tcW w:w="98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81,623</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Turnaround expenses</w:t>
            </w:r>
          </w:p>
        </w:tc>
        <w:tc>
          <w:tcPr>
            <w:tcW w:w="218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24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37,781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3380" w:type="dxa"/>
            <w:vAlign w:val="bottom"/>
            <w:gridSpan w:val="2"/>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192,083</w:t>
            </w:r>
          </w:p>
        </w:tc>
        <w:tc>
          <w:tcPr>
            <w:tcW w:w="9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180" w:type="dxa"/>
            <w:vAlign w:val="bottom"/>
            <w:vMerge w:val="restart"/>
          </w:tcPr>
          <w:p>
            <w:pPr>
              <w:jc w:val="right"/>
              <w:ind w:right="1150"/>
              <w:spacing w:after="0"/>
              <w:rPr>
                <w:sz w:val="20"/>
                <w:szCs w:val="20"/>
                <w:color w:val="auto"/>
              </w:rPr>
            </w:pPr>
            <w:r>
              <w:rPr>
                <w:rFonts w:ascii="Times New Roman" w:cs="Times New Roman" w:eastAsia="Times New Roman" w:hAnsi="Times New Roman"/>
                <w:sz w:val="18"/>
                <w:szCs w:val="18"/>
                <w:color w:val="auto"/>
              </w:rPr>
              <w:t>39</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8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8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-1079500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8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Our results of operations and operating cash flows are affected by changes in market prices of ammonia and natural gas and changes in market interest rates.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Sales Commitments</w:t>
      </w:r>
    </w:p>
    <w:p>
      <w:pPr>
        <w:spacing w:after="0" w:line="8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Periodically, we enter into forward firm sales commitments for products to be delivered in future periods. As a result, we could be exposed to embedded losses should our product costs exceed the firm sales prices at the end of a reporting period. As of December 31, 2025, we had no embedded losses associated with sales commitments with firm sales prices.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Prices</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substantial portion of our products and raw materials are commodities whose prices fluctuate as market supply and demand fundamentals change. Since we are exposed to commodity price risk, we periodically enter into contracts to purchase natural gas for anticipated production needs to manage risk related to changes in prices of natural gas commodities. Generally, these contracts are considered normal purchases because they provide for the purchase of natural gas that will be delivered in quantities expected to be used over a reasonable period of time in the normal course of business, such that these contracts are exempt from the accounting and reporting requirements relating to derivatives. As of December 31, 2025 these contracts included volume purchase commitments with fixed prices of approximately 0.2 million MMBtus of natural gas that cover a period from January 2026 through March 2026. The weighted-average price of the natural gas covered by these contracts was $4.39 per MMBtu, for a total of $0.7 million. Based on strip prices, the weighted-average market price of the fixed contracts was $4.39 per MMBtu for a total of $0.7 million.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Rates</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exposed to variable interest rate risk with respect to our Revolving Credit Facility. As of December 31, 2025, we had no outstanding borrowings on the Revolving Credit Facility and no other variable rate borrowings.</w:t>
      </w:r>
    </w:p>
    <w:p>
      <w:pPr>
        <w:spacing w:after="0" w:line="2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have a substantial amount of short-term investments in treasury securities. As these securities mature, to the extent that the proceeds are not required to fund operations, we may roll the funds over by purchasing additional securities. When interest rates fluctuate, there is no assurance that future purchases of short-term debt instruments will provide similar yields to the yields of those that have matured.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have included the financial statements and supplementary financial information required by this item immediately following Part IV of this report and hereby incorporate by reference the relevant portions of those statements and information into this Item 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of the end of the period covered by this report, our management carried out an evaluation, with the participation of our Principal Executive Officer and Principal Financial Officer, of the effectiveness of our disclosure controls and procedures (as defined in Rule 13a-15 under the Exchange Act). Our disclosure controls and procedures are designed to provide reasonable assurance that the information required to be disclosed by the Company in the reports that we file or submit under the Exchange Act is recorded, processed, summarized and reported within the time periods specified in the SEC’s rules and forms. These disclosure controls and procedures include, without limitation, controls and procedures designed to ensure that this information is accumulated and communicated to our management, including our Principal Executive Officer and Principal Financial Officer, as appropriate to allow timely decisions regarding required disclosure. Based upon that evaluation, our Principal Executive Officer and our Principal Financial Officer have concluded that our disclosure controls and procedures were effective as of December 31, 2025. There were no changes to our internal control over financial reporting during the quarter ended December 31, 2025, that have materially affected, or are reasonably likely to materially affect, our internal control over financial reporting.</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0" w:name="page41"/>
    <w:bookmarkEnd w:id="4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of the Exchange Act). Our internal control system is a process, under the supervision of our Chief Executive Officer and Chief Financial Officer, designed to provide reasonable assurance to our management and Board of Directors regarding the reliability of financial reporting and the preparation of our financial statements for external purposes in accordance with accounting principles generally accepted in the United States.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7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assessed the effectiveness of our internal control over financial reporting as of December 31, 2025. In making this assessment, it used the criteria set forth by the Committee of Sponsoring Organizations of the Treadway Commission in Internal Control - Integrated Framework (2013 Framework). Based on this assessment, management concluded that our internal control over financial reporting was effective as of December 31, 2025.</w:t>
      </w:r>
    </w:p>
    <w:p>
      <w:pPr>
        <w:spacing w:after="0" w:line="7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has issued an attestation report on our internal control over financial reporting. This report appears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41" w:name="page42"/>
    <w:bookmarkEnd w:id="41"/>
    <w:p>
      <w:pPr>
        <w:ind w:right="3340" w:firstLine="3362"/>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LSB Industries, Inc. </w:t>
      </w:r>
      <w:r>
        <w:rPr>
          <w:rFonts w:ascii="Times New Roman" w:cs="Times New Roman" w:eastAsia="Times New Roman" w:hAnsi="Times New Roman"/>
          <w:sz w:val="18"/>
          <w:szCs w:val="18"/>
          <w:b w:val="1"/>
          <w:bCs w:val="1"/>
          <w:color w:val="auto"/>
        </w:rPr>
        <w:t>Opinion on Internal Control Over Financial Reporting</w:t>
      </w:r>
    </w:p>
    <w:p>
      <w:pPr>
        <w:spacing w:after="0" w:line="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audited LSB Industries, Inc.’s internal control over financial reporting as of December 31, 2025, based on criteria established in Internal Control —Integrated Framework issued by the Committee of Sponsoring Organizations of the Treadway Commission (2013 framework)(the COSO criteria). In our opinion, LSB Industries, Inc.(the Company) maintained, in all material respects, effective internal control over financial reporting as of December 31, 2025, based on the COSO criteria.</w:t>
      </w:r>
    </w:p>
    <w:p>
      <w:pPr>
        <w:spacing w:after="0" w:line="72"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2025 consolidated financial statements of the Company and our report dated February 26, 2026 expressed an unqualified opinion thereon.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4"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Oklahoma City, Oklahoma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10b5-1 Trading Plans by Our Officers and Directors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 T. Behrman, President, Chief Executive Officer and Chairman of the Board of Directors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31, 2025, Mark T. Behrman, our President, Chief Executive Officer and a Chairman of our Board of Directors, entered into a Rule 10b5-1 trading plan that is intended to satisfy the affirmative defense of Rule 10b5-1(c) and provides that Mr. Behrman, acting through a broker, may sell up to an aggregate of 250,000 shares of our common stock, subject to adjustments for stock splits, stock combinations, stock dividends and other similar changes to our common stock. Sales of shares under the plan may only occur from January 30, 2026 to February 28, 2027. The plan is scheduled to terminate on February 28, 2027, subject to earlier termination upon the sale of all shares subject to the plan or the expiration of all sale orders under the plan, upon termination by Mr. Behrman or the broker, or as otherwise provided in the plan.</w:t>
      </w:r>
    </w:p>
    <w:p>
      <w:pPr>
        <w:spacing w:after="0" w:line="79" w:lineRule="exact"/>
        <w:rPr>
          <w:sz w:val="20"/>
          <w:szCs w:val="20"/>
          <w:color w:val="auto"/>
        </w:rPr>
      </w:pPr>
    </w:p>
    <w:p>
      <w:pPr>
        <w:ind w:right="400"/>
        <w:spacing w:after="0" w:line="312" w:lineRule="auto"/>
        <w:rPr>
          <w:sz w:val="20"/>
          <w:szCs w:val="20"/>
          <w:color w:val="auto"/>
        </w:rPr>
      </w:pPr>
      <w:r>
        <w:rPr>
          <w:rFonts w:ascii="Times New Roman" w:cs="Times New Roman" w:eastAsia="Times New Roman" w:hAnsi="Times New Roman"/>
          <w:sz w:val="17"/>
          <w:szCs w:val="17"/>
          <w:color w:val="auto"/>
        </w:rPr>
        <w:t>Other than as described above, during the three months ended December 31, 2025, none of the Company’s directors or executive officers adopted or terminated a “Rule 10b5-1 trading arrangement” or “non-Rule 10b5-1 trading arrangement,” as each term is defined in Item 408(a) of Regulation S-K.</w:t>
      </w:r>
    </w:p>
    <w:p>
      <w:pPr>
        <w:spacing w:after="0" w:line="28" w:lineRule="exact"/>
        <w:rPr>
          <w:sz w:val="20"/>
          <w:szCs w:val="20"/>
          <w:color w:val="auto"/>
        </w:rPr>
      </w:pPr>
    </w:p>
    <w:p>
      <w:pPr>
        <w:ind w:right="3000"/>
        <w:spacing w:after="0" w:line="326"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information required in response to this Item 10 is incorporated herein by reference to our definitive proxy statement to be filed with the SEC pursuant to Regulation 14A of the Exchange Act not later than 120 days after the end of the fiscal year covered by this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response to this Item 11 (except for the information required by Item 402(v) of Regulation S-K) is incorporated herein by reference to our definitive proxy statement to be filed with the SEC pursuant to Regulation 14A of the Exchange Act not later than 120 days after the end of the fiscal year covered by this Annual Report on Form 10-K.</w:t>
      </w:r>
    </w:p>
    <w:p>
      <w:pPr>
        <w:spacing w:after="0" w:line="6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information required in response to this Item 12 is incorporated herein by reference to our definitive proxy statement to be filed with the SEC pursuant to Regulation 14A of the Exchange Act not later than 120 days after the end of the fiscal year covered by this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information required in response to this Item 13 is incorporated herein by reference to our definitive proxy statement to be filed with the SEC pursuant to Regulation 14A of the Exchange Act not later than 120 days after the end of the fiscal year covered by this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information required in response to this Item 14 is incorporated herein by reference to our definitive proxy statement to be filed with the SEC pursuant to Regulation 14A of the Exchange Act not later than 120 days after the end of the fiscal year covered by this Annual Report on Form 10-K.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8"/>
        </w:trPr>
        <w:tc>
          <w:tcPr>
            <w:tcW w:w="2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98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560" w:type="dxa"/>
            <w:vAlign w:val="bottom"/>
          </w:tcPr>
          <w:p>
            <w:pPr>
              <w:spacing w:after="0"/>
              <w:rPr>
                <w:sz w:val="20"/>
                <w:szCs w:val="20"/>
                <w:color w:val="auto"/>
              </w:rPr>
            </w:pPr>
          </w:p>
        </w:tc>
      </w:tr>
      <w:tr>
        <w:trPr>
          <w:trHeight w:val="432"/>
        </w:trPr>
        <w:tc>
          <w:tcPr>
            <w:tcW w:w="106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560" w:type="dxa"/>
            <w:vAlign w:val="bottom"/>
          </w:tcPr>
          <w:p>
            <w:pPr>
              <w:spacing w:after="0"/>
              <w:rPr>
                <w:sz w:val="24"/>
                <w:szCs w:val="24"/>
                <w:color w:val="auto"/>
              </w:rPr>
            </w:pPr>
          </w:p>
        </w:tc>
      </w:tr>
      <w:tr>
        <w:trPr>
          <w:trHeight w:val="324"/>
        </w:trPr>
        <w:tc>
          <w:tcPr>
            <w:tcW w:w="106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(a) (1) Financial Statements</w:t>
            </w:r>
          </w:p>
        </w:tc>
        <w:tc>
          <w:tcPr>
            <w:tcW w:w="560" w:type="dxa"/>
            <w:vAlign w:val="bottom"/>
          </w:tcPr>
          <w:p>
            <w:pPr>
              <w:spacing w:after="0"/>
              <w:rPr>
                <w:sz w:val="24"/>
                <w:szCs w:val="24"/>
                <w:color w:val="auto"/>
              </w:rPr>
            </w:pPr>
          </w:p>
        </w:tc>
      </w:tr>
      <w:tr>
        <w:trPr>
          <w:trHeight w:val="324"/>
        </w:trPr>
        <w:tc>
          <w:tcPr>
            <w:tcW w:w="106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consolidated financial statements of the Company appear immediately following this Part IV:</w:t>
            </w:r>
          </w:p>
        </w:tc>
        <w:tc>
          <w:tcPr>
            <w:tcW w:w="560" w:type="dxa"/>
            <w:vAlign w:val="bottom"/>
          </w:tcPr>
          <w:p>
            <w:pPr>
              <w:spacing w:after="0"/>
              <w:rPr>
                <w:sz w:val="24"/>
                <w:szCs w:val="24"/>
                <w:color w:val="auto"/>
              </w:rPr>
            </w:pPr>
          </w:p>
        </w:tc>
      </w:tr>
      <w:tr>
        <w:trPr>
          <w:trHeight w:val="432"/>
        </w:trPr>
        <w:tc>
          <w:tcPr>
            <w:tcW w:w="2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290"/>
        </w:trPr>
        <w:tc>
          <w:tcPr>
            <w:tcW w:w="106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F-2</w:t>
            </w:r>
          </w:p>
        </w:tc>
      </w:tr>
      <w:tr>
        <w:trPr>
          <w:trHeight w:val="20"/>
        </w:trPr>
        <w:tc>
          <w:tcPr>
            <w:tcW w:w="28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47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2025 and 2024</w:t>
            </w:r>
          </w:p>
        </w:tc>
        <w:tc>
          <w:tcPr>
            <w:tcW w:w="5980" w:type="dxa"/>
            <w:vAlign w:val="bottom"/>
            <w:gridSpan w:val="4"/>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F-3</w:t>
            </w:r>
          </w:p>
        </w:tc>
      </w:tr>
      <w:tr>
        <w:trPr>
          <w:trHeight w:val="318"/>
        </w:trPr>
        <w:tc>
          <w:tcPr>
            <w:tcW w:w="106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each of the three years in the period ended December 31, 2025</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8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4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8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each of the three years in the period ended December 31, 2025</w:t>
            </w:r>
          </w:p>
        </w:tc>
        <w:tc>
          <w:tcPr>
            <w:tcW w:w="23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F-5</w:t>
            </w:r>
          </w:p>
        </w:tc>
      </w:tr>
      <w:tr>
        <w:trPr>
          <w:trHeight w:val="318"/>
        </w:trPr>
        <w:tc>
          <w:tcPr>
            <w:tcW w:w="106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each of the three years in the period ended December 31, 2025</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F-6</w:t>
            </w:r>
          </w:p>
        </w:tc>
      </w:tr>
      <w:tr>
        <w:trPr>
          <w:trHeight w:val="318"/>
        </w:trPr>
        <w:tc>
          <w:tcPr>
            <w:tcW w:w="31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40" w:type="dxa"/>
            <w:vAlign w:val="bottom"/>
            <w:tcBorders>
              <w:top w:val="single" w:sz="8" w:color="0000FF"/>
              <w:bottom w:val="single" w:sz="8" w:color="0000EE"/>
            </w:tcBorders>
          </w:tcPr>
          <w:p>
            <w:pPr>
              <w:spacing w:after="0"/>
              <w:rPr>
                <w:sz w:val="24"/>
                <w:szCs w:val="24"/>
                <w:color w:val="auto"/>
              </w:rPr>
            </w:pPr>
          </w:p>
        </w:tc>
        <w:tc>
          <w:tcPr>
            <w:tcW w:w="4480" w:type="dxa"/>
            <w:vAlign w:val="bottom"/>
            <w:tcBorders>
              <w:top w:val="single" w:sz="8" w:color="0000FF"/>
            </w:tcBorders>
            <w:gridSpan w:val="4"/>
          </w:tcPr>
          <w:p>
            <w:pPr>
              <w:spacing w:after="0"/>
              <w:rPr>
                <w:sz w:val="24"/>
                <w:szCs w:val="24"/>
                <w:color w:val="auto"/>
              </w:rPr>
            </w:pPr>
          </w:p>
        </w:tc>
        <w:tc>
          <w:tcPr>
            <w:tcW w:w="3000" w:type="dxa"/>
            <w:vAlign w:val="bottom"/>
            <w:gridSpan w:val="2"/>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F-7</w:t>
            </w:r>
          </w:p>
        </w:tc>
      </w:tr>
      <w:tr>
        <w:trPr>
          <w:trHeight w:val="601"/>
        </w:trPr>
        <w:tc>
          <w:tcPr>
            <w:tcW w:w="106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(a) (2) Financial Statement Schedule</w:t>
            </w:r>
          </w:p>
        </w:tc>
        <w:tc>
          <w:tcPr>
            <w:tcW w:w="560" w:type="dxa"/>
            <w:vAlign w:val="bottom"/>
          </w:tcPr>
          <w:p>
            <w:pPr>
              <w:spacing w:after="0"/>
              <w:rPr>
                <w:sz w:val="24"/>
                <w:szCs w:val="24"/>
                <w:color w:val="auto"/>
              </w:rPr>
            </w:pPr>
          </w:p>
        </w:tc>
      </w:tr>
      <w:tr>
        <w:trPr>
          <w:trHeight w:val="324"/>
        </w:trPr>
        <w:tc>
          <w:tcPr>
            <w:tcW w:w="106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Company has included the following schedule in this report:</w:t>
            </w:r>
          </w:p>
        </w:tc>
        <w:tc>
          <w:tcPr>
            <w:tcW w:w="560" w:type="dxa"/>
            <w:vAlign w:val="bottom"/>
          </w:tcPr>
          <w:p>
            <w:pPr>
              <w:spacing w:after="0"/>
              <w:rPr>
                <w:sz w:val="24"/>
                <w:szCs w:val="24"/>
                <w:color w:val="auto"/>
              </w:rPr>
            </w:pPr>
          </w:p>
        </w:tc>
      </w:tr>
      <w:tr>
        <w:trPr>
          <w:trHeight w:val="392"/>
        </w:trPr>
        <w:tc>
          <w:tcPr>
            <w:tcW w:w="106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II - Valuation and Qualifying Accounts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F-27</w:t>
            </w:r>
          </w:p>
        </w:tc>
      </w:tr>
      <w:tr>
        <w:trPr>
          <w:trHeight w:val="20"/>
        </w:trPr>
        <w:tc>
          <w:tcPr>
            <w:tcW w:w="2840" w:type="dxa"/>
            <w:vAlign w:val="bottom"/>
            <w:shd w:val="clear" w:color="auto" w:fill="0000FF"/>
          </w:tcPr>
          <w:p>
            <w:pPr>
              <w:spacing w:after="0" w:line="20" w:lineRule="exact"/>
              <w:rPr>
                <w:sz w:val="1"/>
                <w:szCs w:val="1"/>
                <w:color w:val="auto"/>
              </w:rPr>
            </w:pPr>
          </w:p>
        </w:tc>
        <w:tc>
          <w:tcPr>
            <w:tcW w:w="784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61"/>
        </w:trPr>
        <w:tc>
          <w:tcPr>
            <w:tcW w:w="106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We have omitted all other schedules because the conditions requiring their filing do not exist or because the required information appears in our</w:t>
            </w:r>
          </w:p>
        </w:tc>
        <w:tc>
          <w:tcPr>
            <w:tcW w:w="560" w:type="dxa"/>
            <w:vAlign w:val="bottom"/>
          </w:tcPr>
          <w:p>
            <w:pPr>
              <w:spacing w:after="0"/>
              <w:rPr>
                <w:sz w:val="24"/>
                <w:szCs w:val="24"/>
                <w:color w:val="auto"/>
              </w:rPr>
            </w:pPr>
          </w:p>
        </w:tc>
      </w:tr>
      <w:tr>
        <w:trPr>
          <w:trHeight w:val="234"/>
        </w:trPr>
        <w:tc>
          <w:tcPr>
            <w:tcW w:w="106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Consolidated Financial Statements, including the notes to those statements.</w:t>
            </w:r>
          </w:p>
        </w:tc>
        <w:tc>
          <w:tcPr>
            <w:tcW w:w="560" w:type="dxa"/>
            <w:vAlign w:val="bottom"/>
          </w:tcPr>
          <w:p>
            <w:pPr>
              <w:spacing w:after="0"/>
              <w:rPr>
                <w:sz w:val="20"/>
                <w:szCs w:val="20"/>
                <w:color w:val="auto"/>
              </w:rPr>
            </w:pPr>
          </w:p>
        </w:tc>
      </w:tr>
      <w:tr>
        <w:trPr>
          <w:trHeight w:val="648"/>
        </w:trPr>
        <w:tc>
          <w:tcPr>
            <w:tcW w:w="7640" w:type="dxa"/>
            <w:vAlign w:val="bottom"/>
            <w:gridSpan w:val="6"/>
          </w:tcPr>
          <w:p>
            <w:pPr>
              <w:ind w:left="5540"/>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28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(a)(3) Exhibits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0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gridSpan w:val="22"/>
          </w:tcPr>
          <w:p>
            <w:pPr>
              <w:ind w:left="46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209"/>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3(i).1</w:t>
            </w:r>
          </w:p>
        </w:tc>
        <w:tc>
          <w:tcPr>
            <w:tcW w:w="100" w:type="dxa"/>
            <w:vAlign w:val="bottom"/>
          </w:tcPr>
          <w:p>
            <w:pPr>
              <w:spacing w:after="0"/>
              <w:rPr>
                <w:sz w:val="18"/>
                <w:szCs w:val="18"/>
                <w:color w:val="auto"/>
              </w:rPr>
            </w:pPr>
          </w:p>
        </w:tc>
        <w:tc>
          <w:tcPr>
            <w:tcW w:w="55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Restated Certificate of Incorporation of LSB Industries, Inc., dated January</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21, 1977, as amended August 27, 1987</w:t>
              </w:r>
            </w:hyperlink>
          </w:p>
        </w:tc>
        <w:tc>
          <w:tcPr>
            <w:tcW w:w="20" w:type="dxa"/>
            <w:vAlign w:val="bottom"/>
            <w:tcBorders>
              <w:bottom w:val="single" w:sz="8" w:color="0000EE"/>
            </w:tcBorders>
          </w:tcPr>
          <w:p>
            <w:pPr>
              <w:spacing w:after="0"/>
              <w:rPr>
                <w:sz w:val="17"/>
                <w:szCs w:val="17"/>
                <w:color w:val="auto"/>
              </w:rPr>
            </w:pPr>
          </w:p>
        </w:tc>
        <w:tc>
          <w:tcPr>
            <w:tcW w:w="27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3(i).2</w:t>
            </w:r>
          </w:p>
        </w:tc>
        <w:tc>
          <w:tcPr>
            <w:tcW w:w="100" w:type="dxa"/>
            <w:vAlign w:val="bottom"/>
          </w:tcPr>
          <w:p>
            <w:pPr>
              <w:spacing w:after="0"/>
              <w:rPr>
                <w:sz w:val="20"/>
                <w:szCs w:val="20"/>
                <w:color w:val="auto"/>
              </w:rPr>
            </w:pPr>
          </w:p>
        </w:tc>
        <w:tc>
          <w:tcPr>
            <w:tcW w:w="55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Certificate of Amendment to the Restated Certificate of Incorporation of</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LSB Industries, dated September 23, 2021</w:t>
              </w:r>
            </w:hyperlink>
          </w:p>
        </w:tc>
        <w:tc>
          <w:tcPr>
            <w:tcW w:w="20" w:type="dxa"/>
            <w:vAlign w:val="bottom"/>
            <w:tcBorders>
              <w:bottom w:val="single" w:sz="8" w:color="0000EE"/>
            </w:tcBorders>
          </w:tcPr>
          <w:p>
            <w:pPr>
              <w:spacing w:after="0"/>
              <w:rPr>
                <w:sz w:val="17"/>
                <w:szCs w:val="17"/>
                <w:color w:val="auto"/>
              </w:rPr>
            </w:pPr>
          </w:p>
        </w:tc>
        <w:tc>
          <w:tcPr>
            <w:tcW w:w="24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3(ii).1</w:t>
            </w:r>
          </w:p>
        </w:tc>
        <w:tc>
          <w:tcPr>
            <w:tcW w:w="100" w:type="dxa"/>
            <w:vAlign w:val="bottom"/>
          </w:tcPr>
          <w:p>
            <w:pPr>
              <w:spacing w:after="0"/>
              <w:rPr>
                <w:sz w:val="20"/>
                <w:szCs w:val="20"/>
                <w:color w:val="auto"/>
              </w:rPr>
            </w:pPr>
          </w:p>
        </w:tc>
        <w:tc>
          <w:tcPr>
            <w:tcW w:w="55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Second Amended and Restated Bylaws of LSB Industries, Inc., as amended</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by the December 17, 2024 amendment</w:t>
              </w:r>
            </w:hyperlink>
          </w:p>
        </w:tc>
        <w:tc>
          <w:tcPr>
            <w:tcW w:w="20" w:type="dxa"/>
            <w:vAlign w:val="bottom"/>
            <w:tcBorders>
              <w:bottom w:val="single" w:sz="8" w:color="0000EE"/>
            </w:tcBorders>
          </w:tcPr>
          <w:p>
            <w:pPr>
              <w:spacing w:after="0"/>
              <w:rPr>
                <w:sz w:val="17"/>
                <w:szCs w:val="17"/>
                <w:color w:val="auto"/>
              </w:rPr>
            </w:pPr>
          </w:p>
        </w:tc>
        <w:tc>
          <w:tcPr>
            <w:tcW w:w="27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5540" w:type="dxa"/>
            <w:vAlign w:val="bottom"/>
            <w:gridSpan w:val="27"/>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Specimen Certificate for the Company’s Common Stock</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6"/>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54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Amended and Restated Section 382 Rights Agreement, dated as of August</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4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22, 2023, between LSB Industries, Inc. and Computershare Trust Company,</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N.A., as rights agent</w:t>
              </w:r>
            </w:hyperlink>
          </w:p>
        </w:tc>
        <w:tc>
          <w:tcPr>
            <w:tcW w:w="40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55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First Amendment to Amended and Restated Section 382 Rights Agreement,</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dated as of May 2, 2024, by and between LSB Industries, Inc. and</w:t>
              </w:r>
            </w:hyperlink>
          </w:p>
        </w:tc>
        <w:tc>
          <w:tcPr>
            <w:tcW w:w="7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40" w:type="dxa"/>
            <w:vAlign w:val="bottom"/>
            <w:gridSpan w:val="27"/>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Computershare Trust Company, N.A., as rights agent</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6"/>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p>
        </w:tc>
        <w:tc>
          <w:tcPr>
            <w:tcW w:w="53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Indenture, dated as of October 14, 2021, among LSB Industries, Inc., the</w:t>
              </w:r>
            </w:hyperlink>
          </w:p>
        </w:tc>
        <w:tc>
          <w:tcPr>
            <w:tcW w:w="24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0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subsidiary guarantors party thereto and Wilmington Trust, National</w:t>
              </w:r>
            </w:hyperlink>
          </w:p>
        </w:tc>
        <w:tc>
          <w:tcPr>
            <w:tcW w:w="6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2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Association, as trustee and collateral agent.</w:t>
              </w:r>
            </w:hyperlink>
          </w:p>
        </w:tc>
        <w:tc>
          <w:tcPr>
            <w:tcW w:w="24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c>
          <w:tcPr>
            <w:tcW w:w="5540" w:type="dxa"/>
            <w:vAlign w:val="bottom"/>
            <w:gridSpan w:val="27"/>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Form of 6.250% Senior Secured Notes due 2028 (included in Exhibit 4.4).</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7"/>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4"/>
                <w:szCs w:val="24"/>
                <w:color w:val="auto"/>
              </w:rPr>
            </w:pPr>
          </w:p>
        </w:tc>
        <w:tc>
          <w:tcPr>
            <w:tcW w:w="55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Description of Registrant’s Securities Registered Pursuant to Section 12 of</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the Securities Exchange Act of 1934</w:t>
              </w:r>
            </w:hyperlink>
          </w:p>
        </w:tc>
        <w:tc>
          <w:tcPr>
            <w:tcW w:w="28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3800" w:type="dxa"/>
            <w:vAlign w:val="bottom"/>
            <w:gridSpan w:val="15"/>
            <w:vMerge w:val="restart"/>
          </w:tcPr>
          <w:p>
            <w:pPr>
              <w:spacing w:after="0"/>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LSB Industries, Inc. 2016 Long Term Incentive Plan</w:t>
              </w:r>
            </w:hyperlink>
          </w:p>
        </w:tc>
        <w:tc>
          <w:tcPr>
            <w:tcW w:w="40" w:type="dxa"/>
            <w:vAlign w:val="bottom"/>
            <w:vMerge w:val="restart"/>
          </w:tcPr>
          <w:p>
            <w:pPr>
              <w:spacing w:after="0"/>
              <w:rPr>
                <w:sz w:val="24"/>
                <w:szCs w:val="24"/>
                <w:color w:val="auto"/>
              </w:rPr>
            </w:pPr>
          </w:p>
        </w:tc>
        <w:tc>
          <w:tcPr>
            <w:tcW w:w="1700" w:type="dxa"/>
            <w:vAlign w:val="bottom"/>
            <w:gridSpan w:val="11"/>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0" w:type="dxa"/>
            <w:vAlign w:val="bottom"/>
            <w:tcBorders>
              <w:bottom w:val="single" w:sz="8" w:color="0000FF"/>
            </w:tcBorders>
            <w:gridSpan w:val="15"/>
            <w:vMerge w:val="continue"/>
          </w:tcPr>
          <w:p>
            <w:pPr>
              <w:spacing w:after="0"/>
              <w:rPr>
                <w:sz w:val="15"/>
                <w:szCs w:val="15"/>
                <w:color w:val="auto"/>
              </w:rPr>
            </w:pPr>
          </w:p>
        </w:tc>
        <w:tc>
          <w:tcPr>
            <w:tcW w:w="40" w:type="dxa"/>
            <w:vAlign w:val="bottom"/>
            <w:tcBorders>
              <w:bottom w:val="single" w:sz="8" w:color="0000EE"/>
            </w:tcBorders>
            <w:vMerge w:val="continue"/>
          </w:tcPr>
          <w:p>
            <w:pPr>
              <w:spacing w:after="0"/>
              <w:rPr>
                <w:sz w:val="15"/>
                <w:szCs w:val="15"/>
                <w:color w:val="auto"/>
              </w:rPr>
            </w:pPr>
          </w:p>
        </w:tc>
        <w:tc>
          <w:tcPr>
            <w:tcW w:w="1700" w:type="dxa"/>
            <w:vAlign w:val="bottom"/>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c>
          <w:tcPr>
            <w:tcW w:w="55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Form of Stock Option Agreement under the LSB Industries, Inc. 2016 Long</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Term Incentive Plan</w:t>
              </w:r>
            </w:hyperlink>
          </w:p>
        </w:tc>
        <w:tc>
          <w:tcPr>
            <w:tcW w:w="20" w:type="dxa"/>
            <w:vAlign w:val="bottom"/>
            <w:tcBorders>
              <w:bottom w:val="single" w:sz="8" w:color="0000EE"/>
            </w:tcBorders>
          </w:tcPr>
          <w:p>
            <w:pPr>
              <w:spacing w:after="0"/>
              <w:rPr>
                <w:sz w:val="17"/>
                <w:szCs w:val="17"/>
                <w:color w:val="auto"/>
              </w:rPr>
            </w:pPr>
          </w:p>
        </w:tc>
        <w:tc>
          <w:tcPr>
            <w:tcW w:w="404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0"/>
                <w:szCs w:val="20"/>
                <w:color w:val="auto"/>
              </w:rPr>
            </w:pPr>
          </w:p>
        </w:tc>
        <w:tc>
          <w:tcPr>
            <w:tcW w:w="54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Form of Restricted Stock Unit Agreement (Director Award) under the LSB</w:t>
              </w:r>
            </w:hyperlink>
          </w:p>
        </w:tc>
        <w:tc>
          <w:tcPr>
            <w:tcW w:w="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40" w:type="dxa"/>
            <w:vAlign w:val="bottom"/>
            <w:gridSpan w:val="27"/>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Industries, Inc. 2016 Long Term Incentive Plan)</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8"/>
            <w:shd w:val="clear" w:color="auto" w:fill="0000FF"/>
          </w:tcPr>
          <w:p>
            <w:pPr>
              <w:spacing w:after="0" w:line="20" w:lineRule="exact"/>
              <w:rPr>
                <w:sz w:val="1"/>
                <w:szCs w:val="1"/>
                <w:color w:val="auto"/>
              </w:rPr>
            </w:pPr>
          </w:p>
        </w:tc>
        <w:tc>
          <w:tcPr>
            <w:tcW w:w="1820" w:type="dxa"/>
            <w:vAlign w:val="bottom"/>
            <w:tcBorders>
              <w:left w:val="single" w:sz="8" w:color="0000EE"/>
            </w:tcBorders>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52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Form of Restricted Stock Agreement under the LSB Industries, Inc 2016</w:t>
              </w:r>
            </w:hyperlink>
          </w:p>
        </w:tc>
        <w:tc>
          <w:tcPr>
            <w:tcW w:w="26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Long Term Incentive Plan</w:t>
              </w:r>
            </w:hyperlink>
          </w:p>
        </w:tc>
        <w:tc>
          <w:tcPr>
            <w:tcW w:w="20" w:type="dxa"/>
            <w:vAlign w:val="bottom"/>
            <w:tcBorders>
              <w:bottom w:val="single" w:sz="8" w:color="0000EE"/>
            </w:tcBorders>
          </w:tcPr>
          <w:p>
            <w:pPr>
              <w:spacing w:after="0"/>
              <w:rPr>
                <w:sz w:val="17"/>
                <w:szCs w:val="17"/>
                <w:color w:val="auto"/>
              </w:rPr>
            </w:pPr>
          </w:p>
        </w:tc>
        <w:tc>
          <w:tcPr>
            <w:tcW w:w="36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c>
          <w:tcPr>
            <w:tcW w:w="55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Form of Time-Based Restricted Stock Agreement under the LSB Industries,</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40" w:type="dxa"/>
            <w:vAlign w:val="bottom"/>
            <w:gridSpan w:val="27"/>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Inc. 2016 Long Term Incentive Plan</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Borders>
              <w:right w:val="single" w:sz="8" w:color="0000EE"/>
            </w:tcBorders>
            <w:gridSpan w:val="6"/>
            <w:shd w:val="clear" w:color="auto" w:fill="0000FF"/>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0"/>
                <w:szCs w:val="20"/>
                <w:color w:val="auto"/>
              </w:rPr>
            </w:pPr>
          </w:p>
        </w:tc>
        <w:tc>
          <w:tcPr>
            <w:tcW w:w="52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Form of Performance-Based Restricted Stock Agreement under the LSB</w:t>
              </w:r>
            </w:hyperlink>
          </w:p>
        </w:tc>
        <w:tc>
          <w:tcPr>
            <w:tcW w:w="28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40" w:type="dxa"/>
            <w:vAlign w:val="bottom"/>
            <w:gridSpan w:val="27"/>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Industries, Inc. 2016 Long Term Incentive Plan</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Borders>
              <w:right w:val="single" w:sz="8" w:color="0000EE"/>
            </w:tcBorders>
            <w:gridSpan w:val="14"/>
            <w:shd w:val="clear" w:color="auto" w:fill="0000FF"/>
          </w:tcPr>
          <w:p>
            <w:pPr>
              <w:spacing w:after="0" w:line="20" w:lineRule="exact"/>
              <w:rPr>
                <w:sz w:val="1"/>
                <w:szCs w:val="1"/>
                <w:color w:val="auto"/>
              </w:rPr>
            </w:pPr>
          </w:p>
        </w:tc>
        <w:tc>
          <w:tcPr>
            <w:tcW w:w="210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2"/>
                <w:szCs w:val="22"/>
                <w:color w:val="auto"/>
              </w:rPr>
            </w:pPr>
          </w:p>
        </w:tc>
        <w:tc>
          <w:tcPr>
            <w:tcW w:w="55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Form of Performance-Based Restricted Stock Unit Agreement under the</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LSB Industries, Inc. 2016 Long Term Incentive Plan</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10.8+</w:t>
      </w:r>
    </w:p>
    <w:p>
      <w:pPr>
        <w:spacing w:after="0" w:line="27" w:lineRule="exact"/>
        <w:rPr>
          <w:sz w:val="20"/>
          <w:szCs w:val="20"/>
          <w:color w:val="auto"/>
        </w:rPr>
      </w:pPr>
    </w:p>
    <w:p>
      <w:pPr>
        <w:ind w:left="1380"/>
        <w:spacing w:after="0"/>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LSB Industries, Inc. 2025 Long Term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910590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-19050</wp:posOffset>
            </wp:positionV>
            <wp:extent cx="24085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6">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Incorporated by Reference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6746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7">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2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Exhibit 3(i).1 to the Company’s Form 10-K filed on February 28, 2013</w:t>
      </w:r>
    </w:p>
    <w:p>
      <w:pPr>
        <w:spacing w:after="0" w:line="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Exhibit 3(i).2 to the Company’s Registration Statement on Form S-3 filed on November 16, 2021</w:t>
      </w:r>
    </w:p>
    <w:p>
      <w:pPr>
        <w:spacing w:after="0" w:line="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Exhibit 3(ii).1 to the Company’s Form 10-K filed on February 27, 2025</w:t>
      </w:r>
    </w:p>
    <w:p>
      <w:pPr>
        <w:spacing w:after="0" w:line="202"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8"/>
          <w:szCs w:val="18"/>
          <w:color w:val="auto"/>
        </w:rPr>
        <w:t>Exhibit 4.3 to the Company’s Registration Statement on Form S-3 ASR filed November 16, 2012</w:t>
      </w:r>
    </w:p>
    <w:p>
      <w:pPr>
        <w:spacing w:after="0" w:line="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Exhibit 4.1 to the Company’s Form 8-K filed August 25, 2023</w:t>
      </w:r>
    </w:p>
    <w:p>
      <w:pPr>
        <w:spacing w:after="0" w:line="20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Exhibit 4.1 to the Company’s Form 8-K filed May 3, 2024</w:t>
      </w:r>
    </w:p>
    <w:p>
      <w:pPr>
        <w:spacing w:after="0" w:line="20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Exhibit 4.1 to the Company’s Form 8-K filed October 15, 2021</w:t>
      </w:r>
    </w:p>
    <w:p>
      <w:pPr>
        <w:spacing w:after="0" w:line="202"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8"/>
          <w:szCs w:val="18"/>
          <w:color w:val="auto"/>
        </w:rPr>
        <w:t>Exhibit 4.2 to the Company’s Form 8-K filed October 15, 2021</w:t>
      </w:r>
    </w:p>
    <w:p>
      <w:pPr>
        <w:spacing w:after="0" w:line="2"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8"/>
          <w:szCs w:val="18"/>
          <w:color w:val="auto"/>
        </w:rPr>
        <w:t>Exhibit 4.17 to the Company’s Form 10-K filed February 24, 2022</w:t>
      </w:r>
    </w:p>
    <w:p>
      <w:pPr>
        <w:spacing w:after="0" w:line="2" w:lineRule="exact"/>
        <w:rPr>
          <w:sz w:val="20"/>
          <w:szCs w:val="20"/>
          <w:color w:val="auto"/>
        </w:rPr>
      </w:pPr>
    </w:p>
    <w:p>
      <w:pPr>
        <w:ind w:right="340"/>
        <w:spacing w:after="0" w:line="273" w:lineRule="auto"/>
        <w:rPr>
          <w:sz w:val="20"/>
          <w:szCs w:val="20"/>
          <w:color w:val="auto"/>
        </w:rPr>
      </w:pPr>
      <w:r>
        <w:rPr>
          <w:rFonts w:ascii="Times New Roman" w:cs="Times New Roman" w:eastAsia="Times New Roman" w:hAnsi="Times New Roman"/>
          <w:sz w:val="18"/>
          <w:szCs w:val="18"/>
          <w:color w:val="auto"/>
        </w:rPr>
        <w:t>Exhibit 4.8 to the Company’s Form S-8 filed June 28, 2016</w:t>
      </w:r>
    </w:p>
    <w:p>
      <w:pPr>
        <w:spacing w:after="0" w:line="2" w:lineRule="exact"/>
        <w:rPr>
          <w:sz w:val="20"/>
          <w:szCs w:val="20"/>
          <w:color w:val="auto"/>
        </w:rPr>
      </w:pPr>
    </w:p>
    <w:p>
      <w:pPr>
        <w:ind w:right="340"/>
        <w:spacing w:after="0" w:line="273" w:lineRule="auto"/>
        <w:rPr>
          <w:sz w:val="20"/>
          <w:szCs w:val="20"/>
          <w:color w:val="auto"/>
        </w:rPr>
      </w:pPr>
      <w:r>
        <w:rPr>
          <w:rFonts w:ascii="Times New Roman" w:cs="Times New Roman" w:eastAsia="Times New Roman" w:hAnsi="Times New Roman"/>
          <w:sz w:val="18"/>
          <w:szCs w:val="18"/>
          <w:color w:val="auto"/>
        </w:rPr>
        <w:t>Exhibit 4.9 to the Company’s Form S-8 filed June 28, 2016</w:t>
      </w:r>
    </w:p>
    <w:p>
      <w:pPr>
        <w:spacing w:after="0" w:line="2"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8"/>
          <w:szCs w:val="18"/>
          <w:color w:val="auto"/>
        </w:rPr>
        <w:t>Exhibit 4.10 to the Company’s Form S-8 filed June 28, 2016</w:t>
      </w:r>
    </w:p>
    <w:p>
      <w:pPr>
        <w:spacing w:after="0" w:line="2"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8"/>
          <w:szCs w:val="18"/>
          <w:color w:val="auto"/>
        </w:rPr>
        <w:t>Exhibit 4.11 to the Company’s Form S-8 filed June 28, 2016</w:t>
      </w:r>
    </w:p>
    <w:p>
      <w:pPr>
        <w:spacing w:after="0" w:line="2"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8"/>
          <w:szCs w:val="18"/>
          <w:color w:val="auto"/>
        </w:rPr>
        <w:t>Exhibit 10.4 to the Company’s Form 8-K filed January 3, 2019</w:t>
      </w:r>
    </w:p>
    <w:p>
      <w:pPr>
        <w:spacing w:after="0" w:line="2"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8"/>
          <w:szCs w:val="18"/>
          <w:color w:val="auto"/>
        </w:rPr>
        <w:t>Exhibit 10.5 to the Company’s Form 8-K filed January 3, 2019</w:t>
      </w:r>
    </w:p>
    <w:p>
      <w:pPr>
        <w:spacing w:after="0" w:line="2" w:lineRule="exact"/>
        <w:rPr>
          <w:sz w:val="20"/>
          <w:szCs w:val="20"/>
          <w:color w:val="auto"/>
        </w:rPr>
      </w:pPr>
    </w:p>
    <w:p>
      <w:pPr>
        <w:ind w:right="540"/>
        <w:spacing w:after="0" w:line="273" w:lineRule="auto"/>
        <w:rPr>
          <w:sz w:val="20"/>
          <w:szCs w:val="20"/>
          <w:color w:val="auto"/>
        </w:rPr>
      </w:pPr>
      <w:r>
        <w:rPr>
          <w:rFonts w:ascii="Times New Roman" w:cs="Times New Roman" w:eastAsia="Times New Roman" w:hAnsi="Times New Roman"/>
          <w:sz w:val="18"/>
          <w:szCs w:val="18"/>
          <w:color w:val="auto"/>
        </w:rPr>
        <w:t>Exhibit 10.7 to the Company’s Form 10-K filed on February 27, 2025</w:t>
      </w:r>
    </w:p>
    <w:p>
      <w:pPr>
        <w:spacing w:after="0" w:line="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Exhibit 99.1 to the Company’s Registration Statement on Form S-8 filed on June 25, 2025</w:t>
      </w:r>
    </w:p>
    <w:p>
      <w:pPr>
        <w:sectPr>
          <w:pgSz w:w="11900" w:h="16838" w:orient="portrait"/>
          <w:cols w:equalWidth="0" w:num="2">
            <w:col w:w="6920" w:space="100"/>
            <w:col w:w="4220"/>
          </w:cols>
          <w:pgMar w:left="320" w:top="1413" w:right="339" w:bottom="1440" w:gutter="0" w:footer="0" w:header="0"/>
        </w:sectPr>
      </w:pPr>
    </w:p>
    <w:bookmarkStart w:id="45" w:name="page46"/>
    <w:bookmarkEnd w:id="45"/>
    <w:p>
      <w:pPr>
        <w:spacing w:after="0"/>
        <w:tabs>
          <w:tab w:leader="none" w:pos="3680" w:val="left"/>
          <w:tab w:leader="none" w:pos="7720" w:val="left"/>
        </w:tabs>
        <w:rPr>
          <w:sz w:val="20"/>
          <w:szCs w:val="20"/>
          <w:color w:val="auto"/>
        </w:rPr>
      </w:pPr>
      <w:r>
        <w:rPr>
          <w:rFonts w:ascii="Times New Roman" w:cs="Times New Roman" w:eastAsia="Times New Roman" w:hAnsi="Times New Roman"/>
          <w:sz w:val="28"/>
          <w:szCs w:val="28"/>
          <w:b w:val="1"/>
          <w:bCs w:val="1"/>
          <w:color w:val="auto"/>
          <w:vertAlign w:val="superscript"/>
        </w:rPr>
        <w:t>Exhibit Number</w:t>
      </w:r>
      <w:r>
        <w:rPr>
          <w:sz w:val="20"/>
          <w:szCs w:val="20"/>
          <w:color w:val="auto"/>
        </w:rPr>
        <w:tab/>
      </w:r>
      <w:r>
        <w:rPr>
          <w:rFonts w:ascii="Times New Roman" w:cs="Times New Roman" w:eastAsia="Times New Roman" w:hAnsi="Times New Roman"/>
          <w:sz w:val="14"/>
          <w:szCs w:val="14"/>
          <w:b w:val="1"/>
          <w:bCs w:val="1"/>
          <w:color w:val="auto"/>
        </w:rPr>
        <w:t>Exhibit Title</w:t>
      </w:r>
      <w:r>
        <w:rPr>
          <w:sz w:val="20"/>
          <w:szCs w:val="20"/>
          <w:color w:val="auto"/>
        </w:rPr>
        <w:tab/>
      </w:r>
      <w:r>
        <w:rPr>
          <w:rFonts w:ascii="Times New Roman" w:cs="Times New Roman" w:eastAsia="Times New Roman" w:hAnsi="Times New Roman"/>
          <w:sz w:val="14"/>
          <w:szCs w:val="14"/>
          <w:b w:val="1"/>
          <w:bCs w:val="1"/>
          <w:color w:val="auto"/>
        </w:rPr>
        <w:t>Incorporated by Reference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1385" w:right="339" w:bottom="1440" w:gutter="0" w:footer="0" w:header="0"/>
        </w:sectPr>
      </w:pPr>
    </w:p>
    <w:tbl>
      <w:tblPr>
        <w:tblLayout w:type="fixed"/>
        <w:tblInd w:w="40" w:type="dxa"/>
        <w:tblCellMar>
          <w:top w:w="0" w:type="dxa"/>
          <w:left w:w="0" w:type="dxa"/>
          <w:bottom w:w="0" w:type="dxa"/>
          <w:right w:w="0" w:type="dxa"/>
        </w:tblCellMar>
      </w:tblPr>
      <w:tr>
        <w:trPr>
          <w:trHeight w:val="174"/>
        </w:trPr>
        <w:tc>
          <w:tcPr>
            <w:tcW w:w="128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10.9+</w:t>
            </w:r>
          </w:p>
        </w:tc>
        <w:tc>
          <w:tcPr>
            <w:tcW w:w="5000" w:type="dxa"/>
            <w:vAlign w:val="bottom"/>
            <w:tcBorders>
              <w:bottom w:val="single" w:sz="8" w:color="0000FF"/>
            </w:tcBorders>
            <w:gridSpan w:val="13"/>
          </w:tcPr>
          <w:p>
            <w:pPr>
              <w:spacing w:after="0" w:line="174"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Form of Restricted Stock Unit Agreement (Directors) under the LSB</w:t>
              </w:r>
            </w:hyperlink>
          </w:p>
        </w:tc>
        <w:tc>
          <w:tcPr>
            <w:tcW w:w="580" w:type="dxa"/>
            <w:vAlign w:val="bottom"/>
            <w:gridSpan w:val="8"/>
          </w:tcPr>
          <w:p>
            <w:pPr>
              <w:spacing w:after="0"/>
              <w:rPr>
                <w:sz w:val="15"/>
                <w:szCs w:val="15"/>
                <w:color w:val="auto"/>
              </w:rPr>
            </w:pPr>
          </w:p>
        </w:tc>
        <w:tc>
          <w:tcPr>
            <w:tcW w:w="4280" w:type="dxa"/>
            <w:vAlign w:val="bottom"/>
          </w:tcPr>
          <w:p>
            <w:pPr>
              <w:ind w:left="60"/>
              <w:spacing w:after="0" w:line="174" w:lineRule="exact"/>
              <w:rPr>
                <w:sz w:val="20"/>
                <w:szCs w:val="20"/>
                <w:color w:val="auto"/>
              </w:rPr>
            </w:pPr>
            <w:r>
              <w:rPr>
                <w:rFonts w:ascii="Times New Roman" w:cs="Times New Roman" w:eastAsia="Times New Roman" w:hAnsi="Times New Roman"/>
                <w:sz w:val="18"/>
                <w:szCs w:val="18"/>
                <w:color w:val="auto"/>
              </w:rPr>
              <w:t>Exhibit 10.2 to the Company’s Form 10-Q filed July 30,</w:t>
            </w:r>
          </w:p>
        </w:tc>
      </w:tr>
      <w:tr>
        <w:trPr>
          <w:trHeight w:val="196"/>
        </w:trPr>
        <w:tc>
          <w:tcPr>
            <w:tcW w:w="1280" w:type="dxa"/>
            <w:vAlign w:val="bottom"/>
          </w:tcPr>
          <w:p>
            <w:pPr>
              <w:spacing w:after="0"/>
              <w:rPr>
                <w:sz w:val="17"/>
                <w:szCs w:val="17"/>
                <w:color w:val="auto"/>
              </w:rPr>
            </w:pPr>
          </w:p>
        </w:tc>
        <w:tc>
          <w:tcPr>
            <w:tcW w:w="5580" w:type="dxa"/>
            <w:vAlign w:val="bottom"/>
            <w:gridSpan w:val="21"/>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Industries, Inc. 2025 Long Term Incentive Plan</w:t>
              </w:r>
            </w:hyperlink>
          </w:p>
        </w:tc>
        <w:tc>
          <w:tcPr>
            <w:tcW w:w="428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2025</w:t>
            </w:r>
          </w:p>
        </w:tc>
      </w:tr>
      <w:tr>
        <w:trPr>
          <w:trHeight w:val="20"/>
        </w:trPr>
        <w:tc>
          <w:tcPr>
            <w:tcW w:w="1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23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51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Form of Restricted Stock Unit Agreement (Executive Officers – 2026)</w:t>
              </w:r>
            </w:hyperlink>
          </w:p>
        </w:tc>
        <w:tc>
          <w:tcPr>
            <w:tcW w:w="440" w:type="dxa"/>
            <w:vAlign w:val="bottom"/>
            <w:gridSpan w:val="7"/>
          </w:tcPr>
          <w:p>
            <w:pPr>
              <w:spacing w:after="0"/>
              <w:rPr>
                <w:sz w:val="20"/>
                <w:szCs w:val="20"/>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 10.1 to the Company’s Form 8-K filed February</w:t>
            </w:r>
          </w:p>
        </w:tc>
      </w:tr>
      <w:tr>
        <w:trPr>
          <w:trHeight w:val="196"/>
        </w:trPr>
        <w:tc>
          <w:tcPr>
            <w:tcW w:w="1280" w:type="dxa"/>
            <w:vAlign w:val="bottom"/>
          </w:tcPr>
          <w:p>
            <w:pPr>
              <w:spacing w:after="0"/>
              <w:rPr>
                <w:sz w:val="17"/>
                <w:szCs w:val="17"/>
                <w:color w:val="auto"/>
              </w:rPr>
            </w:pPr>
          </w:p>
        </w:tc>
        <w:tc>
          <w:tcPr>
            <w:tcW w:w="454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under the LSB Industries, Inc. 2025 Long-Term Incentive Plan</w:t>
              </w:r>
            </w:hyperlink>
          </w:p>
        </w:tc>
        <w:tc>
          <w:tcPr>
            <w:tcW w:w="20" w:type="dxa"/>
            <w:vAlign w:val="bottom"/>
            <w:tcBorders>
              <w:bottom w:val="single" w:sz="8" w:color="0000EE"/>
            </w:tcBorders>
          </w:tcPr>
          <w:p>
            <w:pPr>
              <w:spacing w:after="0"/>
              <w:rPr>
                <w:sz w:val="17"/>
                <w:szCs w:val="17"/>
                <w:color w:val="auto"/>
              </w:rPr>
            </w:pPr>
          </w:p>
        </w:tc>
        <w:tc>
          <w:tcPr>
            <w:tcW w:w="1020" w:type="dxa"/>
            <w:vAlign w:val="bottom"/>
            <w:gridSpan w:val="9"/>
          </w:tcPr>
          <w:p>
            <w:pPr>
              <w:spacing w:after="0"/>
              <w:rPr>
                <w:sz w:val="17"/>
                <w:szCs w:val="17"/>
                <w:color w:val="auto"/>
              </w:rPr>
            </w:pPr>
          </w:p>
        </w:tc>
        <w:tc>
          <w:tcPr>
            <w:tcW w:w="428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10, 2026</w:t>
            </w:r>
          </w:p>
        </w:tc>
      </w:tr>
      <w:tr>
        <w:trPr>
          <w:trHeight w:val="45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55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Form of Restricted Stock Unit Agreement (Executive Officers - 2025) under</w:t>
              </w:r>
            </w:hyperlink>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 10.3 to the Company’s Form 10-Q filed July 30,</w:t>
            </w:r>
          </w:p>
        </w:tc>
      </w:tr>
      <w:tr>
        <w:trPr>
          <w:trHeight w:val="196"/>
        </w:trPr>
        <w:tc>
          <w:tcPr>
            <w:tcW w:w="1280" w:type="dxa"/>
            <w:vAlign w:val="bottom"/>
          </w:tcPr>
          <w:p>
            <w:pPr>
              <w:spacing w:after="0"/>
              <w:rPr>
                <w:sz w:val="17"/>
                <w:szCs w:val="17"/>
                <w:color w:val="auto"/>
              </w:rPr>
            </w:pPr>
          </w:p>
        </w:tc>
        <w:tc>
          <w:tcPr>
            <w:tcW w:w="5580" w:type="dxa"/>
            <w:vAlign w:val="bottom"/>
            <w:gridSpan w:val="21"/>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the LSB Industries, Inc. 2025 Long Term Incentive Plan</w:t>
              </w:r>
            </w:hyperlink>
          </w:p>
        </w:tc>
        <w:tc>
          <w:tcPr>
            <w:tcW w:w="428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2025</w:t>
            </w:r>
          </w:p>
        </w:tc>
      </w:tr>
      <w:tr>
        <w:trPr>
          <w:trHeight w:val="20"/>
        </w:trPr>
        <w:tc>
          <w:tcPr>
            <w:tcW w:w="1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23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51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of Restricted Stock Unit Agreement (Employees) under the LSB</w:t>
              </w:r>
            </w:hyperlink>
          </w:p>
        </w:tc>
        <w:tc>
          <w:tcPr>
            <w:tcW w:w="440" w:type="dxa"/>
            <w:vAlign w:val="bottom"/>
            <w:gridSpan w:val="7"/>
          </w:tcPr>
          <w:p>
            <w:pPr>
              <w:spacing w:after="0"/>
              <w:rPr>
                <w:sz w:val="20"/>
                <w:szCs w:val="20"/>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 10.4 to the Company’s Form 10-Q filed July 30,</w:t>
            </w:r>
          </w:p>
        </w:tc>
      </w:tr>
      <w:tr>
        <w:trPr>
          <w:trHeight w:val="196"/>
        </w:trPr>
        <w:tc>
          <w:tcPr>
            <w:tcW w:w="1280" w:type="dxa"/>
            <w:vAlign w:val="bottom"/>
          </w:tcPr>
          <w:p>
            <w:pPr>
              <w:spacing w:after="0"/>
              <w:rPr>
                <w:sz w:val="17"/>
                <w:szCs w:val="17"/>
                <w:color w:val="auto"/>
              </w:rPr>
            </w:pPr>
          </w:p>
        </w:tc>
        <w:tc>
          <w:tcPr>
            <w:tcW w:w="5580" w:type="dxa"/>
            <w:vAlign w:val="bottom"/>
            <w:gridSpan w:val="21"/>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Industries, Inc. 2025 Long Term Incentive Plan</w:t>
              </w:r>
            </w:hyperlink>
          </w:p>
        </w:tc>
        <w:tc>
          <w:tcPr>
            <w:tcW w:w="428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2025</w:t>
            </w:r>
          </w:p>
        </w:tc>
      </w:tr>
      <w:tr>
        <w:trPr>
          <w:trHeight w:val="20"/>
        </w:trPr>
        <w:tc>
          <w:tcPr>
            <w:tcW w:w="1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23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55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Employment  Agreement,  dated  December  30,  2018,  between  LSB</w:t>
              </w:r>
            </w:hyperlink>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 10.1 to the Company’s Form 8-K filed January 3,</w:t>
            </w:r>
          </w:p>
        </w:tc>
      </w:tr>
      <w:tr>
        <w:trPr>
          <w:trHeight w:val="196"/>
        </w:trPr>
        <w:tc>
          <w:tcPr>
            <w:tcW w:w="1280" w:type="dxa"/>
            <w:vAlign w:val="bottom"/>
          </w:tcPr>
          <w:p>
            <w:pPr>
              <w:spacing w:after="0"/>
              <w:rPr>
                <w:sz w:val="17"/>
                <w:szCs w:val="17"/>
                <w:color w:val="auto"/>
              </w:rPr>
            </w:pPr>
          </w:p>
        </w:tc>
        <w:tc>
          <w:tcPr>
            <w:tcW w:w="27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Industries, Inc. and Mark T. Behrman</w:t>
              </w:r>
            </w:hyperlink>
          </w:p>
        </w:tc>
        <w:tc>
          <w:tcPr>
            <w:tcW w:w="2820" w:type="dxa"/>
            <w:vAlign w:val="bottom"/>
            <w:gridSpan w:val="15"/>
          </w:tcPr>
          <w:p>
            <w:pPr>
              <w:spacing w:after="0"/>
              <w:rPr>
                <w:sz w:val="17"/>
                <w:szCs w:val="17"/>
                <w:color w:val="auto"/>
              </w:rPr>
            </w:pPr>
          </w:p>
        </w:tc>
        <w:tc>
          <w:tcPr>
            <w:tcW w:w="428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2019</w:t>
            </w:r>
          </w:p>
        </w:tc>
      </w:tr>
      <w:tr>
        <w:trPr>
          <w:trHeight w:val="23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55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Employment  Agreement,  dated  December  30,  2018,  between  LSB</w:t>
              </w:r>
            </w:hyperlink>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 10.3 to the Company’s Form 8-K filed January 3,</w:t>
            </w:r>
          </w:p>
        </w:tc>
      </w:tr>
      <w:tr>
        <w:trPr>
          <w:trHeight w:val="196"/>
        </w:trPr>
        <w:tc>
          <w:tcPr>
            <w:tcW w:w="1280" w:type="dxa"/>
            <w:vAlign w:val="bottom"/>
          </w:tcPr>
          <w:p>
            <w:pPr>
              <w:spacing w:after="0"/>
              <w:rPr>
                <w:sz w:val="17"/>
                <w:szCs w:val="17"/>
                <w:color w:val="auto"/>
              </w:rPr>
            </w:pPr>
          </w:p>
        </w:tc>
        <w:tc>
          <w:tcPr>
            <w:tcW w:w="27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Industries, Inc. and Michael J. Foster</w:t>
              </w:r>
            </w:hyperlink>
          </w:p>
        </w:tc>
        <w:tc>
          <w:tcPr>
            <w:tcW w:w="2860" w:type="dxa"/>
            <w:vAlign w:val="bottom"/>
            <w:gridSpan w:val="16"/>
          </w:tcPr>
          <w:p>
            <w:pPr>
              <w:spacing w:after="0"/>
              <w:rPr>
                <w:sz w:val="17"/>
                <w:szCs w:val="17"/>
                <w:color w:val="auto"/>
              </w:rPr>
            </w:pPr>
          </w:p>
        </w:tc>
        <w:tc>
          <w:tcPr>
            <w:tcW w:w="428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2019</w:t>
            </w:r>
          </w:p>
        </w:tc>
      </w:tr>
      <w:tr>
        <w:trPr>
          <w:trHeight w:val="23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55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Employment  Agreement,  dated  December  30,  2018,  between  LSB</w:t>
              </w:r>
            </w:hyperlink>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 10.2 to the Company’s Form 8-K filed January 3,</w:t>
            </w:r>
          </w:p>
        </w:tc>
      </w:tr>
      <w:tr>
        <w:trPr>
          <w:trHeight w:val="196"/>
        </w:trPr>
        <w:tc>
          <w:tcPr>
            <w:tcW w:w="1280" w:type="dxa"/>
            <w:vAlign w:val="bottom"/>
          </w:tcPr>
          <w:p>
            <w:pPr>
              <w:spacing w:after="0"/>
              <w:rPr>
                <w:sz w:val="17"/>
                <w:szCs w:val="17"/>
                <w:color w:val="auto"/>
              </w:rPr>
            </w:pPr>
          </w:p>
        </w:tc>
        <w:tc>
          <w:tcPr>
            <w:tcW w:w="26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Industries, Inc. and Cheryl Maguire</w:t>
              </w:r>
            </w:hyperlink>
          </w:p>
        </w:tc>
        <w:tc>
          <w:tcPr>
            <w:tcW w:w="2960" w:type="dxa"/>
            <w:vAlign w:val="bottom"/>
            <w:gridSpan w:val="17"/>
          </w:tcPr>
          <w:p>
            <w:pPr>
              <w:spacing w:after="0"/>
              <w:rPr>
                <w:sz w:val="17"/>
                <w:szCs w:val="17"/>
                <w:color w:val="auto"/>
              </w:rPr>
            </w:pPr>
          </w:p>
        </w:tc>
        <w:tc>
          <w:tcPr>
            <w:tcW w:w="428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2019</w:t>
            </w:r>
          </w:p>
        </w:tc>
      </w:tr>
      <w:tr>
        <w:trPr>
          <w:trHeight w:val="23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55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Severance and Change in Control Agreement, dated April 6, 2020, between</w:t>
              </w:r>
            </w:hyperlink>
          </w:p>
        </w:tc>
        <w:tc>
          <w:tcPr>
            <w:tcW w:w="40" w:type="dxa"/>
            <w:vAlign w:val="bottom"/>
            <w:gridSpan w:val="2"/>
          </w:tcPr>
          <w:p>
            <w:pPr>
              <w:spacing w:after="0"/>
              <w:rPr>
                <w:sz w:val="20"/>
                <w:szCs w:val="20"/>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 10.1 to the Company’s Form 10-Q filed May 7,</w:t>
            </w:r>
          </w:p>
        </w:tc>
      </w:tr>
      <w:tr>
        <w:trPr>
          <w:trHeight w:val="196"/>
        </w:trPr>
        <w:tc>
          <w:tcPr>
            <w:tcW w:w="1280" w:type="dxa"/>
            <w:vAlign w:val="bottom"/>
          </w:tcPr>
          <w:p>
            <w:pPr>
              <w:spacing w:after="0"/>
              <w:rPr>
                <w:sz w:val="17"/>
                <w:szCs w:val="17"/>
                <w:color w:val="auto"/>
              </w:rPr>
            </w:pPr>
          </w:p>
        </w:tc>
        <w:tc>
          <w:tcPr>
            <w:tcW w:w="5580" w:type="dxa"/>
            <w:vAlign w:val="bottom"/>
            <w:gridSpan w:val="21"/>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LSB Industries, Inc. and Kristy Carver</w:t>
              </w:r>
            </w:hyperlink>
          </w:p>
        </w:tc>
        <w:tc>
          <w:tcPr>
            <w:tcW w:w="428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2020</w:t>
            </w:r>
          </w:p>
        </w:tc>
      </w:tr>
      <w:tr>
        <w:trPr>
          <w:trHeight w:val="20"/>
        </w:trPr>
        <w:tc>
          <w:tcPr>
            <w:tcW w:w="1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tcBorders>
              <w:right w:val="single" w:sz="8" w:color="0000EE"/>
            </w:tcBorders>
            <w:gridSpan w:val="4"/>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259"/>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55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Severance and Change in Control Agreement, dated January 14, 2026, by</w:t>
            </w: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 10.1 to the Company’s Form 8-K filed on January</w:t>
            </w:r>
          </w:p>
        </w:tc>
      </w:tr>
      <w:tr>
        <w:trPr>
          <w:trHeight w:val="234"/>
        </w:trPr>
        <w:tc>
          <w:tcPr>
            <w:tcW w:w="1280" w:type="dxa"/>
            <w:vAlign w:val="bottom"/>
          </w:tcPr>
          <w:p>
            <w:pPr>
              <w:spacing w:after="0"/>
              <w:rPr>
                <w:sz w:val="20"/>
                <w:szCs w:val="20"/>
                <w:color w:val="auto"/>
              </w:rPr>
            </w:pPr>
          </w:p>
        </w:tc>
        <w:tc>
          <w:tcPr>
            <w:tcW w:w="55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and between LSB Industries, Inc. and Damien J. Renwick</w:t>
            </w: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21, 2026</w:t>
            </w:r>
          </w:p>
        </w:tc>
      </w:tr>
      <w:tr>
        <w:trPr>
          <w:trHeight w:val="23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55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Severance and Change in Control Agreement, dated January 14, 2026, by</w:t>
            </w: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 10.2 to the Company’s Form 8-K filed on January</w:t>
            </w:r>
          </w:p>
        </w:tc>
      </w:tr>
      <w:tr>
        <w:trPr>
          <w:trHeight w:val="234"/>
        </w:trPr>
        <w:tc>
          <w:tcPr>
            <w:tcW w:w="1280" w:type="dxa"/>
            <w:vAlign w:val="bottom"/>
          </w:tcPr>
          <w:p>
            <w:pPr>
              <w:spacing w:after="0"/>
              <w:rPr>
                <w:sz w:val="20"/>
                <w:szCs w:val="20"/>
                <w:color w:val="auto"/>
              </w:rPr>
            </w:pPr>
          </w:p>
        </w:tc>
        <w:tc>
          <w:tcPr>
            <w:tcW w:w="55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and between LSB Industries, Inc. and Scott D. Bemis</w:t>
            </w: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21, 2026</w:t>
            </w:r>
          </w:p>
        </w:tc>
      </w:tr>
      <w:tr>
        <w:trPr>
          <w:trHeight w:val="23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55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Form of Indemnification Agreement (Directors)</w:t>
            </w: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 10.13 to the Company’s Form 10-K filed on</w:t>
            </w:r>
          </w:p>
        </w:tc>
      </w:tr>
      <w:tr>
        <w:trPr>
          <w:trHeight w:val="234"/>
        </w:trPr>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5580" w:type="dxa"/>
            <w:vAlign w:val="bottom"/>
            <w:gridSpan w:val="21"/>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Form of Indemnification Agreement (Executive Officers)</w:t>
              </w:r>
            </w:hyperlink>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 10.14 to the Company’s Form 10-K filed on</w:t>
            </w:r>
          </w:p>
        </w:tc>
      </w:tr>
      <w:tr>
        <w:trPr>
          <w:trHeight w:val="237"/>
        </w:trPr>
        <w:tc>
          <w:tcPr>
            <w:tcW w:w="128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15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7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6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53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Stock Purchase Agreement by and among Consolidated Industries L.L.C.</w:t>
              </w:r>
            </w:hyperlink>
          </w:p>
        </w:tc>
        <w:tc>
          <w:tcPr>
            <w:tcW w:w="240" w:type="dxa"/>
            <w:vAlign w:val="bottom"/>
            <w:gridSpan w:val="5"/>
          </w:tcPr>
          <w:p>
            <w:pPr>
              <w:spacing w:after="0"/>
              <w:rPr>
                <w:sz w:val="18"/>
                <w:szCs w:val="18"/>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 10.1 to the Company’s Form 8-K filed May 13,</w:t>
            </w:r>
          </w:p>
        </w:tc>
      </w:tr>
      <w:tr>
        <w:trPr>
          <w:trHeight w:val="196"/>
        </w:trPr>
        <w:tc>
          <w:tcPr>
            <w:tcW w:w="1280" w:type="dxa"/>
            <w:vAlign w:val="bottom"/>
          </w:tcPr>
          <w:p>
            <w:pPr>
              <w:spacing w:after="0"/>
              <w:rPr>
                <w:sz w:val="17"/>
                <w:szCs w:val="17"/>
                <w:color w:val="auto"/>
              </w:rPr>
            </w:pPr>
          </w:p>
        </w:tc>
        <w:tc>
          <w:tcPr>
            <w:tcW w:w="552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The Climate Control Group, Inc., NIBE Energy Systems Inc. and, solely for</w:t>
              </w:r>
            </w:hyperlink>
          </w:p>
        </w:tc>
        <w:tc>
          <w:tcPr>
            <w:tcW w:w="60" w:type="dxa"/>
            <w:vAlign w:val="bottom"/>
            <w:gridSpan w:val="3"/>
          </w:tcPr>
          <w:p>
            <w:pPr>
              <w:spacing w:after="0"/>
              <w:rPr>
                <w:sz w:val="17"/>
                <w:szCs w:val="17"/>
                <w:color w:val="auto"/>
              </w:rPr>
            </w:pPr>
          </w:p>
        </w:tc>
        <w:tc>
          <w:tcPr>
            <w:tcW w:w="428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2016</w:t>
            </w:r>
          </w:p>
        </w:tc>
      </w:tr>
      <w:tr>
        <w:trPr>
          <w:trHeight w:val="196"/>
        </w:trPr>
        <w:tc>
          <w:tcPr>
            <w:tcW w:w="1280" w:type="dxa"/>
            <w:vAlign w:val="bottom"/>
          </w:tcPr>
          <w:p>
            <w:pPr>
              <w:spacing w:after="0"/>
              <w:rPr>
                <w:sz w:val="17"/>
                <w:szCs w:val="17"/>
                <w:color w:val="auto"/>
              </w:rPr>
            </w:pPr>
          </w:p>
        </w:tc>
        <w:tc>
          <w:tcPr>
            <w:tcW w:w="540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purposes of Sections 6.8, 6.19 and 11.15 therein, LSB Industries, Inc., and</w:t>
              </w:r>
            </w:hyperlink>
          </w:p>
        </w:tc>
        <w:tc>
          <w:tcPr>
            <w:tcW w:w="180" w:type="dxa"/>
            <w:vAlign w:val="bottom"/>
            <w:gridSpan w:val="4"/>
          </w:tcPr>
          <w:p>
            <w:pPr>
              <w:spacing w:after="0"/>
              <w:rPr>
                <w:sz w:val="17"/>
                <w:szCs w:val="17"/>
                <w:color w:val="auto"/>
              </w:rPr>
            </w:pPr>
          </w:p>
        </w:tc>
        <w:tc>
          <w:tcPr>
            <w:tcW w:w="428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2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solely for purposes of Section 11.16 therein, NIBE Industrier AB (publ),</w:t>
              </w:r>
            </w:hyperlink>
          </w:p>
        </w:tc>
        <w:tc>
          <w:tcPr>
            <w:tcW w:w="300" w:type="dxa"/>
            <w:vAlign w:val="bottom"/>
            <w:gridSpan w:val="6"/>
          </w:tcPr>
          <w:p>
            <w:pPr>
              <w:spacing w:after="0"/>
              <w:rPr>
                <w:sz w:val="17"/>
                <w:szCs w:val="17"/>
                <w:color w:val="auto"/>
              </w:rPr>
            </w:pPr>
          </w:p>
        </w:tc>
        <w:tc>
          <w:tcPr>
            <w:tcW w:w="428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8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dated as of May 11, 2016.</w:t>
              </w:r>
            </w:hyperlink>
          </w:p>
        </w:tc>
        <w:tc>
          <w:tcPr>
            <w:tcW w:w="20" w:type="dxa"/>
            <w:vAlign w:val="bottom"/>
            <w:tcBorders>
              <w:bottom w:val="single" w:sz="8" w:color="0000EE"/>
            </w:tcBorders>
          </w:tcPr>
          <w:p>
            <w:pPr>
              <w:spacing w:after="0"/>
              <w:rPr>
                <w:sz w:val="17"/>
                <w:szCs w:val="17"/>
                <w:color w:val="auto"/>
              </w:rPr>
            </w:pPr>
          </w:p>
        </w:tc>
        <w:tc>
          <w:tcPr>
            <w:tcW w:w="3680" w:type="dxa"/>
            <w:vAlign w:val="bottom"/>
            <w:gridSpan w:val="18"/>
          </w:tcPr>
          <w:p>
            <w:pPr>
              <w:spacing w:after="0"/>
              <w:rPr>
                <w:sz w:val="17"/>
                <w:szCs w:val="17"/>
                <w:color w:val="auto"/>
              </w:rPr>
            </w:pPr>
          </w:p>
        </w:tc>
        <w:tc>
          <w:tcPr>
            <w:tcW w:w="4280" w:type="dxa"/>
            <w:vAlign w:val="bottom"/>
          </w:tcPr>
          <w:p>
            <w:pPr>
              <w:spacing w:after="0"/>
              <w:rPr>
                <w:sz w:val="17"/>
                <w:szCs w:val="17"/>
                <w:color w:val="auto"/>
              </w:rPr>
            </w:pPr>
          </w:p>
        </w:tc>
      </w:tr>
      <w:tr>
        <w:trPr>
          <w:trHeight w:val="23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55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Contract on the supply of Basic Engineering Package, Detail Engineering</w:t>
              </w:r>
            </w:hyperlink>
          </w:p>
        </w:tc>
        <w:tc>
          <w:tcPr>
            <w:tcW w:w="20" w:type="dxa"/>
            <w:vAlign w:val="bottom"/>
            <w:tcBorders>
              <w:bottom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 99.2 to the Company’s Form 8-K filed December</w:t>
            </w:r>
          </w:p>
        </w:tc>
      </w:tr>
      <w:tr>
        <w:trPr>
          <w:trHeight w:val="196"/>
        </w:trPr>
        <w:tc>
          <w:tcPr>
            <w:tcW w:w="1280" w:type="dxa"/>
            <w:vAlign w:val="bottom"/>
          </w:tcPr>
          <w:p>
            <w:pPr>
              <w:spacing w:after="0"/>
              <w:rPr>
                <w:sz w:val="17"/>
                <w:szCs w:val="17"/>
                <w:color w:val="auto"/>
              </w:rPr>
            </w:pPr>
          </w:p>
        </w:tc>
        <w:tc>
          <w:tcPr>
            <w:tcW w:w="556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Package, Tagged Major Equipment and related Advisory Services, between</w:t>
              </w:r>
            </w:hyperlink>
          </w:p>
        </w:tc>
        <w:tc>
          <w:tcPr>
            <w:tcW w:w="20" w:type="dxa"/>
            <w:vAlign w:val="bottom"/>
            <w:tcBorders>
              <w:bottom w:val="single" w:sz="8" w:color="0000EE"/>
            </w:tcBorders>
          </w:tcPr>
          <w:p>
            <w:pPr>
              <w:spacing w:after="0"/>
              <w:rPr>
                <w:sz w:val="17"/>
                <w:szCs w:val="17"/>
                <w:color w:val="auto"/>
              </w:rPr>
            </w:pPr>
          </w:p>
        </w:tc>
        <w:tc>
          <w:tcPr>
            <w:tcW w:w="428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6, 2012</w:t>
            </w:r>
          </w:p>
        </w:tc>
      </w:tr>
      <w:tr>
        <w:trPr>
          <w:trHeight w:val="196"/>
        </w:trPr>
        <w:tc>
          <w:tcPr>
            <w:tcW w:w="1280" w:type="dxa"/>
            <w:vAlign w:val="bottom"/>
          </w:tcPr>
          <w:p>
            <w:pPr>
              <w:spacing w:after="0"/>
              <w:rPr>
                <w:sz w:val="17"/>
                <w:szCs w:val="17"/>
                <w:color w:val="auto"/>
              </w:rPr>
            </w:pPr>
          </w:p>
        </w:tc>
        <w:tc>
          <w:tcPr>
            <w:tcW w:w="558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Weatherly Inc. and El Dorado Chemical Company, dated November 30,</w:t>
              </w:r>
            </w:hyperlink>
          </w:p>
        </w:tc>
        <w:tc>
          <w:tcPr>
            <w:tcW w:w="428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3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169">
              <w:r>
                <w:rPr>
                  <w:rFonts w:ascii="Times New Roman" w:cs="Times New Roman" w:eastAsia="Times New Roman" w:hAnsi="Times New Roman"/>
                  <w:sz w:val="18"/>
                  <w:szCs w:val="18"/>
                  <w:color w:val="0000FF"/>
                  <w:w w:val="94"/>
                </w:rPr>
                <w:t>2012</w:t>
              </w:r>
            </w:hyperlink>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r>
    </w:tbl>
    <w:p>
      <w:pPr>
        <w:spacing w:after="0" w:line="36" w:lineRule="exact"/>
        <w:rPr>
          <w:sz w:val="20"/>
          <w:szCs w:val="20"/>
          <w:color w:val="auto"/>
        </w:rPr>
      </w:pPr>
    </w:p>
    <w:p>
      <w:pPr>
        <w:sectPr>
          <w:pgSz w:w="11900" w:h="16838" w:orient="portrait"/>
          <w:cols w:equalWidth="0" w:num="1">
            <w:col w:w="11180"/>
          </w:cols>
          <w:pgMar w:left="380" w:top="1385" w:right="339" w:bottom="144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12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93"/>
              </w:rPr>
              <w:t>10.23</w:t>
            </w:r>
          </w:p>
        </w:tc>
        <w:tc>
          <w:tcPr>
            <w:tcW w:w="554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Engineering, Procurement and Construction Agreement, dated August 12,</w:t>
              </w:r>
            </w:hyperlink>
          </w:p>
        </w:tc>
      </w:tr>
      <w:tr>
        <w:trPr>
          <w:trHeight w:val="196"/>
        </w:trPr>
        <w:tc>
          <w:tcPr>
            <w:tcW w:w="1280" w:type="dxa"/>
            <w:vAlign w:val="bottom"/>
          </w:tcPr>
          <w:p>
            <w:pPr>
              <w:spacing w:after="0"/>
              <w:rPr>
                <w:sz w:val="17"/>
                <w:szCs w:val="17"/>
                <w:color w:val="auto"/>
              </w:rPr>
            </w:pPr>
          </w:p>
        </w:tc>
        <w:tc>
          <w:tcPr>
            <w:tcW w:w="5540" w:type="dxa"/>
            <w:vAlign w:val="bottom"/>
            <w:gridSpan w:val="5"/>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2013, between El Dorado Ammonia L.L.C. and SAIC Constructors, LLC</w:t>
              </w:r>
            </w:hyperlink>
          </w:p>
        </w:tc>
      </w:tr>
      <w:tr>
        <w:trPr>
          <w:trHeight w:val="20"/>
        </w:trPr>
        <w:tc>
          <w:tcPr>
            <w:tcW w:w="1280" w:type="dxa"/>
            <w:vAlign w:val="bottom"/>
          </w:tcPr>
          <w:p>
            <w:pPr>
              <w:spacing w:after="0" w:line="20" w:lineRule="exact"/>
              <w:rPr>
                <w:sz w:val="1"/>
                <w:szCs w:val="1"/>
                <w:color w:val="auto"/>
              </w:rPr>
            </w:pPr>
          </w:p>
        </w:tc>
        <w:tc>
          <w:tcPr>
            <w:tcW w:w="4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2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93"/>
              </w:rPr>
              <w:t>10.24</w:t>
            </w:r>
          </w:p>
        </w:tc>
        <w:tc>
          <w:tcPr>
            <w:tcW w:w="5540" w:type="dxa"/>
            <w:vAlign w:val="bottom"/>
            <w:gridSpan w:val="5"/>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Construction Agreement-DMW2, dated November 6, 2013, between El</w:t>
              </w:r>
            </w:hyperlink>
          </w:p>
        </w:tc>
      </w:tr>
      <w:tr>
        <w:trPr>
          <w:trHeight w:val="196"/>
        </w:trPr>
        <w:tc>
          <w:tcPr>
            <w:tcW w:w="1280" w:type="dxa"/>
            <w:vAlign w:val="bottom"/>
          </w:tcPr>
          <w:p>
            <w:pPr>
              <w:spacing w:after="0"/>
              <w:rPr>
                <w:sz w:val="17"/>
                <w:szCs w:val="17"/>
                <w:color w:val="auto"/>
              </w:rPr>
            </w:pPr>
          </w:p>
        </w:tc>
        <w:tc>
          <w:tcPr>
            <w:tcW w:w="418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Dorado Chemical Company and SAIC Constructors, LLC</w:t>
              </w:r>
            </w:hyperlink>
          </w:p>
        </w:tc>
        <w:tc>
          <w:tcPr>
            <w:tcW w:w="20" w:type="dxa"/>
            <w:vAlign w:val="bottom"/>
            <w:tcBorders>
              <w:top w:val="single" w:sz="8" w:color="0000FF"/>
              <w:bottom w:val="single" w:sz="8" w:color="0000EE"/>
            </w:tcBorders>
          </w:tcPr>
          <w:p>
            <w:pPr>
              <w:spacing w:after="0"/>
              <w:rPr>
                <w:sz w:val="17"/>
                <w:szCs w:val="17"/>
                <w:color w:val="auto"/>
              </w:rPr>
            </w:pPr>
          </w:p>
        </w:tc>
        <w:tc>
          <w:tcPr>
            <w:tcW w:w="1320" w:type="dxa"/>
            <w:vAlign w:val="bottom"/>
            <w:tcBorders>
              <w:top w:val="single" w:sz="8" w:color="0000FF"/>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236"/>
        </w:trPr>
        <w:tc>
          <w:tcPr>
            <w:tcW w:w="12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93"/>
              </w:rPr>
              <w:t>10.25</w:t>
            </w:r>
          </w:p>
        </w:tc>
        <w:tc>
          <w:tcPr>
            <w:tcW w:w="554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Construction Agreement – NACSAC, dated November 6, 2013, between El</w:t>
              </w:r>
            </w:hyperlink>
          </w:p>
        </w:tc>
      </w:tr>
      <w:tr>
        <w:trPr>
          <w:trHeight w:val="196"/>
        </w:trPr>
        <w:tc>
          <w:tcPr>
            <w:tcW w:w="1280" w:type="dxa"/>
            <w:vAlign w:val="bottom"/>
          </w:tcPr>
          <w:p>
            <w:pPr>
              <w:spacing w:after="0"/>
              <w:rPr>
                <w:sz w:val="17"/>
                <w:szCs w:val="17"/>
                <w:color w:val="auto"/>
              </w:rPr>
            </w:pPr>
          </w:p>
        </w:tc>
        <w:tc>
          <w:tcPr>
            <w:tcW w:w="41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Dorado Chemical Company and SAIC Constructors, LLC</w:t>
              </w:r>
            </w:hyperlink>
          </w:p>
        </w:tc>
        <w:tc>
          <w:tcPr>
            <w:tcW w:w="20" w:type="dxa"/>
            <w:vAlign w:val="bottom"/>
            <w:tcBorders>
              <w:bottom w:val="single" w:sz="8" w:color="0000EE"/>
            </w:tcBorders>
          </w:tcPr>
          <w:p>
            <w:pPr>
              <w:spacing w:after="0"/>
              <w:rPr>
                <w:sz w:val="17"/>
                <w:szCs w:val="17"/>
                <w:color w:val="auto"/>
              </w:rPr>
            </w:pPr>
          </w:p>
        </w:tc>
        <w:tc>
          <w:tcPr>
            <w:tcW w:w="1340" w:type="dxa"/>
            <w:vAlign w:val="bottom"/>
            <w:gridSpan w:val="3"/>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921385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3" w:lineRule="auto"/>
        <w:rPr>
          <w:sz w:val="20"/>
          <w:szCs w:val="20"/>
          <w:color w:val="auto"/>
        </w:rPr>
      </w:pPr>
      <w:r>
        <w:rPr>
          <w:rFonts w:ascii="Times New Roman" w:cs="Times New Roman" w:eastAsia="Times New Roman" w:hAnsi="Times New Roman"/>
          <w:sz w:val="18"/>
          <w:szCs w:val="18"/>
          <w:color w:val="auto"/>
        </w:rPr>
        <w:t>Exhibit 10.1 to the Company’s Form 8-K filed August 15, 2013</w:t>
      </w:r>
    </w:p>
    <w:p>
      <w:pPr>
        <w:spacing w:after="0" w:line="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Exhibit 99.1 to the Company’s Form 8-K filed November 12, 2013</w:t>
      </w:r>
    </w:p>
    <w:p>
      <w:pPr>
        <w:spacing w:after="0" w:line="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Exhibit 99.2 to the Company’s Form 8-K filed November 12, 2013</w:t>
      </w:r>
    </w:p>
    <w:p>
      <w:pPr>
        <w:sectPr>
          <w:pgSz w:w="11900" w:h="16838" w:orient="portrait"/>
          <w:cols w:equalWidth="0" w:num="2">
            <w:col w:w="6860" w:space="100"/>
            <w:col w:w="4220"/>
          </w:cols>
          <w:pgMar w:left="380" w:top="1385" w:right="339" w:bottom="1440" w:gutter="0" w:footer="0" w:header="0"/>
          <w:type w:val="continuous"/>
        </w:sectPr>
      </w:pPr>
    </w:p>
    <w:bookmarkStart w:id="46" w:name="page47"/>
    <w:bookmarkEnd w:id="46"/>
    <w:p>
      <w:pPr>
        <w:spacing w:after="0"/>
        <w:tabs>
          <w:tab w:leader="none" w:pos="3680" w:val="left"/>
          <w:tab w:leader="none" w:pos="7720" w:val="left"/>
        </w:tabs>
        <w:rPr>
          <w:sz w:val="20"/>
          <w:szCs w:val="20"/>
          <w:color w:val="auto"/>
        </w:rPr>
      </w:pPr>
      <w:r>
        <w:rPr>
          <w:rFonts w:ascii="Times New Roman" w:cs="Times New Roman" w:eastAsia="Times New Roman" w:hAnsi="Times New Roman"/>
          <w:sz w:val="28"/>
          <w:szCs w:val="28"/>
          <w:b w:val="1"/>
          <w:bCs w:val="1"/>
          <w:color w:val="auto"/>
          <w:vertAlign w:val="superscript"/>
        </w:rPr>
        <w:t>Exhibit Number</w:t>
      </w:r>
      <w:r>
        <w:rPr>
          <w:sz w:val="20"/>
          <w:szCs w:val="20"/>
          <w:color w:val="auto"/>
        </w:rPr>
        <w:tab/>
      </w:r>
      <w:r>
        <w:rPr>
          <w:rFonts w:ascii="Times New Roman" w:cs="Times New Roman" w:eastAsia="Times New Roman" w:hAnsi="Times New Roman"/>
          <w:sz w:val="14"/>
          <w:szCs w:val="14"/>
          <w:b w:val="1"/>
          <w:bCs w:val="1"/>
          <w:color w:val="auto"/>
        </w:rPr>
        <w:t>Exhibit Title</w:t>
      </w:r>
      <w:r>
        <w:rPr>
          <w:sz w:val="20"/>
          <w:szCs w:val="20"/>
          <w:color w:val="auto"/>
        </w:rPr>
        <w:tab/>
      </w:r>
      <w:r>
        <w:rPr>
          <w:rFonts w:ascii="Times New Roman" w:cs="Times New Roman" w:eastAsia="Times New Roman" w:hAnsi="Times New Roman"/>
          <w:sz w:val="14"/>
          <w:szCs w:val="14"/>
          <w:b w:val="1"/>
          <w:bCs w:val="1"/>
          <w:color w:val="auto"/>
        </w:rPr>
        <w:t>Incorporated by Reference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-34925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1385" w:right="339" w:bottom="1440" w:gutter="0" w:footer="0" w:header="0"/>
        </w:sectPr>
      </w:pPr>
    </w:p>
    <w:tbl>
      <w:tblPr>
        <w:tblLayout w:type="fixed"/>
        <w:tblInd w:w="40" w:type="dxa"/>
        <w:tblCellMar>
          <w:top w:w="0" w:type="dxa"/>
          <w:left w:w="0" w:type="dxa"/>
          <w:bottom w:w="0" w:type="dxa"/>
          <w:right w:w="0" w:type="dxa"/>
        </w:tblCellMar>
      </w:tblPr>
      <w:tr>
        <w:trPr>
          <w:trHeight w:val="174"/>
        </w:trPr>
        <w:tc>
          <w:tcPr>
            <w:tcW w:w="1280" w:type="dxa"/>
            <w:vAlign w:val="bottom"/>
          </w:tcPr>
          <w:p>
            <w:pPr>
              <w:jc w:val="right"/>
              <w:ind w:right="790"/>
              <w:spacing w:after="0" w:line="174" w:lineRule="exact"/>
              <w:rPr>
                <w:sz w:val="20"/>
                <w:szCs w:val="20"/>
                <w:color w:val="auto"/>
              </w:rPr>
            </w:pPr>
            <w:r>
              <w:rPr>
                <w:rFonts w:ascii="Times New Roman" w:cs="Times New Roman" w:eastAsia="Times New Roman" w:hAnsi="Times New Roman"/>
                <w:sz w:val="18"/>
                <w:szCs w:val="18"/>
                <w:color w:val="auto"/>
                <w:w w:val="93"/>
              </w:rPr>
              <w:t>10.26</w:t>
            </w:r>
          </w:p>
        </w:tc>
        <w:tc>
          <w:tcPr>
            <w:tcW w:w="5560" w:type="dxa"/>
            <w:vAlign w:val="bottom"/>
            <w:tcBorders>
              <w:bottom w:val="single" w:sz="8" w:color="0000FF"/>
            </w:tcBorders>
            <w:gridSpan w:val="6"/>
          </w:tcPr>
          <w:p>
            <w:pPr>
              <w:spacing w:after="0" w:line="174"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Engineering, Procurement and Construction Agreement, dated December</w:t>
              </w:r>
            </w:hyperlink>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260" w:type="dxa"/>
            <w:vAlign w:val="bottom"/>
          </w:tcPr>
          <w:p>
            <w:pPr>
              <w:ind w:left="40"/>
              <w:spacing w:after="0" w:line="174" w:lineRule="exact"/>
              <w:rPr>
                <w:sz w:val="20"/>
                <w:szCs w:val="20"/>
                <w:color w:val="auto"/>
              </w:rPr>
            </w:pPr>
            <w:r>
              <w:rPr>
                <w:rFonts w:ascii="Times New Roman" w:cs="Times New Roman" w:eastAsia="Times New Roman" w:hAnsi="Times New Roman"/>
                <w:sz w:val="18"/>
                <w:szCs w:val="18"/>
                <w:color w:val="auto"/>
              </w:rPr>
              <w:t>Exhibit 99.1 to the Company’s Form 8-K filed January 7,</w:t>
            </w:r>
          </w:p>
        </w:tc>
      </w:tr>
      <w:tr>
        <w:trPr>
          <w:trHeight w:val="196"/>
        </w:trPr>
        <w:tc>
          <w:tcPr>
            <w:tcW w:w="1280" w:type="dxa"/>
            <w:vAlign w:val="bottom"/>
          </w:tcPr>
          <w:p>
            <w:pPr>
              <w:spacing w:after="0"/>
              <w:rPr>
                <w:sz w:val="17"/>
                <w:szCs w:val="17"/>
                <w:color w:val="auto"/>
              </w:rPr>
            </w:pPr>
          </w:p>
        </w:tc>
        <w:tc>
          <w:tcPr>
            <w:tcW w:w="558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31, 2013, between El Dorado Chemical Company and SAIC Constructors,</w:t>
              </w:r>
            </w:hyperlink>
          </w:p>
        </w:tc>
        <w:tc>
          <w:tcPr>
            <w:tcW w:w="20" w:type="dxa"/>
            <w:vAlign w:val="bottom"/>
          </w:tcPr>
          <w:p>
            <w:pPr>
              <w:spacing w:after="0"/>
              <w:rPr>
                <w:sz w:val="17"/>
                <w:szCs w:val="17"/>
                <w:color w:val="auto"/>
              </w:rPr>
            </w:pPr>
          </w:p>
        </w:tc>
        <w:tc>
          <w:tcPr>
            <w:tcW w:w="426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2014</w:t>
            </w:r>
          </w:p>
        </w:tc>
      </w:tr>
      <w:tr>
        <w:trPr>
          <w:trHeight w:val="196"/>
        </w:trPr>
        <w:tc>
          <w:tcPr>
            <w:tcW w:w="1280" w:type="dxa"/>
            <w:vAlign w:val="bottom"/>
          </w:tcPr>
          <w:p>
            <w:pPr>
              <w:spacing w:after="0"/>
              <w:rPr>
                <w:sz w:val="17"/>
                <w:szCs w:val="17"/>
                <w:color w:val="auto"/>
              </w:rPr>
            </w:pPr>
          </w:p>
        </w:tc>
        <w:tc>
          <w:tcPr>
            <w:tcW w:w="5600" w:type="dxa"/>
            <w:vAlign w:val="bottom"/>
            <w:gridSpan w:val="8"/>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LLC</w:t>
              </w:r>
            </w:hyperlink>
          </w:p>
        </w:tc>
        <w:tc>
          <w:tcPr>
            <w:tcW w:w="426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236"/>
        </w:trPr>
        <w:tc>
          <w:tcPr>
            <w:tcW w:w="12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93"/>
              </w:rPr>
              <w:t>10.27</w:t>
            </w:r>
          </w:p>
        </w:tc>
        <w:tc>
          <w:tcPr>
            <w:tcW w:w="554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Engineering, Procurement and Construction Contract, Amendment No. 1</w:t>
              </w:r>
            </w:hyperlink>
          </w:p>
        </w:tc>
        <w:tc>
          <w:tcPr>
            <w:tcW w:w="20" w:type="dxa"/>
            <w:vAlign w:val="bottom"/>
            <w:tcBorders>
              <w:bottom w:val="single" w:sz="8" w:color="0000EE"/>
            </w:tcBorders>
          </w:tcPr>
          <w:p>
            <w:pPr>
              <w:spacing w:after="0"/>
              <w:rPr>
                <w:sz w:val="20"/>
                <w:szCs w:val="20"/>
                <w:color w:val="auto"/>
              </w:rPr>
            </w:pPr>
          </w:p>
        </w:tc>
        <w:tc>
          <w:tcPr>
            <w:tcW w:w="40" w:type="dxa"/>
            <w:vAlign w:val="bottom"/>
            <w:gridSpan w:val="2"/>
          </w:tcPr>
          <w:p>
            <w:pPr>
              <w:spacing w:after="0"/>
              <w:rPr>
                <w:sz w:val="20"/>
                <w:szCs w:val="20"/>
                <w:color w:val="auto"/>
              </w:rPr>
            </w:pPr>
          </w:p>
        </w:tc>
        <w:tc>
          <w:tcPr>
            <w:tcW w:w="4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10.1 to the Company’s Form 8-K filed October</w:t>
            </w:r>
          </w:p>
        </w:tc>
      </w:tr>
      <w:tr>
        <w:trPr>
          <w:trHeight w:val="196"/>
        </w:trPr>
        <w:tc>
          <w:tcPr>
            <w:tcW w:w="1280" w:type="dxa"/>
            <w:vAlign w:val="bottom"/>
          </w:tcPr>
          <w:p>
            <w:pPr>
              <w:spacing w:after="0"/>
              <w:rPr>
                <w:sz w:val="17"/>
                <w:szCs w:val="17"/>
                <w:color w:val="auto"/>
              </w:rPr>
            </w:pPr>
          </w:p>
        </w:tc>
        <w:tc>
          <w:tcPr>
            <w:tcW w:w="558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dated October 20, 2015, by and between El Dorado Ammonia LLC and</w:t>
              </w:r>
            </w:hyperlink>
          </w:p>
        </w:tc>
        <w:tc>
          <w:tcPr>
            <w:tcW w:w="20" w:type="dxa"/>
            <w:vAlign w:val="bottom"/>
          </w:tcPr>
          <w:p>
            <w:pPr>
              <w:spacing w:after="0"/>
              <w:rPr>
                <w:sz w:val="17"/>
                <w:szCs w:val="17"/>
                <w:color w:val="auto"/>
              </w:rPr>
            </w:pPr>
          </w:p>
        </w:tc>
        <w:tc>
          <w:tcPr>
            <w:tcW w:w="426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26, 2015</w:t>
            </w:r>
          </w:p>
        </w:tc>
      </w:tr>
      <w:tr>
        <w:trPr>
          <w:trHeight w:val="196"/>
        </w:trPr>
        <w:tc>
          <w:tcPr>
            <w:tcW w:w="1280" w:type="dxa"/>
            <w:vAlign w:val="bottom"/>
          </w:tcPr>
          <w:p>
            <w:pPr>
              <w:spacing w:after="0"/>
              <w:rPr>
                <w:sz w:val="17"/>
                <w:szCs w:val="17"/>
                <w:color w:val="auto"/>
              </w:rPr>
            </w:pPr>
          </w:p>
        </w:tc>
        <w:tc>
          <w:tcPr>
            <w:tcW w:w="5600" w:type="dxa"/>
            <w:vAlign w:val="bottom"/>
            <w:gridSpan w:val="8"/>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SAIC Constructors, LLC</w:t>
              </w:r>
            </w:hyperlink>
          </w:p>
        </w:tc>
        <w:tc>
          <w:tcPr>
            <w:tcW w:w="426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236"/>
        </w:trPr>
        <w:tc>
          <w:tcPr>
            <w:tcW w:w="12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93"/>
              </w:rPr>
              <w:t>10.28</w:t>
            </w:r>
          </w:p>
        </w:tc>
        <w:tc>
          <w:tcPr>
            <w:tcW w:w="556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Consent Decree, dated May 28, 2014, by and among, LSB Industries, Inc.,</w:t>
              </w:r>
            </w:hyperlink>
          </w:p>
        </w:tc>
        <w:tc>
          <w:tcPr>
            <w:tcW w:w="20" w:type="dxa"/>
            <w:vAlign w:val="bottom"/>
            <w:tcBorders>
              <w:bottom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4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99.1 to the Company’s Form 8-K filed June 3,</w:t>
            </w:r>
          </w:p>
        </w:tc>
      </w:tr>
      <w:tr>
        <w:trPr>
          <w:trHeight w:val="196"/>
        </w:trPr>
        <w:tc>
          <w:tcPr>
            <w:tcW w:w="1280" w:type="dxa"/>
            <w:vAlign w:val="bottom"/>
          </w:tcPr>
          <w:p>
            <w:pPr>
              <w:spacing w:after="0"/>
              <w:rPr>
                <w:sz w:val="17"/>
                <w:szCs w:val="17"/>
                <w:color w:val="auto"/>
              </w:rPr>
            </w:pPr>
          </w:p>
        </w:tc>
        <w:tc>
          <w:tcPr>
            <w:tcW w:w="558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El Dorado Chemical Co., Cherokee Nitrogen Co., Pryor Chemical Co., El</w:t>
              </w:r>
            </w:hyperlink>
          </w:p>
        </w:tc>
        <w:tc>
          <w:tcPr>
            <w:tcW w:w="20" w:type="dxa"/>
            <w:vAlign w:val="bottom"/>
          </w:tcPr>
          <w:p>
            <w:pPr>
              <w:spacing w:after="0"/>
              <w:rPr>
                <w:sz w:val="17"/>
                <w:szCs w:val="17"/>
                <w:color w:val="auto"/>
              </w:rPr>
            </w:pPr>
          </w:p>
        </w:tc>
        <w:tc>
          <w:tcPr>
            <w:tcW w:w="426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2014</w:t>
            </w:r>
          </w:p>
        </w:tc>
      </w:tr>
      <w:tr>
        <w:trPr>
          <w:trHeight w:val="196"/>
        </w:trPr>
        <w:tc>
          <w:tcPr>
            <w:tcW w:w="1280" w:type="dxa"/>
            <w:vAlign w:val="bottom"/>
          </w:tcPr>
          <w:p>
            <w:pPr>
              <w:spacing w:after="0"/>
              <w:rPr>
                <w:sz w:val="17"/>
                <w:szCs w:val="17"/>
                <w:color w:val="auto"/>
              </w:rPr>
            </w:pPr>
          </w:p>
        </w:tc>
        <w:tc>
          <w:tcPr>
            <w:tcW w:w="558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Dorado  Nitrogen,  L.P.,  the  U.S.  Department  of  Justice,  the  U.S.</w:t>
              </w:r>
            </w:hyperlink>
          </w:p>
        </w:tc>
        <w:tc>
          <w:tcPr>
            <w:tcW w:w="20" w:type="dxa"/>
            <w:vAlign w:val="bottom"/>
          </w:tcPr>
          <w:p>
            <w:pPr>
              <w:spacing w:after="0"/>
              <w:rPr>
                <w:sz w:val="17"/>
                <w:szCs w:val="17"/>
                <w:color w:val="auto"/>
              </w:rPr>
            </w:pPr>
          </w:p>
        </w:tc>
        <w:tc>
          <w:tcPr>
            <w:tcW w:w="42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600" w:type="dxa"/>
            <w:vAlign w:val="bottom"/>
            <w:gridSpan w:val="8"/>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Environmental  Protection  Agency,  the  Alabama  Department  of</w:t>
              </w:r>
            </w:hyperlink>
          </w:p>
        </w:tc>
        <w:tc>
          <w:tcPr>
            <w:tcW w:w="426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5600" w:type="dxa"/>
            <w:vAlign w:val="bottom"/>
            <w:gridSpan w:val="8"/>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Environmental  Management,  and  the  Oklahoma  Department  of</w:t>
              </w:r>
            </w:hyperlink>
          </w:p>
        </w:tc>
        <w:tc>
          <w:tcPr>
            <w:tcW w:w="42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540" w:type="dxa"/>
            <w:vAlign w:val="bottom"/>
            <w:tcBorders>
              <w:top w:val="single" w:sz="8" w:color="0000FF"/>
            </w:tcBorders>
            <w:gridSpan w:val="5"/>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Environment Quality</w:t>
              </w:r>
            </w:hyperlink>
          </w:p>
        </w:tc>
        <w:tc>
          <w:tcPr>
            <w:tcW w:w="60" w:type="dxa"/>
            <w:vAlign w:val="bottom"/>
            <w:gridSpan w:val="3"/>
          </w:tcPr>
          <w:p>
            <w:pPr>
              <w:spacing w:after="0"/>
              <w:rPr>
                <w:sz w:val="17"/>
                <w:szCs w:val="17"/>
                <w:color w:val="auto"/>
              </w:rPr>
            </w:pPr>
          </w:p>
        </w:tc>
        <w:tc>
          <w:tcPr>
            <w:tcW w:w="426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237"/>
        </w:trPr>
        <w:tc>
          <w:tcPr>
            <w:tcW w:w="12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93"/>
              </w:rPr>
              <w:t>10.29</w:t>
            </w:r>
          </w:p>
        </w:tc>
        <w:tc>
          <w:tcPr>
            <w:tcW w:w="558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Intercreditor Agreement, dated August 7, 2013, by and among Wells Fargo</w:t>
              </w:r>
            </w:hyperlink>
          </w:p>
        </w:tc>
        <w:tc>
          <w:tcPr>
            <w:tcW w:w="20" w:type="dxa"/>
            <w:vAlign w:val="bottom"/>
          </w:tcPr>
          <w:p>
            <w:pPr>
              <w:spacing w:after="0"/>
              <w:rPr>
                <w:sz w:val="20"/>
                <w:szCs w:val="20"/>
                <w:color w:val="auto"/>
              </w:rPr>
            </w:pPr>
          </w:p>
        </w:tc>
        <w:tc>
          <w:tcPr>
            <w:tcW w:w="4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99.1 to the Company’s Form 8-K filed August 14,</w:t>
            </w:r>
          </w:p>
        </w:tc>
      </w:tr>
      <w:tr>
        <w:trPr>
          <w:trHeight w:val="196"/>
        </w:trPr>
        <w:tc>
          <w:tcPr>
            <w:tcW w:w="1280" w:type="dxa"/>
            <w:vAlign w:val="bottom"/>
          </w:tcPr>
          <w:p>
            <w:pPr>
              <w:spacing w:after="0"/>
              <w:rPr>
                <w:sz w:val="17"/>
                <w:szCs w:val="17"/>
                <w:color w:val="auto"/>
              </w:rPr>
            </w:pPr>
          </w:p>
        </w:tc>
        <w:tc>
          <w:tcPr>
            <w:tcW w:w="556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Capital Finance, Inc., as agent and UMB Bank, n.a., as collateral agent, and</w:t>
              </w:r>
            </w:hyperlink>
          </w:p>
        </w:tc>
        <w:tc>
          <w:tcPr>
            <w:tcW w:w="40" w:type="dxa"/>
            <w:vAlign w:val="bottom"/>
            <w:gridSpan w:val="2"/>
          </w:tcPr>
          <w:p>
            <w:pPr>
              <w:spacing w:after="0"/>
              <w:rPr>
                <w:sz w:val="17"/>
                <w:szCs w:val="17"/>
                <w:color w:val="auto"/>
              </w:rPr>
            </w:pPr>
          </w:p>
        </w:tc>
        <w:tc>
          <w:tcPr>
            <w:tcW w:w="426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2013</w:t>
            </w:r>
          </w:p>
        </w:tc>
      </w:tr>
      <w:tr>
        <w:trPr>
          <w:trHeight w:val="196"/>
        </w:trPr>
        <w:tc>
          <w:tcPr>
            <w:tcW w:w="1280" w:type="dxa"/>
            <w:vAlign w:val="bottom"/>
          </w:tcPr>
          <w:p>
            <w:pPr>
              <w:spacing w:after="0"/>
              <w:rPr>
                <w:sz w:val="17"/>
                <w:szCs w:val="17"/>
                <w:color w:val="auto"/>
              </w:rPr>
            </w:pPr>
          </w:p>
        </w:tc>
        <w:tc>
          <w:tcPr>
            <w:tcW w:w="55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acknowledged and agreed to by LSB Industries, Inc. and the other grantors</w:t>
              </w:r>
            </w:hyperlink>
          </w:p>
        </w:tc>
        <w:tc>
          <w:tcPr>
            <w:tcW w:w="60" w:type="dxa"/>
            <w:vAlign w:val="bottom"/>
            <w:gridSpan w:val="3"/>
          </w:tcPr>
          <w:p>
            <w:pPr>
              <w:spacing w:after="0"/>
              <w:rPr>
                <w:sz w:val="17"/>
                <w:szCs w:val="17"/>
                <w:color w:val="auto"/>
              </w:rPr>
            </w:pPr>
          </w:p>
        </w:tc>
        <w:tc>
          <w:tcPr>
            <w:tcW w:w="42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600" w:type="dxa"/>
            <w:vAlign w:val="bottom"/>
            <w:gridSpan w:val="8"/>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named therein</w:t>
              </w:r>
            </w:hyperlink>
          </w:p>
        </w:tc>
        <w:tc>
          <w:tcPr>
            <w:tcW w:w="426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bl>
    <w:p>
      <w:pPr>
        <w:spacing w:after="0" w:line="36" w:lineRule="exact"/>
        <w:rPr>
          <w:sz w:val="20"/>
          <w:szCs w:val="20"/>
          <w:color w:val="auto"/>
        </w:rPr>
      </w:pPr>
    </w:p>
    <w:p>
      <w:pPr>
        <w:sectPr>
          <w:pgSz w:w="11900" w:h="16838" w:orient="portrait"/>
          <w:cols w:equalWidth="0" w:num="1">
            <w:col w:w="11180"/>
          </w:cols>
          <w:pgMar w:left="380" w:top="1385" w:right="339" w:bottom="144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12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93"/>
              </w:rPr>
              <w:t>10.30</w:t>
            </w:r>
          </w:p>
        </w:tc>
        <w:tc>
          <w:tcPr>
            <w:tcW w:w="554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Joinder Agreement to Intercreditor Agreement, dated November 9, 2015, by</w:t>
              </w:r>
            </w:hyperlink>
          </w:p>
        </w:tc>
      </w:tr>
      <w:tr>
        <w:trPr>
          <w:trHeight w:val="196"/>
        </w:trPr>
        <w:tc>
          <w:tcPr>
            <w:tcW w:w="1280" w:type="dxa"/>
            <w:vAlign w:val="bottom"/>
          </w:tcPr>
          <w:p>
            <w:pPr>
              <w:spacing w:after="0"/>
              <w:rPr>
                <w:sz w:val="17"/>
                <w:szCs w:val="17"/>
                <w:color w:val="auto"/>
              </w:rPr>
            </w:pPr>
          </w:p>
        </w:tc>
        <w:tc>
          <w:tcPr>
            <w:tcW w:w="54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and among LSB Funding LLC, Wells Fargo Capital Finance, Inc., as ABL</w:t>
              </w:r>
            </w:hyperlink>
          </w:p>
        </w:tc>
        <w:tc>
          <w:tcPr>
            <w:tcW w:w="120" w:type="dxa"/>
            <w:vAlign w:val="bottom"/>
          </w:tcPr>
          <w:p>
            <w:pPr>
              <w:spacing w:after="0"/>
              <w:rPr>
                <w:sz w:val="17"/>
                <w:szCs w:val="17"/>
                <w:color w:val="auto"/>
              </w:rPr>
            </w:pPr>
          </w:p>
        </w:tc>
      </w:tr>
    </w:tbl>
    <w:p>
      <w:pPr>
        <w:spacing w:after="0" w:line="9" w:lineRule="exact"/>
        <w:rPr>
          <w:sz w:val="20"/>
          <w:szCs w:val="20"/>
          <w:color w:val="auto"/>
        </w:rPr>
      </w:pPr>
    </w:p>
    <w:p>
      <w:pPr>
        <w:ind w:left="1320" w:right="440"/>
        <w:spacing w:after="0" w:line="273" w:lineRule="auto"/>
        <w:rPr>
          <w:rFonts w:ascii="Times New Roman" w:cs="Times New Roman" w:eastAsia="Times New Roman" w:hAnsi="Times New Roman"/>
          <w:sz w:val="18"/>
          <w:szCs w:val="18"/>
          <w:u w:val="single" w:color="auto"/>
          <w:color w:val="0000FF"/>
        </w:rPr>
      </w:pPr>
      <w:hyperlink r:id="rId179">
        <w:r>
          <w:rPr>
            <w:rFonts w:ascii="Times New Roman" w:cs="Times New Roman" w:eastAsia="Times New Roman" w:hAnsi="Times New Roman"/>
            <w:sz w:val="18"/>
            <w:szCs w:val="18"/>
            <w:u w:val="single" w:color="auto"/>
            <w:color w:val="0000FF"/>
          </w:rPr>
          <w:t>Agent, UMB Bank, N.A., as Notes Agent, LSB Industries, Inc. and the</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guarantors party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-175260</wp:posOffset>
            </wp:positionV>
            <wp:extent cx="326834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0">
                      <a:extLst>
                        <a:ext uri="{28A0092B-C50C-407E-A947-70E740481C1C}"/>
                      </a:extLst>
                    </a:blip>
                    <a:srcRect/>
                    <a:stretch>
                      <a:fillRect/>
                    </a:stretch>
                  </pic:blipFill>
                  <pic:spPr bwMode="auto">
                    <a:xfrm>
                      <a:off x="0" y="0"/>
                      <a:ext cx="3268345" cy="8255"/>
                    </a:xfrm>
                    <a:prstGeom prst="rect">
                      <a:avLst/>
                    </a:prstGeom>
                    <a:noFill/>
                  </pic:spPr>
                </pic:pic>
              </a:graphicData>
            </a:graphic>
          </wp:anchor>
        </w:drawing>
        <w:drawing>
          <wp:anchor simplePos="0" relativeHeight="251657728" behindDoc="1" locked="0" layoutInCell="0" allowOverlap="1">
            <wp:simplePos x="0" y="0"/>
            <wp:positionH relativeFrom="column">
              <wp:posOffset>841375</wp:posOffset>
            </wp:positionH>
            <wp:positionV relativeFrom="paragraph">
              <wp:posOffset>-38100</wp:posOffset>
            </wp:positionV>
            <wp:extent cx="10915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1">
                      <a:extLst>
                        <a:ext uri="{28A0092B-C50C-407E-A947-70E740481C1C}"/>
                      </a:extLst>
                    </a:blip>
                    <a:srcRect/>
                    <a:stretch>
                      <a:fillRect/>
                    </a:stretch>
                  </pic:blipFill>
                  <pic:spPr bwMode="auto">
                    <a:xfrm>
                      <a:off x="0" y="0"/>
                      <a:ext cx="10915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82" w:lineRule="auto"/>
        <w:rPr>
          <w:sz w:val="20"/>
          <w:szCs w:val="20"/>
          <w:color w:val="auto"/>
        </w:rPr>
      </w:pPr>
      <w:r>
        <w:rPr>
          <w:rFonts w:ascii="Times New Roman" w:cs="Times New Roman" w:eastAsia="Times New Roman" w:hAnsi="Times New Roman"/>
          <w:sz w:val="18"/>
          <w:szCs w:val="18"/>
          <w:color w:val="auto"/>
        </w:rPr>
        <w:t>Exhibit 10.4 to the Company’s Form 8-K filed November 16, 2015</w:t>
      </w:r>
    </w:p>
    <w:p>
      <w:pPr>
        <w:spacing w:after="0" w:line="417" w:lineRule="exact"/>
        <w:rPr>
          <w:sz w:val="20"/>
          <w:szCs w:val="20"/>
          <w:color w:val="auto"/>
        </w:rPr>
      </w:pPr>
    </w:p>
    <w:p>
      <w:pPr>
        <w:sectPr>
          <w:pgSz w:w="11900" w:h="16838" w:orient="portrait"/>
          <w:cols w:equalWidth="0" w:num="2">
            <w:col w:w="6860" w:space="100"/>
            <w:col w:w="4220"/>
          </w:cols>
          <w:pgMar w:left="380" w:top="1385"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1320" w:type="dxa"/>
            <w:vAlign w:val="bottom"/>
          </w:tcPr>
          <w:p>
            <w:pPr>
              <w:jc w:val="right"/>
              <w:ind w:right="790"/>
              <w:spacing w:after="0" w:line="195" w:lineRule="exact"/>
              <w:rPr>
                <w:sz w:val="20"/>
                <w:szCs w:val="20"/>
                <w:color w:val="auto"/>
              </w:rPr>
            </w:pPr>
            <w:r>
              <w:rPr>
                <w:rFonts w:ascii="Times New Roman" w:cs="Times New Roman" w:eastAsia="Times New Roman" w:hAnsi="Times New Roman"/>
                <w:sz w:val="18"/>
                <w:szCs w:val="18"/>
                <w:color w:val="auto"/>
              </w:rPr>
              <w:t>10.31</w:t>
            </w:r>
          </w:p>
        </w:tc>
        <w:tc>
          <w:tcPr>
            <w:tcW w:w="5380" w:type="dxa"/>
            <w:vAlign w:val="bottom"/>
            <w:tcBorders>
              <w:bottom w:val="single" w:sz="8" w:color="0000FF"/>
            </w:tcBorders>
            <w:gridSpan w:val="5"/>
          </w:tcPr>
          <w:p>
            <w:pPr>
              <w:spacing w:after="0" w:line="195"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Amendment No. 1 to Intercreditor Agreement, dated as of April 25, 2018,</w:t>
              </w:r>
            </w:hyperlink>
          </w:p>
        </w:tc>
        <w:tc>
          <w:tcPr>
            <w:tcW w:w="160" w:type="dxa"/>
            <w:vAlign w:val="bottom"/>
            <w:gridSpan w:val="2"/>
          </w:tcPr>
          <w:p>
            <w:pPr>
              <w:spacing w:after="0"/>
              <w:rPr>
                <w:sz w:val="16"/>
                <w:szCs w:val="16"/>
                <w:color w:val="auto"/>
              </w:rPr>
            </w:pPr>
          </w:p>
        </w:tc>
      </w:tr>
      <w:tr>
        <w:trPr>
          <w:trHeight w:val="196"/>
        </w:trPr>
        <w:tc>
          <w:tcPr>
            <w:tcW w:w="1320" w:type="dxa"/>
            <w:vAlign w:val="bottom"/>
          </w:tcPr>
          <w:p>
            <w:pPr>
              <w:spacing w:after="0"/>
              <w:rPr>
                <w:sz w:val="17"/>
                <w:szCs w:val="17"/>
                <w:color w:val="auto"/>
              </w:rPr>
            </w:pPr>
          </w:p>
        </w:tc>
        <w:tc>
          <w:tcPr>
            <w:tcW w:w="554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among Wells Fargo Capital Finance, LLC, UMB Bank, n.a. and Wilmington</w:t>
              </w:r>
            </w:hyperlink>
          </w:p>
        </w:tc>
      </w:tr>
      <w:tr>
        <w:trPr>
          <w:trHeight w:val="196"/>
        </w:trPr>
        <w:tc>
          <w:tcPr>
            <w:tcW w:w="1320" w:type="dxa"/>
            <w:vAlign w:val="bottom"/>
          </w:tcPr>
          <w:p>
            <w:pPr>
              <w:spacing w:after="0"/>
              <w:rPr>
                <w:sz w:val="17"/>
                <w:szCs w:val="17"/>
                <w:color w:val="auto"/>
              </w:rPr>
            </w:pPr>
          </w:p>
        </w:tc>
        <w:tc>
          <w:tcPr>
            <w:tcW w:w="550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Trust, National Association, and acknowledged by LSB Industries, Inc. and</w:t>
              </w:r>
            </w:hyperlink>
          </w:p>
        </w:tc>
        <w:tc>
          <w:tcPr>
            <w:tcW w:w="4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7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the subsidiary guarantors party thereto</w:t>
              </w:r>
            </w:hyperlink>
          </w:p>
        </w:tc>
        <w:tc>
          <w:tcPr>
            <w:tcW w:w="20" w:type="dxa"/>
            <w:vAlign w:val="bottom"/>
            <w:tcBorders>
              <w:bottom w:val="single" w:sz="8" w:color="0000EE"/>
            </w:tcBorders>
          </w:tcPr>
          <w:p>
            <w:pPr>
              <w:spacing w:after="0"/>
              <w:rPr>
                <w:sz w:val="17"/>
                <w:szCs w:val="17"/>
                <w:color w:val="auto"/>
              </w:rPr>
            </w:pPr>
          </w:p>
        </w:tc>
        <w:tc>
          <w:tcPr>
            <w:tcW w:w="2740" w:type="dxa"/>
            <w:vAlign w:val="bottom"/>
            <w:gridSpan w:val="5"/>
          </w:tcPr>
          <w:p>
            <w:pPr>
              <w:spacing w:after="0"/>
              <w:rPr>
                <w:sz w:val="17"/>
                <w:szCs w:val="17"/>
                <w:color w:val="auto"/>
              </w:rPr>
            </w:pPr>
          </w:p>
        </w:tc>
      </w:tr>
      <w:tr>
        <w:trPr>
          <w:trHeight w:val="236"/>
        </w:trPr>
        <w:tc>
          <w:tcPr>
            <w:tcW w:w="13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3"/>
              </w:rPr>
              <w:t>10.32</w:t>
            </w:r>
          </w:p>
        </w:tc>
        <w:tc>
          <w:tcPr>
            <w:tcW w:w="516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Joinder Agreement to Intercreditor Agreement, dated as of October 14,</w:t>
              </w:r>
            </w:hyperlink>
          </w:p>
        </w:tc>
        <w:tc>
          <w:tcPr>
            <w:tcW w:w="380" w:type="dxa"/>
            <w:vAlign w:val="bottom"/>
            <w:gridSpan w:val="4"/>
          </w:tcPr>
          <w:p>
            <w:pPr>
              <w:spacing w:after="0"/>
              <w:rPr>
                <w:sz w:val="20"/>
                <w:szCs w:val="20"/>
                <w:color w:val="auto"/>
              </w:rPr>
            </w:pPr>
          </w:p>
        </w:tc>
      </w:tr>
      <w:tr>
        <w:trPr>
          <w:trHeight w:val="196"/>
        </w:trPr>
        <w:tc>
          <w:tcPr>
            <w:tcW w:w="1320" w:type="dxa"/>
            <w:vAlign w:val="bottom"/>
          </w:tcPr>
          <w:p>
            <w:pPr>
              <w:spacing w:after="0"/>
              <w:rPr>
                <w:sz w:val="17"/>
                <w:szCs w:val="17"/>
                <w:color w:val="auto"/>
              </w:rPr>
            </w:pPr>
          </w:p>
        </w:tc>
        <w:tc>
          <w:tcPr>
            <w:tcW w:w="526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2021, by Wilmington Trust, National Association, as Notes Trustee, and</w:t>
              </w:r>
            </w:hyperlink>
          </w:p>
        </w:tc>
        <w:tc>
          <w:tcPr>
            <w:tcW w:w="280" w:type="dxa"/>
            <w:vAlign w:val="bottom"/>
            <w:gridSpan w:val="3"/>
          </w:tcPr>
          <w:p>
            <w:pPr>
              <w:spacing w:after="0"/>
              <w:rPr>
                <w:sz w:val="17"/>
                <w:szCs w:val="17"/>
                <w:color w:val="auto"/>
              </w:rPr>
            </w:pPr>
          </w:p>
        </w:tc>
      </w:tr>
    </w:tbl>
    <w:p>
      <w:pPr>
        <w:spacing w:after="0" w:line="9" w:lineRule="exact"/>
        <w:rPr>
          <w:sz w:val="20"/>
          <w:szCs w:val="20"/>
          <w:color w:val="auto"/>
        </w:rPr>
      </w:pPr>
    </w:p>
    <w:p>
      <w:pPr>
        <w:ind w:left="1320" w:right="440"/>
        <w:spacing w:after="0" w:line="273" w:lineRule="auto"/>
        <w:rPr>
          <w:rFonts w:ascii="Times New Roman" w:cs="Times New Roman" w:eastAsia="Times New Roman" w:hAnsi="Times New Roman"/>
          <w:sz w:val="18"/>
          <w:szCs w:val="18"/>
          <w:u w:val="single" w:color="auto"/>
          <w:color w:val="0000FF"/>
        </w:rPr>
      </w:pPr>
      <w:hyperlink r:id="rId183">
        <w:r>
          <w:rPr>
            <w:rFonts w:ascii="Times New Roman" w:cs="Times New Roman" w:eastAsia="Times New Roman" w:hAnsi="Times New Roman"/>
            <w:sz w:val="18"/>
            <w:szCs w:val="18"/>
            <w:u w:val="single" w:color="auto"/>
            <w:color w:val="0000FF"/>
          </w:rPr>
          <w:t>acknowledged by Wilmington Trust, National Association, as Existing</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Notes Trustee, Wells Fargo Capital Finance, LLC, LSB</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-175260</wp:posOffset>
            </wp:positionV>
            <wp:extent cx="32619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4">
                      <a:extLst>
                        <a:ext uri="{28A0092B-C50C-407E-A947-70E740481C1C}"/>
                      </a:extLst>
                    </a:blip>
                    <a:srcRect/>
                    <a:stretch>
                      <a:fillRect/>
                    </a:stretch>
                  </pic:blipFill>
                  <pic:spPr bwMode="auto">
                    <a:xfrm>
                      <a:off x="0" y="0"/>
                      <a:ext cx="3261995" cy="8255"/>
                    </a:xfrm>
                    <a:prstGeom prst="rect">
                      <a:avLst/>
                    </a:prstGeom>
                    <a:noFill/>
                  </pic:spPr>
                </pic:pic>
              </a:graphicData>
            </a:graphic>
          </wp:anchor>
        </w:drawing>
        <w:drawing>
          <wp:anchor simplePos="0" relativeHeight="251657728" behindDoc="1" locked="0" layoutInCell="0" allowOverlap="1">
            <wp:simplePos x="0" y="0"/>
            <wp:positionH relativeFrom="column">
              <wp:posOffset>841375</wp:posOffset>
            </wp:positionH>
            <wp:positionV relativeFrom="paragraph">
              <wp:posOffset>-38100</wp:posOffset>
            </wp:positionV>
            <wp:extent cx="25450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5">
                      <a:extLst>
                        <a:ext uri="{28A0092B-C50C-407E-A947-70E740481C1C}"/>
                      </a:extLst>
                    </a:blip>
                    <a:srcRect/>
                    <a:stretch>
                      <a:fillRect/>
                    </a:stretch>
                  </pic:blipFill>
                  <pic:spPr bwMode="auto">
                    <a:xfrm>
                      <a:off x="0" y="0"/>
                      <a:ext cx="2545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60"/>
        <w:spacing w:after="0" w:line="282" w:lineRule="auto"/>
        <w:rPr>
          <w:sz w:val="20"/>
          <w:szCs w:val="20"/>
          <w:color w:val="auto"/>
        </w:rPr>
      </w:pPr>
      <w:r>
        <w:rPr>
          <w:rFonts w:ascii="Times New Roman" w:cs="Times New Roman" w:eastAsia="Times New Roman" w:hAnsi="Times New Roman"/>
          <w:sz w:val="18"/>
          <w:szCs w:val="18"/>
          <w:color w:val="auto"/>
        </w:rPr>
        <w:t>Exhibit 10.1 to the Company’s Form 8-K filed April 25, 2018</w:t>
      </w:r>
    </w:p>
    <w:p>
      <w:pPr>
        <w:spacing w:after="0" w:line="200" w:lineRule="exact"/>
        <w:rPr>
          <w:sz w:val="20"/>
          <w:szCs w:val="20"/>
          <w:color w:val="auto"/>
        </w:rPr>
      </w:pPr>
    </w:p>
    <w:p>
      <w:pPr>
        <w:spacing w:after="0" w:line="21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Exhibit 10.1 to the Company’s Form 8-K filed October 15, 2021</w:t>
      </w:r>
    </w:p>
    <w:p>
      <w:pPr>
        <w:spacing w:after="0" w:line="417" w:lineRule="exact"/>
        <w:rPr>
          <w:sz w:val="20"/>
          <w:szCs w:val="20"/>
          <w:color w:val="auto"/>
        </w:rPr>
      </w:pPr>
    </w:p>
    <w:p>
      <w:pPr>
        <w:sectPr>
          <w:pgSz w:w="11900" w:h="16838" w:orient="portrait"/>
          <w:cols w:equalWidth="0" w:num="2">
            <w:col w:w="6860" w:space="100"/>
            <w:col w:w="4220"/>
          </w:cols>
          <w:pgMar w:left="380" w:top="1385" w:right="339" w:bottom="1440" w:gutter="0" w:footer="0" w:header="0"/>
          <w:type w:val="continuous"/>
        </w:sectPr>
      </w:pPr>
    </w:p>
    <w:tbl>
      <w:tblPr>
        <w:tblLayout w:type="fixed"/>
        <w:tblInd w:w="40" w:type="dxa"/>
        <w:tblCellMar>
          <w:top w:w="0" w:type="dxa"/>
          <w:left w:w="0" w:type="dxa"/>
          <w:bottom w:w="0" w:type="dxa"/>
          <w:right w:w="0" w:type="dxa"/>
        </w:tblCellMar>
      </w:tblPr>
      <w:tr>
        <w:trPr>
          <w:trHeight w:val="195"/>
        </w:trPr>
        <w:tc>
          <w:tcPr>
            <w:tcW w:w="1280" w:type="dxa"/>
            <w:vAlign w:val="bottom"/>
          </w:tcPr>
          <w:p>
            <w:pPr>
              <w:jc w:val="right"/>
              <w:ind w:right="790"/>
              <w:spacing w:after="0" w:line="195" w:lineRule="exact"/>
              <w:rPr>
                <w:sz w:val="20"/>
                <w:szCs w:val="20"/>
                <w:color w:val="auto"/>
              </w:rPr>
            </w:pPr>
            <w:r>
              <w:rPr>
                <w:rFonts w:ascii="Times New Roman" w:cs="Times New Roman" w:eastAsia="Times New Roman" w:hAnsi="Times New Roman"/>
                <w:sz w:val="18"/>
                <w:szCs w:val="18"/>
                <w:color w:val="auto"/>
                <w:w w:val="93"/>
              </w:rPr>
              <w:t>10.33</w:t>
            </w:r>
          </w:p>
        </w:tc>
        <w:tc>
          <w:tcPr>
            <w:tcW w:w="5320" w:type="dxa"/>
            <w:vAlign w:val="bottom"/>
            <w:tcBorders>
              <w:bottom w:val="single" w:sz="8" w:color="0000FF"/>
            </w:tcBorders>
            <w:gridSpan w:val="3"/>
          </w:tcPr>
          <w:p>
            <w:pPr>
              <w:spacing w:after="0" w:line="195"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Joinder Agreement to Intercreditor Agreement, dated as of December 21,</w:t>
              </w:r>
            </w:hyperlink>
          </w:p>
        </w:tc>
      </w:tr>
      <w:tr>
        <w:trPr>
          <w:trHeight w:val="196"/>
        </w:trPr>
        <w:tc>
          <w:tcPr>
            <w:tcW w:w="1280" w:type="dxa"/>
            <w:vAlign w:val="bottom"/>
          </w:tcPr>
          <w:p>
            <w:pPr>
              <w:spacing w:after="0"/>
              <w:rPr>
                <w:sz w:val="17"/>
                <w:szCs w:val="17"/>
                <w:color w:val="auto"/>
              </w:rPr>
            </w:pPr>
          </w:p>
        </w:tc>
        <w:tc>
          <w:tcPr>
            <w:tcW w:w="46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2023, by JPMorgan Chase Bank, N.A., as New ABL Agent, and</w:t>
              </w:r>
            </w:hyperlink>
          </w:p>
        </w:tc>
        <w:tc>
          <w:tcPr>
            <w:tcW w:w="64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1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acknowledged by Wells Fargo Capital Finance, LLC, as Existing ABL</w:t>
              </w:r>
            </w:hyperlink>
          </w:p>
        </w:tc>
        <w:tc>
          <w:tcPr>
            <w:tcW w:w="180" w:type="dxa"/>
            <w:vAlign w:val="bottom"/>
          </w:tcPr>
          <w:p>
            <w:pPr>
              <w:spacing w:after="0"/>
              <w:rPr>
                <w:sz w:val="17"/>
                <w:szCs w:val="17"/>
                <w:color w:val="auto"/>
              </w:rPr>
            </w:pPr>
          </w:p>
        </w:tc>
      </w:tr>
    </w:tbl>
    <w:p>
      <w:pPr>
        <w:spacing w:after="0" w:line="9" w:lineRule="exact"/>
        <w:rPr>
          <w:sz w:val="20"/>
          <w:szCs w:val="20"/>
          <w:color w:val="auto"/>
        </w:rPr>
      </w:pPr>
    </w:p>
    <w:p>
      <w:pPr>
        <w:ind w:left="1320" w:right="280"/>
        <w:spacing w:after="0" w:line="273" w:lineRule="auto"/>
        <w:rPr>
          <w:rFonts w:ascii="Times New Roman" w:cs="Times New Roman" w:eastAsia="Times New Roman" w:hAnsi="Times New Roman"/>
          <w:sz w:val="18"/>
          <w:szCs w:val="18"/>
          <w:u w:val="single" w:color="auto"/>
          <w:color w:val="0000FF"/>
        </w:rPr>
      </w:pPr>
      <w:hyperlink r:id="rId186">
        <w:r>
          <w:rPr>
            <w:rFonts w:ascii="Times New Roman" w:cs="Times New Roman" w:eastAsia="Times New Roman" w:hAnsi="Times New Roman"/>
            <w:sz w:val="18"/>
            <w:szCs w:val="18"/>
            <w:u w:val="single" w:color="auto"/>
            <w:color w:val="0000FF"/>
          </w:rPr>
          <w:t>Agent, Wilmington Trust, National Association, as Notes Agent, LSB</w:t>
        </w:r>
      </w:hyperlink>
      <w:r>
        <w:rPr>
          <w:rFonts w:ascii="Times New Roman" w:cs="Times New Roman" w:eastAsia="Times New Roman" w:hAnsi="Times New Roman"/>
          <w:sz w:val="18"/>
          <w:szCs w:val="18"/>
          <w:u w:val="single" w:color="auto"/>
          <w:color w:val="0000FF"/>
        </w:rPr>
        <w:t xml:space="preserve"> </w:t>
      </w:r>
      <w:hyperlink r:id="rId186">
        <w:r>
          <w:rPr>
            <w:rFonts w:ascii="Times New Roman" w:cs="Times New Roman" w:eastAsia="Times New Roman" w:hAnsi="Times New Roman"/>
            <w:sz w:val="18"/>
            <w:szCs w:val="18"/>
            <w:u w:val="single" w:color="auto"/>
            <w:color w:val="0000FF"/>
          </w:rPr>
          <w:t>Industries, Inc. and the subsidiary guarantors party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-175260</wp:posOffset>
            </wp:positionV>
            <wp:extent cx="32270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7">
                      <a:extLst>
                        <a:ext uri="{28A0092B-C50C-407E-A947-70E740481C1C}"/>
                      </a:extLst>
                    </a:blip>
                    <a:srcRect/>
                    <a:stretch>
                      <a:fillRect/>
                    </a:stretch>
                  </pic:blipFill>
                  <pic:spPr bwMode="auto">
                    <a:xfrm>
                      <a:off x="0" y="0"/>
                      <a:ext cx="3227070" cy="8255"/>
                    </a:xfrm>
                    <a:prstGeom prst="rect">
                      <a:avLst/>
                    </a:prstGeom>
                    <a:noFill/>
                  </pic:spPr>
                </pic:pic>
              </a:graphicData>
            </a:graphic>
          </wp:anchor>
        </w:drawing>
        <w:drawing>
          <wp:anchor simplePos="0" relativeHeight="251657728" behindDoc="1" locked="0" layoutInCell="0" allowOverlap="1">
            <wp:simplePos x="0" y="0"/>
            <wp:positionH relativeFrom="column">
              <wp:posOffset>841375</wp:posOffset>
            </wp:positionH>
            <wp:positionV relativeFrom="paragraph">
              <wp:posOffset>-38100</wp:posOffset>
            </wp:positionV>
            <wp:extent cx="26619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8">
                      <a:extLst>
                        <a:ext uri="{28A0092B-C50C-407E-A947-70E740481C1C}"/>
                      </a:extLst>
                    </a:blip>
                    <a:srcRect/>
                    <a:stretch>
                      <a:fillRect/>
                    </a:stretch>
                  </pic:blipFill>
                  <pic:spPr bwMode="auto">
                    <a:xfrm>
                      <a:off x="0" y="0"/>
                      <a:ext cx="26619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80"/>
        <w:spacing w:after="0" w:line="282" w:lineRule="auto"/>
        <w:rPr>
          <w:sz w:val="20"/>
          <w:szCs w:val="20"/>
          <w:color w:val="auto"/>
        </w:rPr>
      </w:pPr>
      <w:r>
        <w:rPr>
          <w:rFonts w:ascii="Times New Roman" w:cs="Times New Roman" w:eastAsia="Times New Roman" w:hAnsi="Times New Roman"/>
          <w:sz w:val="18"/>
          <w:szCs w:val="18"/>
          <w:color w:val="auto"/>
        </w:rPr>
        <w:t>Exhibit 10.3 to the Company’s Form 8-K filed December 26, 2023</w:t>
      </w:r>
    </w:p>
    <w:p>
      <w:pPr>
        <w:spacing w:after="0" w:line="633" w:lineRule="exact"/>
        <w:rPr>
          <w:sz w:val="20"/>
          <w:szCs w:val="20"/>
          <w:color w:val="auto"/>
        </w:rPr>
      </w:pPr>
    </w:p>
    <w:p>
      <w:pPr>
        <w:sectPr>
          <w:pgSz w:w="11900" w:h="16838" w:orient="portrait"/>
          <w:cols w:equalWidth="0" w:num="2">
            <w:col w:w="6640" w:space="320"/>
            <w:col w:w="4220"/>
          </w:cols>
          <w:pgMar w:left="380" w:top="1385" w:right="339" w:bottom="1440" w:gutter="0" w:footer="0" w:header="0"/>
          <w:type w:val="continuous"/>
        </w:sectPr>
      </w:pPr>
    </w:p>
    <w:tbl>
      <w:tblPr>
        <w:tblLayout w:type="fixed"/>
        <w:tblInd w:w="40" w:type="dxa"/>
        <w:tblCellMar>
          <w:top w:w="0" w:type="dxa"/>
          <w:left w:w="0" w:type="dxa"/>
          <w:bottom w:w="0" w:type="dxa"/>
          <w:right w:w="0" w:type="dxa"/>
        </w:tblCellMar>
      </w:tblPr>
      <w:tr>
        <w:trPr>
          <w:trHeight w:val="195"/>
        </w:trPr>
        <w:tc>
          <w:tcPr>
            <w:tcW w:w="1280" w:type="dxa"/>
            <w:vAlign w:val="bottom"/>
          </w:tcPr>
          <w:p>
            <w:pPr>
              <w:jc w:val="right"/>
              <w:ind w:right="790"/>
              <w:spacing w:after="0" w:line="195" w:lineRule="exact"/>
              <w:rPr>
                <w:sz w:val="20"/>
                <w:szCs w:val="20"/>
                <w:color w:val="auto"/>
              </w:rPr>
            </w:pPr>
            <w:r>
              <w:rPr>
                <w:rFonts w:ascii="Times New Roman" w:cs="Times New Roman" w:eastAsia="Times New Roman" w:hAnsi="Times New Roman"/>
                <w:sz w:val="18"/>
                <w:szCs w:val="18"/>
                <w:color w:val="auto"/>
                <w:w w:val="93"/>
              </w:rPr>
              <w:t>10.34</w:t>
            </w:r>
          </w:p>
        </w:tc>
        <w:tc>
          <w:tcPr>
            <w:tcW w:w="5540" w:type="dxa"/>
            <w:vAlign w:val="bottom"/>
            <w:tcBorders>
              <w:bottom w:val="single" w:sz="8" w:color="0000FF"/>
            </w:tcBorders>
            <w:gridSpan w:val="7"/>
          </w:tcPr>
          <w:p>
            <w:pPr>
              <w:spacing w:after="0" w:line="195"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Credit Agreement, dated December 21, 2023, by and among LSB Industries,</w:t>
              </w:r>
            </w:hyperlink>
          </w:p>
        </w:tc>
      </w:tr>
      <w:tr>
        <w:trPr>
          <w:trHeight w:val="196"/>
        </w:trPr>
        <w:tc>
          <w:tcPr>
            <w:tcW w:w="1280" w:type="dxa"/>
            <w:vAlign w:val="bottom"/>
          </w:tcPr>
          <w:p>
            <w:pPr>
              <w:spacing w:after="0"/>
              <w:rPr>
                <w:sz w:val="17"/>
                <w:szCs w:val="17"/>
                <w:color w:val="auto"/>
              </w:rPr>
            </w:pPr>
          </w:p>
        </w:tc>
        <w:tc>
          <w:tcPr>
            <w:tcW w:w="546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Inc., the other loan parties from time to time party thereto, the lenders from</w:t>
              </w:r>
            </w:hyperlink>
          </w:p>
        </w:tc>
        <w:tc>
          <w:tcPr>
            <w:tcW w:w="8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8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time to time party thereto, and JPMorgan Chase Bank, N.A., as the</w:t>
              </w:r>
            </w:hyperlink>
          </w:p>
        </w:tc>
        <w:tc>
          <w:tcPr>
            <w:tcW w:w="68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540" w:type="dxa"/>
            <w:vAlign w:val="bottom"/>
            <w:gridSpan w:val="7"/>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administrative agent</w:t>
              </w:r>
            </w:hyperlink>
          </w:p>
        </w:tc>
      </w:tr>
      <w:tr>
        <w:trPr>
          <w:trHeight w:val="20"/>
        </w:trPr>
        <w:tc>
          <w:tcPr>
            <w:tcW w:w="128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36"/>
        </w:trPr>
        <w:tc>
          <w:tcPr>
            <w:tcW w:w="12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93"/>
              </w:rPr>
              <w:t>10.35</w:t>
            </w:r>
          </w:p>
        </w:tc>
        <w:tc>
          <w:tcPr>
            <w:tcW w:w="518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Pledge and Security Agreement dated December 21, 2023, among LSB</w:t>
              </w:r>
            </w:hyperlink>
          </w:p>
        </w:tc>
        <w:tc>
          <w:tcPr>
            <w:tcW w:w="360" w:type="dxa"/>
            <w:vAlign w:val="bottom"/>
            <w:gridSpan w:val="3"/>
          </w:tcPr>
          <w:p>
            <w:pPr>
              <w:spacing w:after="0"/>
              <w:rPr>
                <w:sz w:val="20"/>
                <w:szCs w:val="20"/>
                <w:color w:val="auto"/>
              </w:rPr>
            </w:pPr>
          </w:p>
        </w:tc>
      </w:tr>
      <w:tr>
        <w:trPr>
          <w:trHeight w:val="196"/>
        </w:trPr>
        <w:tc>
          <w:tcPr>
            <w:tcW w:w="1280" w:type="dxa"/>
            <w:vAlign w:val="bottom"/>
          </w:tcPr>
          <w:p>
            <w:pPr>
              <w:spacing w:after="0"/>
              <w:rPr>
                <w:sz w:val="17"/>
                <w:szCs w:val="17"/>
                <w:color w:val="auto"/>
              </w:rPr>
            </w:pPr>
          </w:p>
        </w:tc>
        <w:tc>
          <w:tcPr>
            <w:tcW w:w="530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Industries, Inc., each of the other Guarantors and JPMorgan Chase Bank,</w:t>
              </w:r>
            </w:hyperlink>
          </w:p>
        </w:tc>
        <w:tc>
          <w:tcPr>
            <w:tcW w:w="24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540" w:type="dxa"/>
            <w:vAlign w:val="bottom"/>
            <w:gridSpan w:val="7"/>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N.A., as administrative agent for the secured parties</w:t>
              </w:r>
            </w:hyperlink>
          </w:p>
        </w:tc>
      </w:tr>
      <w:tr>
        <w:trPr>
          <w:trHeight w:val="20"/>
        </w:trPr>
        <w:tc>
          <w:tcPr>
            <w:tcW w:w="128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300" w:type="dxa"/>
            <w:vAlign w:val="bottom"/>
            <w:tcBorders>
              <w:right w:val="single" w:sz="8" w:color="0000EE"/>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921385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80"/>
        <w:spacing w:after="0" w:line="282" w:lineRule="auto"/>
        <w:rPr>
          <w:sz w:val="20"/>
          <w:szCs w:val="20"/>
          <w:color w:val="auto"/>
        </w:rPr>
      </w:pPr>
      <w:r>
        <w:rPr>
          <w:rFonts w:ascii="Times New Roman" w:cs="Times New Roman" w:eastAsia="Times New Roman" w:hAnsi="Times New Roman"/>
          <w:sz w:val="18"/>
          <w:szCs w:val="18"/>
          <w:color w:val="auto"/>
        </w:rPr>
        <w:t>Exhibit 10.1 to the Company’s Form 8-K filed December 26, 2023</w:t>
      </w:r>
    </w:p>
    <w:p>
      <w:pPr>
        <w:spacing w:after="0" w:line="200" w:lineRule="exact"/>
        <w:rPr>
          <w:sz w:val="20"/>
          <w:szCs w:val="20"/>
          <w:color w:val="auto"/>
        </w:rPr>
      </w:pPr>
    </w:p>
    <w:p>
      <w:pPr>
        <w:spacing w:after="0" w:line="21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Exhibit 10.2 to the Company’s Form 8-K filed December 26, 2023</w:t>
      </w:r>
    </w:p>
    <w:p>
      <w:pPr>
        <w:sectPr>
          <w:pgSz w:w="11900" w:h="16838" w:orient="portrait"/>
          <w:cols w:equalWidth="0" w:num="2">
            <w:col w:w="6860" w:space="100"/>
            <w:col w:w="4220"/>
          </w:cols>
          <w:pgMar w:left="380" w:top="1385" w:right="339" w:bottom="1440" w:gutter="0" w:footer="0" w:header="0"/>
          <w:type w:val="continuous"/>
        </w:sectPr>
      </w:pPr>
    </w:p>
    <w:bookmarkStart w:id="47" w:name="page48"/>
    <w:bookmarkEnd w:id="47"/>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24765</wp:posOffset>
            </wp:positionV>
            <wp:extent cx="8058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2">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10.36</w:t>
      </w: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10.37</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5540" w:type="dxa"/>
            <w:vAlign w:val="bottom"/>
            <w:tcBorders>
              <w:bottom w:val="single" w:sz="8" w:color="auto"/>
            </w:tcBorders>
            <w:gridSpan w:val="3"/>
          </w:tcPr>
          <w:p>
            <w:pPr>
              <w:ind w:left="238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100" w:type="dxa"/>
            <w:vAlign w:val="bottom"/>
          </w:tcPr>
          <w:p>
            <w:pPr>
              <w:spacing w:after="0"/>
              <w:rPr>
                <w:sz w:val="15"/>
                <w:szCs w:val="15"/>
                <w:color w:val="auto"/>
              </w:rPr>
            </w:pPr>
          </w:p>
        </w:tc>
        <w:tc>
          <w:tcPr>
            <w:tcW w:w="42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Incorporated by Reference to the Following</w:t>
            </w:r>
          </w:p>
        </w:tc>
      </w:tr>
      <w:tr>
        <w:trPr>
          <w:trHeight w:val="209"/>
        </w:trPr>
        <w:tc>
          <w:tcPr>
            <w:tcW w:w="526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Registration Rights Agreement by and between LSB Industries, Inc. and</w:t>
              </w:r>
            </w:hyperlink>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Exhibit 10.4 to the Company’s Form 8-K filed December</w:t>
            </w:r>
          </w:p>
        </w:tc>
      </w:tr>
      <w:tr>
        <w:trPr>
          <w:trHeight w:val="196"/>
        </w:trPr>
        <w:tc>
          <w:tcPr>
            <w:tcW w:w="5540" w:type="dxa"/>
            <w:vAlign w:val="bottom"/>
            <w:gridSpan w:val="3"/>
          </w:tcPr>
          <w:p>
            <w:pPr>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LSB Funding LLC, dated as of December 4, 2015</w:t>
              </w:r>
            </w:hyperlink>
          </w:p>
        </w:tc>
        <w:tc>
          <w:tcPr>
            <w:tcW w:w="432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8, 2015</w:t>
            </w:r>
          </w:p>
        </w:tc>
      </w:tr>
      <w:tr>
        <w:trPr>
          <w:trHeight w:val="20"/>
        </w:trPr>
        <w:tc>
          <w:tcPr>
            <w:tcW w:w="3620" w:type="dxa"/>
            <w:vAlign w:val="bottom"/>
            <w:tcBorders>
              <w:right w:val="single" w:sz="8" w:color="0000EE"/>
            </w:tcBorders>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bl>
    <w:p>
      <w:pPr>
        <w:spacing w:after="0" w:line="49" w:lineRule="exact"/>
        <w:rPr>
          <w:sz w:val="20"/>
          <w:szCs w:val="20"/>
          <w:color w:val="auto"/>
        </w:rPr>
      </w:pPr>
    </w:p>
    <w:p>
      <w:pPr>
        <w:jc w:val="both"/>
        <w:ind w:right="20"/>
        <w:spacing w:after="0" w:line="261" w:lineRule="auto"/>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u w:val="single" w:color="auto"/>
            <w:color w:val="0000FF"/>
          </w:rPr>
          <w:t>Board Representation and Standstill Agreement by and among LSB</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10.3 to the Company’s Form 8-K filed December</w:t>
      </w:r>
      <w:r>
        <w:rPr>
          <w:rFonts w:ascii="Times New Roman" w:cs="Times New Roman" w:eastAsia="Times New Roman" w:hAnsi="Times New Roman"/>
          <w:sz w:val="18"/>
          <w:szCs w:val="18"/>
          <w:color w:val="0000FF"/>
        </w:rPr>
        <w:t xml:space="preserve"> </w:t>
      </w:r>
      <w:hyperlink r:id="rId194">
        <w:r>
          <w:rPr>
            <w:rFonts w:ascii="Times New Roman" w:cs="Times New Roman" w:eastAsia="Times New Roman" w:hAnsi="Times New Roman"/>
            <w:sz w:val="18"/>
            <w:szCs w:val="18"/>
            <w:u w:val="single" w:color="auto"/>
            <w:color w:val="0000FF"/>
          </w:rPr>
          <w:t>Industries, Inc., LSB Funding LLC, Security Benefit Corporation, Todd</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8,</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-161925</wp:posOffset>
            </wp:positionV>
            <wp:extent cx="350837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5">
                      <a:extLst>
                        <a:ext uri="{28A0092B-C50C-407E-A947-70E740481C1C}"/>
                      </a:extLst>
                    </a:blip>
                    <a:srcRect/>
                    <a:stretch>
                      <a:fillRect/>
                    </a:stretch>
                  </pic:blipFill>
                  <pic:spPr bwMode="auto">
                    <a:xfrm>
                      <a:off x="0" y="0"/>
                      <a:ext cx="350837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-24765</wp:posOffset>
            </wp:positionV>
            <wp:extent cx="350710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6">
                      <a:extLst>
                        <a:ext uri="{28A0092B-C50C-407E-A947-70E740481C1C}"/>
                      </a:extLst>
                    </a:blip>
                    <a:srcRect/>
                    <a:stretch>
                      <a:fillRect/>
                    </a:stretch>
                  </pic:blipFill>
                  <pic:spPr bwMode="auto">
                    <a:xfrm>
                      <a:off x="0" y="0"/>
                      <a:ext cx="3507105" cy="8890"/>
                    </a:xfrm>
                    <a:prstGeom prst="rect">
                      <a:avLst/>
                    </a:prstGeom>
                    <a:noFill/>
                  </pic:spPr>
                </pic:pic>
              </a:graphicData>
            </a:graphic>
          </wp:anchor>
        </w:drawing>
      </w:r>
    </w:p>
    <w:p>
      <w:pPr>
        <w:ind w:right="4320"/>
        <w:spacing w:after="0" w:line="260" w:lineRule="auto"/>
        <w:rPr>
          <w:rFonts w:ascii="Times New Roman" w:cs="Times New Roman" w:eastAsia="Times New Roman" w:hAnsi="Times New Roman"/>
          <w:sz w:val="18"/>
          <w:szCs w:val="18"/>
          <w:u w:val="single" w:color="auto"/>
          <w:color w:val="0000FF"/>
        </w:rPr>
      </w:pPr>
      <w:hyperlink r:id="rId194">
        <w:r>
          <w:rPr>
            <w:rFonts w:ascii="Times New Roman" w:cs="Times New Roman" w:eastAsia="Times New Roman" w:hAnsi="Times New Roman"/>
            <w:sz w:val="18"/>
            <w:szCs w:val="18"/>
            <w:u w:val="single" w:color="auto"/>
            <w:color w:val="0000FF"/>
          </w:rPr>
          <w:t>Boehly and the Golsen Holders (as defined therein), dated as of December</w:t>
        </w:r>
      </w:hyperlink>
      <w:r>
        <w:rPr>
          <w:rFonts w:ascii="Times New Roman" w:cs="Times New Roman" w:eastAsia="Times New Roman" w:hAnsi="Times New Roman"/>
          <w:sz w:val="18"/>
          <w:szCs w:val="18"/>
          <w:u w:val="single" w:color="auto"/>
          <w:color w:val="0000FF"/>
        </w:rPr>
        <w:t xml:space="preserve"> </w:t>
      </w:r>
      <w:hyperlink r:id="rId194">
        <w:r>
          <w:rPr>
            <w:rFonts w:ascii="Times New Roman" w:cs="Times New Roman" w:eastAsia="Times New Roman" w:hAnsi="Times New Roman"/>
            <w:sz w:val="18"/>
            <w:szCs w:val="18"/>
            <w:u w:val="single" w:color="auto"/>
            <w:color w:val="0000FF"/>
          </w:rPr>
          <w:t>4, 2015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-172720</wp:posOffset>
            </wp:positionV>
            <wp:extent cx="351218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7">
                      <a:extLst>
                        <a:ext uri="{28A0092B-C50C-407E-A947-70E740481C1C}"/>
                      </a:extLst>
                    </a:blip>
                    <a:srcRect/>
                    <a:stretch>
                      <a:fillRect/>
                    </a:stretch>
                  </pic:blipFill>
                  <pic:spPr bwMode="auto">
                    <a:xfrm>
                      <a:off x="0" y="0"/>
                      <a:ext cx="351218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-35560</wp:posOffset>
            </wp:positionV>
            <wp:extent cx="3429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8">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000" w:space="320"/>
            <w:col w:w="9860"/>
          </w:cols>
          <w:pgMar w:left="380" w:top="1440" w:right="339" w:bottom="1440" w:gutter="0" w:footer="0" w:header="0"/>
        </w:sectPr>
      </w:pPr>
    </w:p>
    <w:tbl>
      <w:tblPr>
        <w:tblLayout w:type="fixed"/>
        <w:tblInd w:w="40" w:type="dxa"/>
        <w:tblCellMar>
          <w:top w:w="0" w:type="dxa"/>
          <w:left w:w="0" w:type="dxa"/>
          <w:bottom w:w="0" w:type="dxa"/>
          <w:right w:w="0" w:type="dxa"/>
        </w:tblCellMar>
      </w:tblPr>
      <w:tr>
        <w:trPr>
          <w:trHeight w:val="200"/>
        </w:trPr>
        <w:tc>
          <w:tcPr>
            <w:tcW w:w="1280" w:type="dxa"/>
            <w:vAlign w:val="bottom"/>
          </w:tcPr>
          <w:p>
            <w:pPr>
              <w:jc w:val="right"/>
              <w:ind w:right="790"/>
              <w:spacing w:after="0" w:line="200" w:lineRule="exact"/>
              <w:rPr>
                <w:sz w:val="20"/>
                <w:szCs w:val="20"/>
                <w:color w:val="auto"/>
              </w:rPr>
            </w:pPr>
            <w:r>
              <w:rPr>
                <w:rFonts w:ascii="Times New Roman" w:cs="Times New Roman" w:eastAsia="Times New Roman" w:hAnsi="Times New Roman"/>
                <w:sz w:val="18"/>
                <w:szCs w:val="18"/>
                <w:color w:val="auto"/>
                <w:w w:val="93"/>
              </w:rPr>
              <w:t>10.38</w:t>
            </w:r>
          </w:p>
        </w:tc>
        <w:tc>
          <w:tcPr>
            <w:tcW w:w="5560" w:type="dxa"/>
            <w:vAlign w:val="bottom"/>
            <w:tcBorders>
              <w:bottom w:val="single" w:sz="8" w:color="0000FF"/>
            </w:tcBorders>
            <w:gridSpan w:val="5"/>
          </w:tcPr>
          <w:p>
            <w:pPr>
              <w:spacing w:after="0" w:line="200"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Amendment to the Board Representation and Standstill Agreement, dated</w:t>
              </w:r>
            </w:hyperlink>
          </w:p>
        </w:tc>
        <w:tc>
          <w:tcPr>
            <w:tcW w:w="40" w:type="dxa"/>
            <w:vAlign w:val="bottom"/>
          </w:tcPr>
          <w:p>
            <w:pPr>
              <w:spacing w:after="0"/>
              <w:rPr>
                <w:sz w:val="17"/>
                <w:szCs w:val="17"/>
                <w:color w:val="auto"/>
              </w:rPr>
            </w:pPr>
          </w:p>
        </w:tc>
        <w:tc>
          <w:tcPr>
            <w:tcW w:w="4260" w:type="dxa"/>
            <w:vAlign w:val="bottom"/>
          </w:tcPr>
          <w:p>
            <w:pPr>
              <w:ind w:left="40"/>
              <w:spacing w:after="0" w:line="200" w:lineRule="exact"/>
              <w:rPr>
                <w:sz w:val="20"/>
                <w:szCs w:val="20"/>
                <w:color w:val="auto"/>
              </w:rPr>
            </w:pPr>
            <w:r>
              <w:rPr>
                <w:rFonts w:ascii="Times New Roman" w:cs="Times New Roman" w:eastAsia="Times New Roman" w:hAnsi="Times New Roman"/>
                <w:sz w:val="18"/>
                <w:szCs w:val="18"/>
                <w:color w:val="auto"/>
              </w:rPr>
              <w:t>Exhibit 10.1. to the Company’s Form 8-K Filed on</w:t>
            </w:r>
          </w:p>
        </w:tc>
      </w:tr>
      <w:tr>
        <w:trPr>
          <w:trHeight w:val="196"/>
        </w:trPr>
        <w:tc>
          <w:tcPr>
            <w:tcW w:w="1280" w:type="dxa"/>
            <w:vAlign w:val="bottom"/>
          </w:tcPr>
          <w:p>
            <w:pPr>
              <w:spacing w:after="0"/>
              <w:rPr>
                <w:sz w:val="17"/>
                <w:szCs w:val="17"/>
                <w:color w:val="auto"/>
              </w:rPr>
            </w:pPr>
          </w:p>
        </w:tc>
        <w:tc>
          <w:tcPr>
            <w:tcW w:w="554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October 26, 2017, by and among LSB Industries, Inc., LSB Funding LLC,</w:t>
              </w:r>
            </w:hyperlink>
          </w:p>
        </w:tc>
        <w:tc>
          <w:tcPr>
            <w:tcW w:w="20" w:type="dxa"/>
            <w:vAlign w:val="bottom"/>
            <w:tcBorders>
              <w:bottom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26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October 26, 2017</w:t>
            </w:r>
          </w:p>
        </w:tc>
      </w:tr>
      <w:tr>
        <w:trPr>
          <w:trHeight w:val="196"/>
        </w:trPr>
        <w:tc>
          <w:tcPr>
            <w:tcW w:w="1280" w:type="dxa"/>
            <w:vAlign w:val="bottom"/>
          </w:tcPr>
          <w:p>
            <w:pPr>
              <w:spacing w:after="0"/>
              <w:rPr>
                <w:sz w:val="17"/>
                <w:szCs w:val="17"/>
                <w:color w:val="auto"/>
              </w:rPr>
            </w:pPr>
          </w:p>
        </w:tc>
        <w:tc>
          <w:tcPr>
            <w:tcW w:w="55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Security Benefit Corporation, Todd Boehly, Jack E. Golsen, Barry H.</w:t>
              </w:r>
            </w:hyperlink>
          </w:p>
        </w:tc>
        <w:tc>
          <w:tcPr>
            <w:tcW w:w="40" w:type="dxa"/>
            <w:vAlign w:val="bottom"/>
          </w:tcPr>
          <w:p>
            <w:pPr>
              <w:spacing w:after="0"/>
              <w:rPr>
                <w:sz w:val="17"/>
                <w:szCs w:val="17"/>
                <w:color w:val="auto"/>
              </w:rPr>
            </w:pPr>
          </w:p>
        </w:tc>
        <w:tc>
          <w:tcPr>
            <w:tcW w:w="42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5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Golsen, Linda Golsen Rappaport, Golsen Family LLC, SBL LLC and</w:t>
              </w:r>
            </w:hyperlink>
          </w:p>
        </w:tc>
        <w:tc>
          <w:tcPr>
            <w:tcW w:w="40" w:type="dxa"/>
            <w:vAlign w:val="bottom"/>
          </w:tcPr>
          <w:p>
            <w:pPr>
              <w:spacing w:after="0"/>
              <w:rPr>
                <w:sz w:val="17"/>
                <w:szCs w:val="17"/>
                <w:color w:val="auto"/>
              </w:rPr>
            </w:pPr>
          </w:p>
        </w:tc>
        <w:tc>
          <w:tcPr>
            <w:tcW w:w="42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600" w:type="dxa"/>
            <w:vAlign w:val="bottom"/>
            <w:gridSpan w:val="6"/>
          </w:tcPr>
          <w:p>
            <w:pPr>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Golsen Petroleum Corp., dated as of December 4, 2015</w:t>
              </w:r>
            </w:hyperlink>
          </w:p>
        </w:tc>
        <w:tc>
          <w:tcPr>
            <w:tcW w:w="426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840" w:type="dxa"/>
            <w:vAlign w:val="bottom"/>
            <w:tcBorders>
              <w:right w:val="single" w:sz="8" w:color="0000EE"/>
            </w:tcBorders>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237"/>
        </w:trPr>
        <w:tc>
          <w:tcPr>
            <w:tcW w:w="12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93"/>
              </w:rPr>
              <w:t>10.39</w:t>
            </w:r>
          </w:p>
        </w:tc>
        <w:tc>
          <w:tcPr>
            <w:tcW w:w="556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Amendment to Board Representation and Standstill Agreement, dated as of</w:t>
              </w:r>
            </w:hyperlink>
          </w:p>
        </w:tc>
        <w:tc>
          <w:tcPr>
            <w:tcW w:w="40" w:type="dxa"/>
            <w:vAlign w:val="bottom"/>
          </w:tcPr>
          <w:p>
            <w:pPr>
              <w:spacing w:after="0"/>
              <w:rPr>
                <w:sz w:val="20"/>
                <w:szCs w:val="20"/>
                <w:color w:val="auto"/>
              </w:rPr>
            </w:pPr>
          </w:p>
        </w:tc>
        <w:tc>
          <w:tcPr>
            <w:tcW w:w="4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10.2 to the Company’s Form 8-K filed October</w:t>
            </w:r>
          </w:p>
        </w:tc>
      </w:tr>
      <w:tr>
        <w:trPr>
          <w:trHeight w:val="196"/>
        </w:trPr>
        <w:tc>
          <w:tcPr>
            <w:tcW w:w="1280" w:type="dxa"/>
            <w:vAlign w:val="bottom"/>
          </w:tcPr>
          <w:p>
            <w:pPr>
              <w:spacing w:after="0"/>
              <w:rPr>
                <w:sz w:val="17"/>
                <w:szCs w:val="17"/>
                <w:color w:val="auto"/>
              </w:rPr>
            </w:pPr>
          </w:p>
        </w:tc>
        <w:tc>
          <w:tcPr>
            <w:tcW w:w="554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October 18, 2018, by and among LSB Industries, Inc., LSB Funding LLC,</w:t>
              </w:r>
            </w:hyperlink>
          </w:p>
        </w:tc>
        <w:tc>
          <w:tcPr>
            <w:tcW w:w="60" w:type="dxa"/>
            <w:vAlign w:val="bottom"/>
            <w:gridSpan w:val="2"/>
          </w:tcPr>
          <w:p>
            <w:pPr>
              <w:spacing w:after="0"/>
              <w:rPr>
                <w:sz w:val="17"/>
                <w:szCs w:val="17"/>
                <w:color w:val="auto"/>
              </w:rPr>
            </w:pPr>
          </w:p>
        </w:tc>
        <w:tc>
          <w:tcPr>
            <w:tcW w:w="426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19, 2018</w:t>
            </w:r>
          </w:p>
        </w:tc>
      </w:tr>
      <w:tr>
        <w:trPr>
          <w:trHeight w:val="196"/>
        </w:trPr>
        <w:tc>
          <w:tcPr>
            <w:tcW w:w="1280" w:type="dxa"/>
            <w:vAlign w:val="bottom"/>
          </w:tcPr>
          <w:p>
            <w:pPr>
              <w:spacing w:after="0"/>
              <w:rPr>
                <w:sz w:val="17"/>
                <w:szCs w:val="17"/>
                <w:color w:val="auto"/>
              </w:rPr>
            </w:pPr>
          </w:p>
        </w:tc>
        <w:tc>
          <w:tcPr>
            <w:tcW w:w="5600" w:type="dxa"/>
            <w:vAlign w:val="bottom"/>
            <w:gridSpan w:val="6"/>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Security Benefit Corporation, Todd Boehly and the Golsen Holders (as</w:t>
              </w:r>
            </w:hyperlink>
          </w:p>
        </w:tc>
        <w:tc>
          <w:tcPr>
            <w:tcW w:w="42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520" w:type="dxa"/>
            <w:vAlign w:val="bottom"/>
            <w:tcBorders>
              <w:top w:val="single" w:sz="8" w:color="0000FF"/>
            </w:tcBorders>
            <w:gridSpan w:val="3"/>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defined therein)</w:t>
              </w:r>
            </w:hyperlink>
          </w:p>
        </w:tc>
        <w:tc>
          <w:tcPr>
            <w:tcW w:w="80" w:type="dxa"/>
            <w:vAlign w:val="bottom"/>
            <w:gridSpan w:val="3"/>
          </w:tcPr>
          <w:p>
            <w:pPr>
              <w:spacing w:after="0"/>
              <w:rPr>
                <w:sz w:val="17"/>
                <w:szCs w:val="17"/>
                <w:color w:val="auto"/>
              </w:rPr>
            </w:pPr>
          </w:p>
        </w:tc>
        <w:tc>
          <w:tcPr>
            <w:tcW w:w="426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160" w:type="dxa"/>
            <w:vAlign w:val="bottom"/>
            <w:tcBorders>
              <w:right w:val="single" w:sz="8" w:color="0000EE"/>
            </w:tcBorders>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bl>
    <w:p>
      <w:pPr>
        <w:spacing w:after="0" w:line="36" w:lineRule="exact"/>
        <w:rPr>
          <w:sz w:val="20"/>
          <w:szCs w:val="20"/>
          <w:color w:val="auto"/>
        </w:rPr>
      </w:pPr>
    </w:p>
    <w:p>
      <w:pPr>
        <w:sectPr>
          <w:pgSz w:w="11900" w:h="16838" w:orient="portrait"/>
          <w:cols w:equalWidth="0" w:num="1">
            <w:col w:w="11180"/>
          </w:cols>
          <w:pgMar w:left="380" w:top="1440" w:right="339" w:bottom="144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12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93"/>
              </w:rPr>
              <w:t>10.40</w:t>
            </w:r>
          </w:p>
        </w:tc>
        <w:tc>
          <w:tcPr>
            <w:tcW w:w="554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Amendment and Waiver to Board Representation and Standstill Agreement,</w:t>
              </w:r>
            </w:hyperlink>
          </w:p>
        </w:tc>
      </w:tr>
      <w:tr>
        <w:trPr>
          <w:trHeight w:val="196"/>
        </w:trPr>
        <w:tc>
          <w:tcPr>
            <w:tcW w:w="1280" w:type="dxa"/>
            <w:vAlign w:val="bottom"/>
          </w:tcPr>
          <w:p>
            <w:pPr>
              <w:spacing w:after="0"/>
              <w:rPr>
                <w:sz w:val="17"/>
                <w:szCs w:val="17"/>
                <w:color w:val="auto"/>
              </w:rPr>
            </w:pPr>
          </w:p>
        </w:tc>
        <w:tc>
          <w:tcPr>
            <w:tcW w:w="53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dated as of September 27, 2021, by and among the Company, the Holder</w:t>
              </w:r>
            </w:hyperlink>
          </w:p>
        </w:tc>
        <w:tc>
          <w:tcPr>
            <w:tcW w:w="2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201">
              <w:r>
                <w:rPr>
                  <w:rFonts w:ascii="Times New Roman" w:cs="Times New Roman" w:eastAsia="Times New Roman" w:hAnsi="Times New Roman"/>
                  <w:sz w:val="18"/>
                  <w:szCs w:val="18"/>
                  <w:color w:val="0000FF"/>
                  <w:w w:val="99"/>
                </w:rPr>
                <w:t>and the other parties thereto</w:t>
              </w:r>
            </w:hyperlink>
          </w:p>
        </w:tc>
        <w:tc>
          <w:tcPr>
            <w:tcW w:w="20" w:type="dxa"/>
            <w:vAlign w:val="bottom"/>
            <w:tcBorders>
              <w:bottom w:val="single" w:sz="8" w:color="0000EE"/>
            </w:tcBorders>
          </w:tcPr>
          <w:p>
            <w:pPr>
              <w:spacing w:after="0"/>
              <w:rPr>
                <w:sz w:val="17"/>
                <w:szCs w:val="17"/>
                <w:color w:val="auto"/>
              </w:rPr>
            </w:pPr>
          </w:p>
        </w:tc>
        <w:tc>
          <w:tcPr>
            <w:tcW w:w="3500" w:type="dxa"/>
            <w:vAlign w:val="bottom"/>
            <w:gridSpan w:val="2"/>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ind w:right="40"/>
        <w:spacing w:after="0" w:line="282" w:lineRule="auto"/>
        <w:rPr>
          <w:sz w:val="20"/>
          <w:szCs w:val="20"/>
          <w:color w:val="auto"/>
        </w:rPr>
      </w:pPr>
      <w:r>
        <w:rPr>
          <w:rFonts w:ascii="Times New Roman" w:cs="Times New Roman" w:eastAsia="Times New Roman" w:hAnsi="Times New Roman"/>
          <w:sz w:val="18"/>
          <w:szCs w:val="18"/>
          <w:color w:val="auto"/>
        </w:rPr>
        <w:t>Exhibit 10.1 to the Company’s Form 8-K filed September 27, 2021</w:t>
      </w:r>
    </w:p>
    <w:p>
      <w:pPr>
        <w:spacing w:after="0" w:line="188" w:lineRule="exact"/>
        <w:rPr>
          <w:sz w:val="20"/>
          <w:szCs w:val="20"/>
          <w:color w:val="auto"/>
        </w:rPr>
      </w:pPr>
    </w:p>
    <w:p>
      <w:pPr>
        <w:sectPr>
          <w:pgSz w:w="11900" w:h="16838" w:orient="portrait"/>
          <w:cols w:equalWidth="0" w:num="2">
            <w:col w:w="6860" w:space="100"/>
            <w:col w:w="4220"/>
          </w:cols>
          <w:pgMar w:left="380" w:top="1440" w:right="339" w:bottom="144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12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93"/>
              </w:rPr>
              <w:t>10.41</w:t>
            </w:r>
          </w:p>
        </w:tc>
        <w:tc>
          <w:tcPr>
            <w:tcW w:w="54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Securities Exchange Agreement, dated July 19, 2021, by and between LSB</w:t>
              </w:r>
            </w:hyperlink>
          </w:p>
        </w:tc>
        <w:tc>
          <w:tcPr>
            <w:tcW w:w="8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540" w:type="dxa"/>
            <w:vAlign w:val="bottom"/>
            <w:gridSpan w:val="12"/>
          </w:tcPr>
          <w:p>
            <w:pPr>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Industries, Inc. and LSB Funding LLC</w:t>
              </w:r>
            </w:hyperlink>
          </w:p>
        </w:tc>
      </w:tr>
      <w:tr>
        <w:trPr>
          <w:trHeight w:val="20"/>
        </w:trPr>
        <w:tc>
          <w:tcPr>
            <w:tcW w:w="128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36"/>
        </w:trPr>
        <w:tc>
          <w:tcPr>
            <w:tcW w:w="12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93"/>
              </w:rPr>
              <w:t>10.42</w:t>
            </w:r>
          </w:p>
        </w:tc>
        <w:tc>
          <w:tcPr>
            <w:tcW w:w="506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Written Consent of LSB Funding LLC approving of the incurrence of</w:t>
              </w:r>
            </w:hyperlink>
          </w:p>
        </w:tc>
        <w:tc>
          <w:tcPr>
            <w:tcW w:w="480" w:type="dxa"/>
            <w:vAlign w:val="bottom"/>
            <w:gridSpan w:val="6"/>
          </w:tcPr>
          <w:p>
            <w:pPr>
              <w:spacing w:after="0"/>
              <w:rPr>
                <w:sz w:val="20"/>
                <w:szCs w:val="20"/>
                <w:color w:val="auto"/>
              </w:rPr>
            </w:pPr>
          </w:p>
        </w:tc>
      </w:tr>
      <w:tr>
        <w:trPr>
          <w:trHeight w:val="196"/>
        </w:trPr>
        <w:tc>
          <w:tcPr>
            <w:tcW w:w="1280" w:type="dxa"/>
            <w:vAlign w:val="bottom"/>
          </w:tcPr>
          <w:p>
            <w:pPr>
              <w:spacing w:after="0"/>
              <w:rPr>
                <w:sz w:val="17"/>
                <w:szCs w:val="17"/>
                <w:color w:val="auto"/>
              </w:rPr>
            </w:pPr>
          </w:p>
        </w:tc>
        <w:tc>
          <w:tcPr>
            <w:tcW w:w="490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indebtedness by LSB Industries, Inc., dated September 22, 2021, as</w:t>
              </w:r>
            </w:hyperlink>
          </w:p>
        </w:tc>
        <w:tc>
          <w:tcPr>
            <w:tcW w:w="640" w:type="dxa"/>
            <w:vAlign w:val="bottom"/>
            <w:gridSpan w:val="8"/>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54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amended September 28, 2021, provided pursuant to the Securities Exchange</w:t>
              </w:r>
            </w:hyperlink>
          </w:p>
        </w:tc>
      </w:tr>
      <w:tr>
        <w:trPr>
          <w:trHeight w:val="196"/>
        </w:trPr>
        <w:tc>
          <w:tcPr>
            <w:tcW w:w="1280" w:type="dxa"/>
            <w:vAlign w:val="bottom"/>
          </w:tcPr>
          <w:p>
            <w:pPr>
              <w:spacing w:after="0"/>
              <w:rPr>
                <w:sz w:val="17"/>
                <w:szCs w:val="17"/>
                <w:color w:val="auto"/>
              </w:rPr>
            </w:pPr>
          </w:p>
        </w:tc>
        <w:tc>
          <w:tcPr>
            <w:tcW w:w="52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Agreement, dated as of July 19, 2021, between LSB Industries, Inc. and</w:t>
              </w:r>
            </w:hyperlink>
          </w:p>
        </w:tc>
        <w:tc>
          <w:tcPr>
            <w:tcW w:w="320" w:type="dxa"/>
            <w:vAlign w:val="bottom"/>
            <w:gridSpan w:val="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540" w:type="dxa"/>
            <w:vAlign w:val="bottom"/>
            <w:gridSpan w:val="12"/>
          </w:tcPr>
          <w:p>
            <w:pPr>
              <w:spacing w:after="0" w:line="19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LSB Funding LLC</w:t>
              </w:r>
            </w:hyperlink>
          </w:p>
        </w:tc>
      </w:tr>
      <w:tr>
        <w:trPr>
          <w:trHeight w:val="20"/>
        </w:trPr>
        <w:tc>
          <w:tcPr>
            <w:tcW w:w="1280" w:type="dxa"/>
            <w:vAlign w:val="bottom"/>
          </w:tcPr>
          <w:p>
            <w:pPr>
              <w:spacing w:after="0" w:line="20" w:lineRule="exact"/>
              <w:rPr>
                <w:sz w:val="1"/>
                <w:szCs w:val="1"/>
                <w:color w:val="auto"/>
              </w:rPr>
            </w:pPr>
          </w:p>
        </w:tc>
        <w:tc>
          <w:tcPr>
            <w:tcW w:w="1380" w:type="dxa"/>
            <w:vAlign w:val="bottom"/>
            <w:tcBorders>
              <w:right w:val="single" w:sz="8" w:color="0000EE"/>
            </w:tcBorders>
            <w:shd w:val="clear" w:color="auto" w:fill="0000FF"/>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37"/>
        </w:trPr>
        <w:tc>
          <w:tcPr>
            <w:tcW w:w="12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93"/>
              </w:rPr>
              <w:t>10.43</w:t>
            </w:r>
          </w:p>
        </w:tc>
        <w:tc>
          <w:tcPr>
            <w:tcW w:w="506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Written Consent of LSB Funding LLC approving of the incurrence of</w:t>
              </w:r>
            </w:hyperlink>
          </w:p>
        </w:tc>
        <w:tc>
          <w:tcPr>
            <w:tcW w:w="480" w:type="dxa"/>
            <w:vAlign w:val="bottom"/>
            <w:gridSpan w:val="6"/>
          </w:tcPr>
          <w:p>
            <w:pPr>
              <w:spacing w:after="0"/>
              <w:rPr>
                <w:sz w:val="20"/>
                <w:szCs w:val="20"/>
                <w:color w:val="auto"/>
              </w:rPr>
            </w:pPr>
          </w:p>
        </w:tc>
      </w:tr>
      <w:tr>
        <w:trPr>
          <w:trHeight w:val="196"/>
        </w:trPr>
        <w:tc>
          <w:tcPr>
            <w:tcW w:w="1280" w:type="dxa"/>
            <w:vAlign w:val="bottom"/>
          </w:tcPr>
          <w:p>
            <w:pPr>
              <w:spacing w:after="0"/>
              <w:rPr>
                <w:sz w:val="17"/>
                <w:szCs w:val="17"/>
                <w:color w:val="auto"/>
              </w:rPr>
            </w:pPr>
          </w:p>
        </w:tc>
        <w:tc>
          <w:tcPr>
            <w:tcW w:w="500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indebtedness by LSB Industries, Inc., dated March 2, 2022, provided</w:t>
              </w:r>
            </w:hyperlink>
          </w:p>
        </w:tc>
        <w:tc>
          <w:tcPr>
            <w:tcW w:w="540" w:type="dxa"/>
            <w:vAlign w:val="bottom"/>
            <w:gridSpan w:val="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4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pursuant to the Securities Exchange Agreement, dated as of July 19, 2021,</w:t>
              </w:r>
            </w:hyperlink>
          </w:p>
        </w:tc>
        <w:tc>
          <w:tcPr>
            <w:tcW w:w="14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540" w:type="dxa"/>
            <w:vAlign w:val="bottom"/>
            <w:gridSpan w:val="12"/>
          </w:tcPr>
          <w:p>
            <w:pPr>
              <w:spacing w:after="0" w:line="19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between LSB Industries, Inc. and LSB Funding LLC</w:t>
              </w:r>
            </w:hyperlink>
          </w:p>
        </w:tc>
      </w:tr>
      <w:tr>
        <w:trPr>
          <w:trHeight w:val="20"/>
        </w:trPr>
        <w:tc>
          <w:tcPr>
            <w:tcW w:w="128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36"/>
        </w:trPr>
        <w:tc>
          <w:tcPr>
            <w:tcW w:w="12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93"/>
              </w:rPr>
              <w:t>10.44</w:t>
            </w:r>
          </w:p>
        </w:tc>
        <w:tc>
          <w:tcPr>
            <w:tcW w:w="532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Board Representation Letter Agreement, dated as of August 10, 2022, by</w:t>
              </w:r>
            </w:hyperlink>
          </w:p>
        </w:tc>
        <w:tc>
          <w:tcPr>
            <w:tcW w:w="220" w:type="dxa"/>
            <w:vAlign w:val="bottom"/>
            <w:gridSpan w:val="4"/>
          </w:tcPr>
          <w:p>
            <w:pPr>
              <w:spacing w:after="0"/>
              <w:rPr>
                <w:sz w:val="20"/>
                <w:szCs w:val="20"/>
                <w:color w:val="auto"/>
              </w:rPr>
            </w:pPr>
          </w:p>
        </w:tc>
      </w:tr>
      <w:tr>
        <w:trPr>
          <w:trHeight w:val="196"/>
        </w:trPr>
        <w:tc>
          <w:tcPr>
            <w:tcW w:w="1280" w:type="dxa"/>
            <w:vAlign w:val="bottom"/>
          </w:tcPr>
          <w:p>
            <w:pPr>
              <w:spacing w:after="0"/>
              <w:rPr>
                <w:sz w:val="17"/>
                <w:szCs w:val="17"/>
                <w:color w:val="auto"/>
              </w:rPr>
            </w:pPr>
          </w:p>
        </w:tc>
        <w:tc>
          <w:tcPr>
            <w:tcW w:w="538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and among the Company, LSB Funding LLC, SBT Investors LLC and the</w:t>
              </w:r>
            </w:hyperlink>
          </w:p>
        </w:tc>
        <w:tc>
          <w:tcPr>
            <w:tcW w:w="160" w:type="dxa"/>
            <w:vAlign w:val="bottom"/>
            <w:gridSpan w:val="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540" w:type="dxa"/>
            <w:vAlign w:val="bottom"/>
            <w:gridSpan w:val="12"/>
          </w:tcPr>
          <w:p>
            <w:pPr>
              <w:spacing w:after="0" w:line="19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other parties thereto</w:t>
              </w:r>
            </w:hyperlink>
          </w:p>
        </w:tc>
      </w:tr>
      <w:tr>
        <w:trPr>
          <w:trHeight w:val="20"/>
        </w:trPr>
        <w:tc>
          <w:tcPr>
            <w:tcW w:w="128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left w:val="single" w:sz="8" w:color="0000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895985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40"/>
        <w:spacing w:after="0" w:line="273" w:lineRule="auto"/>
        <w:rPr>
          <w:sz w:val="20"/>
          <w:szCs w:val="20"/>
          <w:color w:val="auto"/>
        </w:rPr>
      </w:pPr>
      <w:r>
        <w:rPr>
          <w:rFonts w:ascii="Times New Roman" w:cs="Times New Roman" w:eastAsia="Times New Roman" w:hAnsi="Times New Roman"/>
          <w:sz w:val="18"/>
          <w:szCs w:val="18"/>
          <w:color w:val="auto"/>
        </w:rPr>
        <w:t>Exhibit 10.1 to the Company’s Form 8-K filed July 19, 2021</w:t>
      </w:r>
    </w:p>
    <w:p>
      <w:pPr>
        <w:spacing w:after="0" w:line="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Exhibit 10.45 to the Company’s Form 10-K filed February 23, 2023</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Exhibit 10.47 to the Company’s Form 10-K filed February 23, 2023</w:t>
      </w:r>
    </w:p>
    <w:p>
      <w:pPr>
        <w:spacing w:after="0" w:line="200" w:lineRule="exact"/>
        <w:rPr>
          <w:sz w:val="20"/>
          <w:szCs w:val="20"/>
          <w:color w:val="auto"/>
        </w:rPr>
      </w:pPr>
    </w:p>
    <w:p>
      <w:pPr>
        <w:spacing w:after="0" w:line="21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Exhibit 10.1 to the Company’s Form 8-K filed on August 15, 2022</w:t>
      </w:r>
    </w:p>
    <w:p>
      <w:pPr>
        <w:sectPr>
          <w:pgSz w:w="11900" w:h="16838" w:orient="portrait"/>
          <w:cols w:equalWidth="0" w:num="2">
            <w:col w:w="6860" w:space="100"/>
            <w:col w:w="4220"/>
          </w:cols>
          <w:pgMar w:left="380" w:top="1440" w:right="339" w:bottom="1440" w:gutter="0" w:footer="0" w:header="0"/>
          <w:type w:val="continuous"/>
        </w:sectPr>
      </w:pPr>
    </w:p>
    <w:bookmarkStart w:id="48" w:name="page49"/>
    <w:bookmarkEnd w:id="48"/>
    <w:p>
      <w:pPr>
        <w:ind w:left="60"/>
        <w:spacing w:after="0"/>
        <w:tabs>
          <w:tab w:leader="none" w:pos="3740" w:val="left"/>
          <w:tab w:leader="none" w:pos="7780" w:val="left"/>
        </w:tabs>
        <w:rPr>
          <w:sz w:val="20"/>
          <w:szCs w:val="20"/>
          <w:color w:val="auto"/>
        </w:rPr>
      </w:pPr>
      <w:r>
        <w:rPr>
          <w:rFonts w:ascii="Times New Roman" w:cs="Times New Roman" w:eastAsia="Times New Roman" w:hAnsi="Times New Roman"/>
          <w:sz w:val="28"/>
          <w:szCs w:val="28"/>
          <w:b w:val="1"/>
          <w:bCs w:val="1"/>
          <w:color w:val="auto"/>
          <w:vertAlign w:val="superscript"/>
        </w:rPr>
        <w:t>Exhibit Number</w:t>
      </w:r>
      <w:r>
        <w:rPr>
          <w:sz w:val="20"/>
          <w:szCs w:val="20"/>
          <w:color w:val="auto"/>
        </w:rPr>
        <w:tab/>
      </w:r>
      <w:r>
        <w:rPr>
          <w:rFonts w:ascii="Times New Roman" w:cs="Times New Roman" w:eastAsia="Times New Roman" w:hAnsi="Times New Roman"/>
          <w:sz w:val="14"/>
          <w:szCs w:val="14"/>
          <w:b w:val="1"/>
          <w:bCs w:val="1"/>
          <w:color w:val="auto"/>
        </w:rPr>
        <w:t>Exhibit Title</w:t>
      </w:r>
      <w:r>
        <w:rPr>
          <w:sz w:val="20"/>
          <w:szCs w:val="20"/>
          <w:color w:val="auto"/>
        </w:rPr>
        <w:tab/>
      </w:r>
      <w:r>
        <w:rPr>
          <w:rFonts w:ascii="Times New Roman" w:cs="Times New Roman" w:eastAsia="Times New Roman" w:hAnsi="Times New Roman"/>
          <w:sz w:val="14"/>
          <w:szCs w:val="14"/>
          <w:b w:val="1"/>
          <w:bCs w:val="1"/>
          <w:color w:val="auto"/>
        </w:rPr>
        <w:t>Incorporated by Reference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1426" w:right="419" w:bottom="1440" w:gutter="0" w:footer="0" w:header="0"/>
        </w:sectPr>
      </w:pPr>
    </w:p>
    <w:tbl>
      <w:tblPr>
        <w:tblLayout w:type="fixed"/>
        <w:tblInd w:w="100" w:type="dxa"/>
        <w:tblCellMar>
          <w:top w:w="0" w:type="dxa"/>
          <w:left w:w="0" w:type="dxa"/>
          <w:bottom w:w="0" w:type="dxa"/>
          <w:right w:w="0" w:type="dxa"/>
        </w:tblCellMar>
      </w:tblPr>
      <w:tr>
        <w:trPr>
          <w:trHeight w:val="174"/>
        </w:trPr>
        <w:tc>
          <w:tcPr>
            <w:tcW w:w="128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10.45</w:t>
            </w:r>
          </w:p>
        </w:tc>
        <w:tc>
          <w:tcPr>
            <w:tcW w:w="5540" w:type="dxa"/>
            <w:vAlign w:val="bottom"/>
            <w:tcBorders>
              <w:bottom w:val="single" w:sz="8" w:color="0000FF"/>
            </w:tcBorders>
            <w:gridSpan w:val="10"/>
          </w:tcPr>
          <w:p>
            <w:pPr>
              <w:spacing w:after="0" w:line="174" w:lineRule="exact"/>
              <w:rPr>
                <w:rFonts w:ascii="Times New Roman" w:cs="Times New Roman" w:eastAsia="Times New Roman" w:hAnsi="Times New Roman"/>
                <w:sz w:val="18"/>
                <w:szCs w:val="18"/>
                <w:color w:val="0000FF"/>
                <w:w w:val="99"/>
              </w:rPr>
            </w:pPr>
            <w:hyperlink r:id="rId208">
              <w:r>
                <w:rPr>
                  <w:rFonts w:ascii="Times New Roman" w:cs="Times New Roman" w:eastAsia="Times New Roman" w:hAnsi="Times New Roman"/>
                  <w:sz w:val="18"/>
                  <w:szCs w:val="18"/>
                  <w:color w:val="0000FF"/>
                  <w:w w:val="99"/>
                </w:rPr>
                <w:t>Joinder Agreement to Board Representation and Standstill Agreement, dated</w:t>
              </w:r>
            </w:hyperlink>
          </w:p>
        </w:tc>
      </w:tr>
      <w:tr>
        <w:trPr>
          <w:trHeight w:val="196"/>
        </w:trPr>
        <w:tc>
          <w:tcPr>
            <w:tcW w:w="1280" w:type="dxa"/>
            <w:vAlign w:val="bottom"/>
          </w:tcPr>
          <w:p>
            <w:pPr>
              <w:spacing w:after="0"/>
              <w:rPr>
                <w:sz w:val="17"/>
                <w:szCs w:val="17"/>
                <w:color w:val="auto"/>
              </w:rPr>
            </w:pPr>
          </w:p>
        </w:tc>
        <w:tc>
          <w:tcPr>
            <w:tcW w:w="534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November 14, 2023, by and between LSB Industries, Inc. and TLB-LSB,</w:t>
              </w:r>
            </w:hyperlink>
          </w:p>
        </w:tc>
        <w:tc>
          <w:tcPr>
            <w:tcW w:w="20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540" w:type="dxa"/>
            <w:vAlign w:val="bottom"/>
            <w:gridSpan w:val="10"/>
          </w:tcPr>
          <w:p>
            <w:pPr>
              <w:spacing w:after="0" w:line="19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LLC</w:t>
              </w:r>
            </w:hyperlink>
          </w:p>
        </w:tc>
      </w:tr>
      <w:tr>
        <w:trPr>
          <w:trHeight w:val="20"/>
        </w:trPr>
        <w:tc>
          <w:tcPr>
            <w:tcW w:w="12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3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10.46</w:t>
            </w:r>
          </w:p>
        </w:tc>
        <w:tc>
          <w:tcPr>
            <w:tcW w:w="532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Rights Letter Agreement, dated as of August 10, 2022, by and among the</w:t>
              </w:r>
            </w:hyperlink>
          </w:p>
        </w:tc>
        <w:tc>
          <w:tcPr>
            <w:tcW w:w="220" w:type="dxa"/>
            <w:vAlign w:val="bottom"/>
            <w:gridSpan w:val="2"/>
          </w:tcPr>
          <w:p>
            <w:pPr>
              <w:spacing w:after="0"/>
              <w:rPr>
                <w:sz w:val="20"/>
                <w:szCs w:val="20"/>
                <w:color w:val="auto"/>
              </w:rPr>
            </w:pPr>
          </w:p>
        </w:tc>
      </w:tr>
      <w:tr>
        <w:trPr>
          <w:trHeight w:val="196"/>
        </w:trPr>
        <w:tc>
          <w:tcPr>
            <w:tcW w:w="1280" w:type="dxa"/>
            <w:vAlign w:val="bottom"/>
          </w:tcPr>
          <w:p>
            <w:pPr>
              <w:spacing w:after="0"/>
              <w:rPr>
                <w:sz w:val="17"/>
                <w:szCs w:val="17"/>
                <w:color w:val="auto"/>
              </w:rPr>
            </w:pPr>
          </w:p>
        </w:tc>
        <w:tc>
          <w:tcPr>
            <w:tcW w:w="5540" w:type="dxa"/>
            <w:vAlign w:val="bottom"/>
            <w:gridSpan w:val="10"/>
          </w:tcPr>
          <w:p>
            <w:pPr>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Company, LSB Funding LLC and SBT Investors LLC</w:t>
              </w:r>
            </w:hyperlink>
          </w:p>
        </w:tc>
      </w:tr>
      <w:tr>
        <w:trPr>
          <w:trHeight w:val="20"/>
        </w:trPr>
        <w:tc>
          <w:tcPr>
            <w:tcW w:w="1280" w:type="dxa"/>
            <w:vAlign w:val="bottom"/>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r>
      <w:tr>
        <w:trPr>
          <w:trHeight w:val="23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10.47</w:t>
            </w:r>
          </w:p>
        </w:tc>
        <w:tc>
          <w:tcPr>
            <w:tcW w:w="55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Rights Letter Agreement, dated as of November 14, 2023, by and among the</w:t>
              </w:r>
            </w:hyperlink>
          </w:p>
        </w:tc>
      </w:tr>
      <w:tr>
        <w:trPr>
          <w:trHeight w:val="196"/>
        </w:trPr>
        <w:tc>
          <w:tcPr>
            <w:tcW w:w="1280" w:type="dxa"/>
            <w:vAlign w:val="bottom"/>
          </w:tcPr>
          <w:p>
            <w:pPr>
              <w:spacing w:after="0"/>
              <w:rPr>
                <w:sz w:val="17"/>
                <w:szCs w:val="17"/>
                <w:color w:val="auto"/>
              </w:rPr>
            </w:pPr>
          </w:p>
        </w:tc>
        <w:tc>
          <w:tcPr>
            <w:tcW w:w="518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10">
              <w:r>
                <w:rPr>
                  <w:rFonts w:ascii="Times New Roman" w:cs="Times New Roman" w:eastAsia="Times New Roman" w:hAnsi="Times New Roman"/>
                  <w:sz w:val="18"/>
                  <w:szCs w:val="18"/>
                  <w:color w:val="0000FF"/>
                  <w:w w:val="99"/>
                </w:rPr>
                <w:t>Company, LSB Funding LLC, SBT Investors LLC and TLB-LSB, LLC</w:t>
              </w:r>
            </w:hyperlink>
          </w:p>
        </w:tc>
        <w:tc>
          <w:tcPr>
            <w:tcW w:w="360" w:type="dxa"/>
            <w:vAlign w:val="bottom"/>
            <w:gridSpan w:val="3"/>
          </w:tcPr>
          <w:p>
            <w:pPr>
              <w:spacing w:after="0"/>
              <w:rPr>
                <w:sz w:val="17"/>
                <w:szCs w:val="17"/>
                <w:color w:val="auto"/>
              </w:rPr>
            </w:pPr>
          </w:p>
        </w:tc>
      </w:tr>
      <w:tr>
        <w:trPr>
          <w:trHeight w:val="45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19.1(a)</w:t>
            </w:r>
          </w:p>
        </w:tc>
        <w:tc>
          <w:tcPr>
            <w:tcW w:w="31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LSB Industries, Inc. Insider Trading Policy</w:t>
            </w:r>
          </w:p>
        </w:tc>
        <w:tc>
          <w:tcPr>
            <w:tcW w:w="2420" w:type="dxa"/>
            <w:vAlign w:val="bottom"/>
            <w:gridSpan w:val="6"/>
          </w:tcPr>
          <w:p>
            <w:pPr>
              <w:spacing w:after="0"/>
              <w:rPr>
                <w:sz w:val="24"/>
                <w:szCs w:val="24"/>
                <w:color w:val="auto"/>
              </w:rPr>
            </w:pPr>
          </w:p>
        </w:tc>
      </w:tr>
      <w:tr>
        <w:trPr>
          <w:trHeight w:val="23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21.1(a)</w:t>
            </w:r>
          </w:p>
        </w:tc>
        <w:tc>
          <w:tcPr>
            <w:tcW w:w="55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Subsidiaries of the Company</w:t>
            </w:r>
          </w:p>
        </w:tc>
      </w:tr>
      <w:tr>
        <w:trPr>
          <w:trHeight w:val="20"/>
        </w:trPr>
        <w:tc>
          <w:tcPr>
            <w:tcW w:w="1280" w:type="dxa"/>
            <w:vAlign w:val="bottom"/>
          </w:tcPr>
          <w:p>
            <w:pPr>
              <w:spacing w:after="0" w:line="20" w:lineRule="exact"/>
              <w:rPr>
                <w:sz w:val="1"/>
                <w:szCs w:val="1"/>
                <w:color w:val="auto"/>
              </w:rPr>
            </w:pPr>
          </w:p>
        </w:tc>
        <w:tc>
          <w:tcPr>
            <w:tcW w:w="2100" w:type="dxa"/>
            <w:vAlign w:val="bottom"/>
            <w:tcBorders>
              <w:right w:val="single" w:sz="8" w:color="0000EE"/>
            </w:tcBorders>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r>
      <w:tr>
        <w:trPr>
          <w:trHeight w:val="23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23.1(a)</w:t>
            </w:r>
          </w:p>
        </w:tc>
        <w:tc>
          <w:tcPr>
            <w:tcW w:w="55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20"/>
        </w:trPr>
        <w:tc>
          <w:tcPr>
            <w:tcW w:w="1280" w:type="dxa"/>
            <w:vAlign w:val="bottom"/>
          </w:tcPr>
          <w:p>
            <w:pPr>
              <w:spacing w:after="0" w:line="20" w:lineRule="exact"/>
              <w:rPr>
                <w:sz w:val="1"/>
                <w:szCs w:val="1"/>
                <w:color w:val="auto"/>
              </w:rPr>
            </w:pPr>
          </w:p>
        </w:tc>
        <w:tc>
          <w:tcPr>
            <w:tcW w:w="3020" w:type="dxa"/>
            <w:vAlign w:val="bottom"/>
            <w:tcBorders>
              <w:right w:val="single" w:sz="8" w:color="0000FF"/>
            </w:tcBorders>
            <w:gridSpan w:val="3"/>
            <w:shd w:val="clear" w:color="auto" w:fill="0000FF"/>
          </w:tcPr>
          <w:p>
            <w:pPr>
              <w:spacing w:after="0" w:line="20" w:lineRule="exact"/>
              <w:rPr>
                <w:sz w:val="1"/>
                <w:szCs w:val="1"/>
                <w:color w:val="auto"/>
              </w:rPr>
            </w:pPr>
          </w:p>
        </w:tc>
        <w:tc>
          <w:tcPr>
            <w:tcW w:w="1320" w:type="dxa"/>
            <w:vAlign w:val="bottom"/>
            <w:tcBorders>
              <w:right w:val="single" w:sz="8" w:color="0000EE"/>
            </w:tcBorders>
            <w:gridSpan w:val="3"/>
            <w:shd w:val="clear" w:color="auto" w:fill="0000FF"/>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r>
      <w:tr>
        <w:trPr>
          <w:trHeight w:val="23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31.1(a)</w:t>
            </w:r>
          </w:p>
        </w:tc>
        <w:tc>
          <w:tcPr>
            <w:tcW w:w="55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Mark T. Behrman, Chief Executive Officer, pursuant to</w:t>
            </w:r>
          </w:p>
        </w:tc>
      </w:tr>
      <w:tr>
        <w:trPr>
          <w:trHeight w:val="196"/>
        </w:trPr>
        <w:tc>
          <w:tcPr>
            <w:tcW w:w="1280" w:type="dxa"/>
            <w:vAlign w:val="bottom"/>
          </w:tcPr>
          <w:p>
            <w:pPr>
              <w:spacing w:after="0"/>
              <w:rPr>
                <w:sz w:val="17"/>
                <w:szCs w:val="17"/>
                <w:color w:val="auto"/>
              </w:rPr>
            </w:pPr>
          </w:p>
        </w:tc>
        <w:tc>
          <w:tcPr>
            <w:tcW w:w="55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 Section 302</w:t>
            </w:r>
          </w:p>
        </w:tc>
      </w:tr>
      <w:tr>
        <w:trPr>
          <w:trHeight w:val="20"/>
        </w:trPr>
        <w:tc>
          <w:tcPr>
            <w:tcW w:w="12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right="380"/>
        <w:spacing w:after="0" w:line="258" w:lineRule="auto"/>
        <w:rPr>
          <w:sz w:val="20"/>
          <w:szCs w:val="20"/>
          <w:color w:val="auto"/>
        </w:rPr>
      </w:pPr>
      <w:r>
        <w:rPr>
          <w:rFonts w:ascii="Times New Roman" w:cs="Times New Roman" w:eastAsia="Times New Roman" w:hAnsi="Times New Roman"/>
          <w:sz w:val="18"/>
          <w:szCs w:val="18"/>
          <w:color w:val="auto"/>
        </w:rPr>
        <w:t>Exhibit 10.42 to the Company’s Form 10-K filed on March 6, 2024</w:t>
      </w:r>
    </w:p>
    <w:p>
      <w:pPr>
        <w:spacing w:after="0" w:line="22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Exhibit 10.2 to the Company’s Form 8-K filed on August 15, 2022</w:t>
      </w:r>
    </w:p>
    <w:p>
      <w:pPr>
        <w:spacing w:after="0" w:line="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Exhibit 10.40 to the Company’s Form 10-K filed on February 27, 2025</w:t>
      </w:r>
    </w:p>
    <w:p>
      <w:pPr>
        <w:spacing w:after="0" w:line="1430" w:lineRule="exact"/>
        <w:rPr>
          <w:sz w:val="20"/>
          <w:szCs w:val="20"/>
          <w:color w:val="auto"/>
        </w:rPr>
      </w:pPr>
    </w:p>
    <w:p>
      <w:pPr>
        <w:sectPr>
          <w:pgSz w:w="11900" w:h="16838" w:orient="portrait"/>
          <w:cols w:equalWidth="0" w:num="2">
            <w:col w:w="6920" w:space="100"/>
            <w:col w:w="4140"/>
          </w:cols>
          <w:pgMar w:left="320" w:top="1426" w:right="4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31.2(a)</w:t>
            </w:r>
          </w:p>
        </w:tc>
        <w:tc>
          <w:tcPr>
            <w:tcW w:w="55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Cheryl A. Maguire, Chief Financial Officer, pursuant to</w:t>
            </w:r>
          </w:p>
        </w:tc>
        <w:tc>
          <w:tcPr>
            <w:tcW w:w="60" w:type="dxa"/>
            <w:vAlign w:val="bottom"/>
          </w:tcPr>
          <w:p>
            <w:pPr>
              <w:spacing w:after="0"/>
              <w:rPr>
                <w:sz w:val="17"/>
                <w:szCs w:val="17"/>
                <w:color w:val="auto"/>
              </w:rPr>
            </w:pPr>
          </w:p>
        </w:tc>
        <w:tc>
          <w:tcPr>
            <w:tcW w:w="418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56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 Section 302</w:t>
            </w:r>
          </w:p>
        </w:tc>
        <w:tc>
          <w:tcPr>
            <w:tcW w:w="418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302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236"/>
        </w:trPr>
        <w:tc>
          <w:tcPr>
            <w:tcW w:w="1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32.1(a)(b)</w:t>
            </w:r>
          </w:p>
        </w:tc>
        <w:tc>
          <w:tcPr>
            <w:tcW w:w="55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Mark T. Behrman, Chief Executive Officer, furnished</w:t>
            </w:r>
          </w:p>
        </w:tc>
        <w:tc>
          <w:tcPr>
            <w:tcW w:w="6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196"/>
        </w:trPr>
        <w:tc>
          <w:tcPr>
            <w:tcW w:w="1380" w:type="dxa"/>
            <w:vAlign w:val="bottom"/>
          </w:tcPr>
          <w:p>
            <w:pPr>
              <w:spacing w:after="0"/>
              <w:rPr>
                <w:sz w:val="17"/>
                <w:szCs w:val="17"/>
                <w:color w:val="auto"/>
              </w:rPr>
            </w:pPr>
          </w:p>
        </w:tc>
        <w:tc>
          <w:tcPr>
            <w:tcW w:w="38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Sarbanes-Oxley Act of 2002, Section 906</w:t>
            </w:r>
          </w:p>
        </w:tc>
        <w:tc>
          <w:tcPr>
            <w:tcW w:w="20" w:type="dxa"/>
            <w:vAlign w:val="bottom"/>
            <w:tcBorders>
              <w:bottom w:val="single" w:sz="8" w:color="0000EE"/>
            </w:tcBorders>
          </w:tcPr>
          <w:p>
            <w:pPr>
              <w:spacing w:after="0"/>
              <w:rPr>
                <w:sz w:val="17"/>
                <w:szCs w:val="17"/>
                <w:color w:val="auto"/>
              </w:rPr>
            </w:pPr>
          </w:p>
        </w:tc>
        <w:tc>
          <w:tcPr>
            <w:tcW w:w="1720" w:type="dxa"/>
            <w:vAlign w:val="bottom"/>
            <w:gridSpan w:val="3"/>
          </w:tcPr>
          <w:p>
            <w:pPr>
              <w:spacing w:after="0"/>
              <w:rPr>
                <w:sz w:val="17"/>
                <w:szCs w:val="17"/>
                <w:color w:val="auto"/>
              </w:rPr>
            </w:pPr>
          </w:p>
        </w:tc>
        <w:tc>
          <w:tcPr>
            <w:tcW w:w="4180" w:type="dxa"/>
            <w:vAlign w:val="bottom"/>
          </w:tcPr>
          <w:p>
            <w:pPr>
              <w:spacing w:after="0"/>
              <w:rPr>
                <w:sz w:val="17"/>
                <w:szCs w:val="17"/>
                <w:color w:val="auto"/>
              </w:rPr>
            </w:pPr>
          </w:p>
        </w:tc>
      </w:tr>
      <w:tr>
        <w:trPr>
          <w:trHeight w:val="236"/>
        </w:trPr>
        <w:tc>
          <w:tcPr>
            <w:tcW w:w="1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32.2(a)(b)</w:t>
            </w:r>
          </w:p>
        </w:tc>
        <w:tc>
          <w:tcPr>
            <w:tcW w:w="5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Cheryl A. Maguire, Chief Financial Officer, furnished</w:t>
            </w:r>
          </w:p>
        </w:tc>
        <w:tc>
          <w:tcPr>
            <w:tcW w:w="4180" w:type="dxa"/>
            <w:vAlign w:val="bottom"/>
          </w:tcPr>
          <w:p>
            <w:pPr>
              <w:spacing w:after="0"/>
              <w:rPr>
                <w:sz w:val="20"/>
                <w:szCs w:val="20"/>
                <w:color w:val="auto"/>
              </w:rPr>
            </w:pPr>
          </w:p>
        </w:tc>
      </w:tr>
      <w:tr>
        <w:trPr>
          <w:trHeight w:val="196"/>
        </w:trPr>
        <w:tc>
          <w:tcPr>
            <w:tcW w:w="1380" w:type="dxa"/>
            <w:vAlign w:val="bottom"/>
          </w:tcPr>
          <w:p>
            <w:pPr>
              <w:spacing w:after="0"/>
              <w:rPr>
                <w:sz w:val="17"/>
                <w:szCs w:val="17"/>
                <w:color w:val="auto"/>
              </w:rPr>
            </w:pPr>
          </w:p>
        </w:tc>
        <w:tc>
          <w:tcPr>
            <w:tcW w:w="386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Sarbanes-Oxley Act of 2002, Section 906</w:t>
            </w:r>
          </w:p>
        </w:tc>
        <w:tc>
          <w:tcPr>
            <w:tcW w:w="1660" w:type="dxa"/>
            <w:vAlign w:val="bottom"/>
            <w:tcBorders>
              <w:top w:val="single" w:sz="8" w:color="0000FF"/>
            </w:tcBorders>
            <w:gridSpan w:val="2"/>
          </w:tcPr>
          <w:p>
            <w:pPr>
              <w:spacing w:after="0"/>
              <w:rPr>
                <w:sz w:val="17"/>
                <w:szCs w:val="17"/>
                <w:color w:val="auto"/>
              </w:rPr>
            </w:pPr>
          </w:p>
        </w:tc>
        <w:tc>
          <w:tcPr>
            <w:tcW w:w="80" w:type="dxa"/>
            <w:vAlign w:val="bottom"/>
            <w:gridSpan w:val="2"/>
          </w:tcPr>
          <w:p>
            <w:pPr>
              <w:spacing w:after="0"/>
              <w:rPr>
                <w:sz w:val="17"/>
                <w:szCs w:val="17"/>
                <w:color w:val="auto"/>
              </w:rPr>
            </w:pPr>
          </w:p>
        </w:tc>
        <w:tc>
          <w:tcPr>
            <w:tcW w:w="4180" w:type="dxa"/>
            <w:vAlign w:val="bottom"/>
          </w:tcPr>
          <w:p>
            <w:pPr>
              <w:spacing w:after="0"/>
              <w:rPr>
                <w:sz w:val="17"/>
                <w:szCs w:val="17"/>
                <w:color w:val="auto"/>
              </w:rPr>
            </w:pPr>
          </w:p>
        </w:tc>
      </w:tr>
      <w:tr>
        <w:trPr>
          <w:trHeight w:val="237"/>
        </w:trPr>
        <w:tc>
          <w:tcPr>
            <w:tcW w:w="1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97.1(a)</w:t>
            </w:r>
          </w:p>
        </w:tc>
        <w:tc>
          <w:tcPr>
            <w:tcW w:w="5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Policy for Recoupment of Incentive Compensation</w:t>
            </w:r>
          </w:p>
        </w:tc>
        <w:tc>
          <w:tcPr>
            <w:tcW w:w="41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Exhibit 97.1 to the Company’s Form 10-K filed March 6,</w:t>
            </w:r>
          </w:p>
        </w:tc>
      </w:tr>
      <w:tr>
        <w:trPr>
          <w:trHeight w:val="237"/>
        </w:trPr>
        <w:tc>
          <w:tcPr>
            <w:tcW w:w="1380" w:type="dxa"/>
            <w:vAlign w:val="bottom"/>
          </w:tcPr>
          <w:p>
            <w:pPr>
              <w:spacing w:after="0"/>
              <w:rPr>
                <w:sz w:val="20"/>
                <w:szCs w:val="20"/>
                <w:color w:val="auto"/>
              </w:rPr>
            </w:pPr>
          </w:p>
        </w:tc>
        <w:tc>
          <w:tcPr>
            <w:tcW w:w="3020" w:type="dxa"/>
            <w:vAlign w:val="bottom"/>
            <w:tcBorders>
              <w:top w:val="single" w:sz="8" w:color="0000FF"/>
            </w:tcBorders>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2024</w:t>
            </w:r>
          </w:p>
        </w:tc>
      </w:tr>
      <w:tr>
        <w:trPr>
          <w:trHeight w:val="25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101.INS(a)</w:t>
            </w:r>
          </w:p>
        </w:tc>
        <w:tc>
          <w:tcPr>
            <w:tcW w:w="5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4180" w:type="dxa"/>
            <w:vAlign w:val="bottom"/>
          </w:tcPr>
          <w:p>
            <w:pPr>
              <w:spacing w:after="0"/>
              <w:rPr>
                <w:sz w:val="22"/>
                <w:szCs w:val="22"/>
                <w:color w:val="auto"/>
              </w:rPr>
            </w:pPr>
          </w:p>
        </w:tc>
      </w:tr>
      <w:tr>
        <w:trPr>
          <w:trHeight w:val="2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101.SCH(a)</w:t>
            </w:r>
          </w:p>
        </w:tc>
        <w:tc>
          <w:tcPr>
            <w:tcW w:w="5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Linkbases</w:t>
            </w:r>
          </w:p>
        </w:tc>
        <w:tc>
          <w:tcPr>
            <w:tcW w:w="4180" w:type="dxa"/>
            <w:vAlign w:val="bottom"/>
          </w:tcPr>
          <w:p>
            <w:pPr>
              <w:spacing w:after="0"/>
              <w:rPr>
                <w:sz w:val="20"/>
                <w:szCs w:val="20"/>
                <w:color w:val="auto"/>
              </w:rPr>
            </w:pPr>
          </w:p>
        </w:tc>
      </w:tr>
      <w:tr>
        <w:trPr>
          <w:trHeight w:val="234"/>
        </w:trPr>
        <w:tc>
          <w:tcPr>
            <w:tcW w:w="1380" w:type="dxa"/>
            <w:vAlign w:val="bottom"/>
          </w:tcPr>
          <w:p>
            <w:pPr>
              <w:spacing w:after="0"/>
              <w:rPr>
                <w:sz w:val="20"/>
                <w:szCs w:val="20"/>
                <w:color w:val="auto"/>
              </w:rPr>
            </w:pPr>
          </w:p>
        </w:tc>
        <w:tc>
          <w:tcPr>
            <w:tcW w:w="5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w:t>
            </w:r>
          </w:p>
        </w:tc>
        <w:tc>
          <w:tcPr>
            <w:tcW w:w="4180" w:type="dxa"/>
            <w:vAlign w:val="bottom"/>
          </w:tcPr>
          <w:p>
            <w:pPr>
              <w:spacing w:after="0"/>
              <w:rPr>
                <w:sz w:val="20"/>
                <w:szCs w:val="20"/>
                <w:color w:val="auto"/>
              </w:rPr>
            </w:pPr>
          </w:p>
        </w:tc>
      </w:tr>
      <w:tr>
        <w:trPr>
          <w:trHeight w:val="2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104(a)</w:t>
            </w:r>
          </w:p>
        </w:tc>
        <w:tc>
          <w:tcPr>
            <w:tcW w:w="5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w:t>
            </w:r>
          </w:p>
        </w:tc>
        <w:tc>
          <w:tcPr>
            <w:tcW w:w="4180" w:type="dxa"/>
            <w:vAlign w:val="bottom"/>
          </w:tcPr>
          <w:p>
            <w:pPr>
              <w:spacing w:after="0"/>
              <w:rPr>
                <w:sz w:val="20"/>
                <w:szCs w:val="20"/>
                <w:color w:val="auto"/>
              </w:rPr>
            </w:pPr>
          </w:p>
        </w:tc>
      </w:tr>
      <w:tr>
        <w:trPr>
          <w:trHeight w:val="234"/>
        </w:trPr>
        <w:tc>
          <w:tcPr>
            <w:tcW w:w="1380" w:type="dxa"/>
            <w:vAlign w:val="bottom"/>
          </w:tcPr>
          <w:p>
            <w:pPr>
              <w:spacing w:after="0"/>
              <w:rPr>
                <w:sz w:val="20"/>
                <w:szCs w:val="20"/>
                <w:color w:val="auto"/>
              </w:rPr>
            </w:pPr>
          </w:p>
        </w:tc>
        <w:tc>
          <w:tcPr>
            <w:tcW w:w="5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 Exhibit 101)</w:t>
            </w:r>
          </w:p>
        </w:tc>
        <w:tc>
          <w:tcPr>
            <w:tcW w:w="4180" w:type="dxa"/>
            <w:vAlign w:val="bottom"/>
          </w:tcPr>
          <w:p>
            <w:pPr>
              <w:spacing w:after="0"/>
              <w:rPr>
                <w:sz w:val="20"/>
                <w:szCs w:val="20"/>
                <w:color w:val="auto"/>
              </w:rPr>
            </w:pPr>
          </w:p>
        </w:tc>
      </w:tr>
    </w:tbl>
    <w:p>
      <w:pPr>
        <w:spacing w:after="0" w:line="226" w:lineRule="exact"/>
        <w:rPr>
          <w:sz w:val="20"/>
          <w:szCs w:val="20"/>
          <w:color w:val="auto"/>
        </w:rPr>
      </w:pPr>
    </w:p>
    <w:p>
      <w:pPr>
        <w:ind w:left="440" w:hanging="432"/>
        <w:spacing w:after="0"/>
        <w:tabs>
          <w:tab w:leader="none" w:pos="440" w:val="left"/>
        </w:tabs>
        <w:numPr>
          <w:ilvl w:val="1"/>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Management contract or compensatory plan or arrangement.</w:t>
      </w:r>
    </w:p>
    <w:p>
      <w:pPr>
        <w:spacing w:after="0" w:line="5" w:lineRule="exact"/>
        <w:rPr>
          <w:rFonts w:ascii="Times New Roman" w:cs="Times New Roman" w:eastAsia="Times New Roman" w:hAnsi="Times New Roman"/>
          <w:sz w:val="15"/>
          <w:szCs w:val="15"/>
          <w:color w:val="auto"/>
        </w:rPr>
      </w:pPr>
    </w:p>
    <w:p>
      <w:pPr>
        <w:ind w:left="420" w:right="40" w:hanging="509"/>
        <w:spacing w:after="0" w:line="23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*Schedules and exhibits have been omitted pursuant to Item 601(a)(5) of Regulation S-K. LSB Industries, Inc. hereby undertakes to furnish supplementally copies of any of the omitted schedules and exhibits upon request by the SEC.</w:t>
      </w:r>
    </w:p>
    <w:p>
      <w:pPr>
        <w:spacing w:after="0" w:line="72" w:lineRule="exact"/>
        <w:rPr>
          <w:rFonts w:ascii="Times New Roman" w:cs="Times New Roman" w:eastAsia="Times New Roman" w:hAnsi="Times New Roman"/>
          <w:sz w:val="15"/>
          <w:szCs w:val="15"/>
          <w:color w:val="auto"/>
        </w:rPr>
      </w:pPr>
    </w:p>
    <w:p>
      <w:pPr>
        <w:ind w:left="1020" w:hanging="503"/>
        <w:spacing w:after="0"/>
        <w:tabs>
          <w:tab w:leader="none" w:pos="1020" w:val="left"/>
        </w:tabs>
        <w:numPr>
          <w:ilvl w:val="2"/>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Filed herewith.</w:t>
      </w:r>
    </w:p>
    <w:p>
      <w:pPr>
        <w:spacing w:after="0" w:line="97" w:lineRule="exact"/>
        <w:rPr>
          <w:rFonts w:ascii="Times New Roman" w:cs="Times New Roman" w:eastAsia="Times New Roman" w:hAnsi="Times New Roman"/>
          <w:sz w:val="15"/>
          <w:szCs w:val="15"/>
          <w:color w:val="auto"/>
        </w:rPr>
      </w:pPr>
    </w:p>
    <w:p>
      <w:pPr>
        <w:ind w:left="1020" w:right="60" w:hanging="503"/>
        <w:spacing w:after="0" w:line="243" w:lineRule="auto"/>
        <w:tabs>
          <w:tab w:leader="none" w:pos="1020" w:val="left"/>
        </w:tabs>
        <w:numPr>
          <w:ilvl w:val="2"/>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certifications attached as Exhibits 32.1 and 32.2 are not deemed “filed” with the SEC and are not to be incorporated by reference into any filing of LSB Industries, Inc. under the Securities Act or the Exchange Act, whether made before or after the date of this Annual Report on Form 10-K, irrespective of any general incorporation language contained in such filing.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26" w:right="419" w:bottom="1440" w:gutter="0" w:footer="0" w:header="0"/>
          <w:type w:val="continuous"/>
        </w:sectPr>
      </w:pPr>
    </w:p>
    <w:bookmarkStart w:id="49" w:name="page50"/>
    <w:bookmarkEnd w:id="49"/>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LSB INDUSTRIES, INC.</w:t>
            </w:r>
          </w:p>
        </w:tc>
        <w:tc>
          <w:tcPr>
            <w:tcW w:w="4640" w:type="dxa"/>
            <w:vAlign w:val="bottom"/>
          </w:tcPr>
          <w:p>
            <w:pPr>
              <w:spacing w:after="0"/>
              <w:rPr>
                <w:sz w:val="17"/>
                <w:szCs w:val="17"/>
                <w:color w:val="auto"/>
              </w:rPr>
            </w:pPr>
          </w:p>
        </w:tc>
      </w:tr>
      <w:tr>
        <w:trPr>
          <w:trHeight w:val="453"/>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1640" w:type="dxa"/>
            <w:vAlign w:val="bottom"/>
          </w:tcPr>
          <w:p>
            <w:pPr>
              <w:spacing w:after="0"/>
              <w:rPr>
                <w:sz w:val="24"/>
                <w:szCs w:val="24"/>
                <w:color w:val="auto"/>
              </w:rPr>
            </w:pPr>
          </w:p>
        </w:tc>
        <w:tc>
          <w:tcPr>
            <w:tcW w:w="6600" w:type="dxa"/>
            <w:vAlign w:val="bottom"/>
            <w:gridSpan w:val="3"/>
          </w:tcPr>
          <w:p>
            <w:pPr>
              <w:ind w:left="560"/>
              <w:spacing w:after="0"/>
              <w:rPr>
                <w:sz w:val="20"/>
                <w:szCs w:val="20"/>
                <w:color w:val="auto"/>
              </w:rPr>
            </w:pPr>
            <w:r>
              <w:rPr>
                <w:rFonts w:ascii="Times New Roman" w:cs="Times New Roman" w:eastAsia="Times New Roman" w:hAnsi="Times New Roman"/>
                <w:sz w:val="17"/>
                <w:szCs w:val="17"/>
                <w:color w:val="auto"/>
              </w:rPr>
              <w:t>By:  /s/ Mark T. Behrman</w:t>
            </w:r>
          </w:p>
        </w:tc>
      </w:tr>
      <w:tr>
        <w:trPr>
          <w:trHeight w:val="191"/>
        </w:trPr>
        <w:tc>
          <w:tcPr>
            <w:tcW w:w="3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February 26, 2026</w:t>
            </w:r>
          </w:p>
        </w:tc>
        <w:tc>
          <w:tcPr>
            <w:tcW w:w="1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2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Mark T. Behrman, President, Chief Executive Officer and Chairman of the</w:t>
            </w:r>
          </w:p>
        </w:tc>
      </w:tr>
      <w:tr>
        <w:trPr>
          <w:trHeight w:val="234"/>
        </w:trPr>
        <w:tc>
          <w:tcPr>
            <w:tcW w:w="30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of Directors</w:t>
            </w:r>
          </w:p>
        </w:tc>
      </w:tr>
    </w:tbl>
    <w:p>
      <w:pPr>
        <w:spacing w:after="0" w:line="9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ectPr>
          <w:pgSz w:w="11900" w:h="16838" w:orient="portrait"/>
          <w:cols w:equalWidth="0" w:num="1">
            <w:col w:w="11240"/>
          </w:cols>
          <w:pgMar w:left="320" w:top="1440" w:right="339" w:bottom="1440" w:gutter="0" w:footer="0" w:header="0"/>
        </w:sectPr>
      </w:pPr>
    </w:p>
    <w:p>
      <w:pPr>
        <w:spacing w:after="0" w:line="162" w:lineRule="exact"/>
        <w:rPr>
          <w:sz w:val="20"/>
          <w:szCs w:val="20"/>
          <w:color w:val="auto"/>
        </w:rPr>
      </w:pPr>
    </w:p>
    <w:p>
      <w:pPr>
        <w:spacing w:after="0"/>
        <w:tabs>
          <w:tab w:leader="none" w:pos="518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6"/>
          <w:szCs w:val="16"/>
          <w:color w:val="auto"/>
        </w:rPr>
        <w:t>By: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49" w:lineRule="exact"/>
        <w:rPr>
          <w:sz w:val="20"/>
          <w:szCs w:val="20"/>
          <w:color w:val="auto"/>
        </w:rPr>
      </w:pPr>
    </w:p>
    <w:p>
      <w:pPr>
        <w:spacing w:after="0"/>
        <w:tabs>
          <w:tab w:leader="none" w:pos="518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6"/>
          <w:szCs w:val="16"/>
          <w:color w:val="auto"/>
        </w:rPr>
        <w:t>By: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66" w:lineRule="exact"/>
        <w:rPr>
          <w:sz w:val="20"/>
          <w:szCs w:val="20"/>
          <w:color w:val="auto"/>
        </w:rPr>
      </w:pPr>
    </w:p>
    <w:p>
      <w:pPr>
        <w:spacing w:after="0"/>
        <w:tabs>
          <w:tab w:leader="none" w:pos="518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6"/>
          <w:szCs w:val="16"/>
          <w:color w:val="auto"/>
        </w:rPr>
        <w:t>By: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33" w:lineRule="exact"/>
        <w:rPr>
          <w:sz w:val="20"/>
          <w:szCs w:val="20"/>
          <w:color w:val="auto"/>
        </w:rPr>
      </w:pPr>
    </w:p>
    <w:p>
      <w:pPr>
        <w:spacing w:after="0"/>
        <w:tabs>
          <w:tab w:leader="none" w:pos="518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6"/>
          <w:szCs w:val="16"/>
          <w:color w:val="auto"/>
        </w:rPr>
        <w:t>By: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33" w:lineRule="exact"/>
        <w:rPr>
          <w:sz w:val="20"/>
          <w:szCs w:val="20"/>
          <w:color w:val="auto"/>
        </w:rPr>
      </w:pPr>
    </w:p>
    <w:p>
      <w:pPr>
        <w:spacing w:after="0"/>
        <w:tabs>
          <w:tab w:leader="none" w:pos="518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6"/>
          <w:szCs w:val="16"/>
          <w:color w:val="auto"/>
        </w:rPr>
        <w:t>By: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33" w:lineRule="exact"/>
        <w:rPr>
          <w:sz w:val="20"/>
          <w:szCs w:val="20"/>
          <w:color w:val="auto"/>
        </w:rPr>
      </w:pPr>
    </w:p>
    <w:p>
      <w:pPr>
        <w:spacing w:after="0"/>
        <w:tabs>
          <w:tab w:leader="none" w:pos="518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6"/>
          <w:szCs w:val="16"/>
          <w:color w:val="auto"/>
        </w:rPr>
        <w:t>By: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33" w:lineRule="exact"/>
        <w:rPr>
          <w:sz w:val="20"/>
          <w:szCs w:val="20"/>
          <w:color w:val="auto"/>
        </w:rPr>
      </w:pPr>
    </w:p>
    <w:p>
      <w:pPr>
        <w:spacing w:after="0"/>
        <w:tabs>
          <w:tab w:leader="none" w:pos="518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6"/>
          <w:szCs w:val="16"/>
          <w:color w:val="auto"/>
        </w:rPr>
        <w:t>By: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33" w:lineRule="exact"/>
        <w:rPr>
          <w:sz w:val="20"/>
          <w:szCs w:val="20"/>
          <w:color w:val="auto"/>
        </w:rPr>
      </w:pPr>
    </w:p>
    <w:p>
      <w:pPr>
        <w:spacing w:after="0"/>
        <w:tabs>
          <w:tab w:leader="none" w:pos="518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6"/>
          <w:szCs w:val="16"/>
          <w:color w:val="auto"/>
        </w:rPr>
        <w:t>By: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33" w:lineRule="exact"/>
        <w:rPr>
          <w:sz w:val="20"/>
          <w:szCs w:val="20"/>
          <w:color w:val="auto"/>
        </w:rPr>
      </w:pPr>
    </w:p>
    <w:p>
      <w:pPr>
        <w:spacing w:after="0"/>
        <w:tabs>
          <w:tab w:leader="none" w:pos="518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6"/>
          <w:szCs w:val="16"/>
          <w:color w:val="auto"/>
        </w:rPr>
        <w:t>By: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33" w:lineRule="exact"/>
        <w:rPr>
          <w:sz w:val="20"/>
          <w:szCs w:val="20"/>
          <w:color w:val="auto"/>
        </w:rPr>
      </w:pPr>
    </w:p>
    <w:p>
      <w:pPr>
        <w:spacing w:after="0"/>
        <w:tabs>
          <w:tab w:leader="none" w:pos="518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6"/>
          <w:szCs w:val="16"/>
          <w:color w:val="auto"/>
        </w:rPr>
        <w:t>By: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5661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T. Behrman, President and Chief Executive Officer</w:t>
      </w:r>
    </w:p>
    <w:p>
      <w:pPr>
        <w:spacing w:after="0" w:line="23" w:lineRule="exact"/>
        <w:rPr>
          <w:sz w:val="20"/>
          <w:szCs w:val="20"/>
          <w:color w:val="auto"/>
        </w:rPr>
      </w:pPr>
    </w:p>
    <w:p>
      <w:pPr>
        <w:ind w:right="600"/>
        <w:spacing w:after="0" w:line="294" w:lineRule="auto"/>
        <w:rPr>
          <w:sz w:val="20"/>
          <w:szCs w:val="20"/>
          <w:color w:val="auto"/>
        </w:rPr>
      </w:pPr>
      <w:r>
        <w:rPr>
          <w:rFonts w:ascii="Times New Roman" w:cs="Times New Roman" w:eastAsia="Times New Roman" w:hAnsi="Times New Roman"/>
          <w:sz w:val="18"/>
          <w:szCs w:val="18"/>
          <w:color w:val="auto"/>
        </w:rPr>
        <w:t>(Principal Executive Officer) and Chairman of the Board of Directors /s/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35661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right="320"/>
        <w:spacing w:after="0" w:line="273" w:lineRule="auto"/>
        <w:rPr>
          <w:sz w:val="20"/>
          <w:szCs w:val="20"/>
          <w:color w:val="auto"/>
        </w:rPr>
      </w:pPr>
      <w:r>
        <w:rPr>
          <w:rFonts w:ascii="Times New Roman" w:cs="Times New Roman" w:eastAsia="Times New Roman" w:hAnsi="Times New Roman"/>
          <w:sz w:val="18"/>
          <w:szCs w:val="18"/>
          <w:color w:val="auto"/>
        </w:rPr>
        <w:t>Cheryl A. Maguire, Executive Vice President and Chief Financial Officer (Principal Financial and Accounting Officer)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Riccardo Bertocco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566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Riccardo Bertocco, Director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D. 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566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D. Chandler, Director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Jonathan S. Bobb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5661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S. Bobb, Director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Barry H.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56616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Barry H. Golsen, Director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Kanna Kitamura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5661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Kanna Kitamura, Director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Steven L. Packebush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5661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L. Packebush, Director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Diana M. Peninger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56616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Diana M. Peninger, Director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Lynn F.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5661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Lynn F. White,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1030605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40" w:space="180"/>
            <w:col w:w="5620"/>
          </w:cols>
          <w:pgMar w:left="320" w:top="1440" w:right="339" w:bottom="1440" w:gutter="0" w:footer="0" w:header="0"/>
          <w:type w:val="continuous"/>
        </w:sectPr>
      </w:pPr>
    </w:p>
    <w:bookmarkStart w:id="50" w:name="page51"/>
    <w:bookmarkEnd w:id="50"/>
    <w:p>
      <w:pPr>
        <w:ind w:left="4900"/>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Schedule for Inclusion in 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Fiscal Year ended December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7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Page</w:t>
            </w:r>
          </w:p>
        </w:tc>
      </w:tr>
      <w:tr>
        <w:trPr>
          <w:trHeight w:val="291"/>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Financial Statements</w:t>
            </w:r>
          </w:p>
        </w:tc>
        <w:tc>
          <w:tcPr>
            <w:tcW w:w="3340" w:type="dxa"/>
            <w:vAlign w:val="bottom"/>
            <w:gridSpan w:val="11"/>
          </w:tcPr>
          <w:p>
            <w:pPr>
              <w:spacing w:after="0"/>
              <w:rPr>
                <w:sz w:val="24"/>
                <w:szCs w:val="24"/>
                <w:color w:val="auto"/>
              </w:rPr>
            </w:pPr>
          </w:p>
        </w:tc>
        <w:tc>
          <w:tcPr>
            <w:tcW w:w="56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18"/>
        </w:trPr>
        <w:tc>
          <w:tcPr>
            <w:tcW w:w="48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56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318"/>
        </w:trPr>
        <w:tc>
          <w:tcPr>
            <w:tcW w:w="21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0" w:type="dxa"/>
            <w:vAlign w:val="bottom"/>
            <w:tcBorders>
              <w:top w:val="single" w:sz="8" w:color="0000FF"/>
              <w:bottom w:val="single" w:sz="8" w:color="0000EE"/>
            </w:tcBorders>
          </w:tcPr>
          <w:p>
            <w:pPr>
              <w:spacing w:after="0"/>
              <w:rPr>
                <w:sz w:val="24"/>
                <w:szCs w:val="24"/>
                <w:color w:val="auto"/>
              </w:rPr>
            </w:pPr>
          </w:p>
        </w:tc>
        <w:tc>
          <w:tcPr>
            <w:tcW w:w="2100" w:type="dxa"/>
            <w:vAlign w:val="bottom"/>
            <w:tcBorders>
              <w:top w:val="single" w:sz="8" w:color="0000FF"/>
            </w:tcBorders>
            <w:gridSpan w:val="8"/>
          </w:tcPr>
          <w:p>
            <w:pPr>
              <w:spacing w:after="0"/>
              <w:rPr>
                <w:sz w:val="24"/>
                <w:szCs w:val="24"/>
                <w:color w:val="auto"/>
              </w:rPr>
            </w:pPr>
          </w:p>
        </w:tc>
        <w:tc>
          <w:tcPr>
            <w:tcW w:w="6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r>
      <w:tr>
        <w:trPr>
          <w:trHeight w:val="318"/>
        </w:trPr>
        <w:tc>
          <w:tcPr>
            <w:tcW w:w="48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56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r>
      <w:tr>
        <w:trPr>
          <w:trHeight w:val="20"/>
        </w:trPr>
        <w:tc>
          <w:tcPr>
            <w:tcW w:w="2140" w:type="dxa"/>
            <w:vAlign w:val="bottom"/>
            <w:gridSpan w:val="4"/>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8"/>
        </w:trPr>
        <w:tc>
          <w:tcPr>
            <w:tcW w:w="35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1300" w:type="dxa"/>
            <w:vAlign w:val="bottom"/>
            <w:gridSpan w:val="3"/>
          </w:tcPr>
          <w:p>
            <w:pPr>
              <w:spacing w:after="0"/>
              <w:rPr>
                <w:sz w:val="24"/>
                <w:szCs w:val="24"/>
                <w:color w:val="auto"/>
              </w:rPr>
            </w:pPr>
          </w:p>
        </w:tc>
        <w:tc>
          <w:tcPr>
            <w:tcW w:w="56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317"/>
        </w:trPr>
        <w:tc>
          <w:tcPr>
            <w:tcW w:w="28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20" w:type="dxa"/>
            <w:vAlign w:val="bottom"/>
            <w:tcBorders>
              <w:bottom w:val="single" w:sz="8" w:color="0000EE"/>
            </w:tcBorders>
          </w:tcPr>
          <w:p>
            <w:pPr>
              <w:spacing w:after="0"/>
              <w:rPr>
                <w:sz w:val="24"/>
                <w:szCs w:val="24"/>
                <w:color w:val="auto"/>
              </w:rPr>
            </w:pPr>
          </w:p>
        </w:tc>
        <w:tc>
          <w:tcPr>
            <w:tcW w:w="1960" w:type="dxa"/>
            <w:vAlign w:val="bottom"/>
            <w:gridSpan w:val="5"/>
          </w:tcPr>
          <w:p>
            <w:pPr>
              <w:spacing w:after="0"/>
              <w:rPr>
                <w:sz w:val="24"/>
                <w:szCs w:val="24"/>
                <w:color w:val="auto"/>
              </w:rPr>
            </w:pPr>
          </w:p>
        </w:tc>
        <w:tc>
          <w:tcPr>
            <w:tcW w:w="56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r>
      <w:tr>
        <w:trPr>
          <w:trHeight w:val="318"/>
        </w:trPr>
        <w:tc>
          <w:tcPr>
            <w:tcW w:w="31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1700" w:type="dxa"/>
            <w:vAlign w:val="bottom"/>
            <w:gridSpan w:val="4"/>
          </w:tcPr>
          <w:p>
            <w:pPr>
              <w:spacing w:after="0"/>
              <w:rPr>
                <w:sz w:val="24"/>
                <w:szCs w:val="24"/>
                <w:color w:val="auto"/>
              </w:rPr>
            </w:pPr>
          </w:p>
        </w:tc>
        <w:tc>
          <w:tcPr>
            <w:tcW w:w="56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318"/>
        </w:trPr>
        <w:tc>
          <w:tcPr>
            <w:tcW w:w="48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Financial Statement Schedule</w:t>
            </w:r>
          </w:p>
        </w:tc>
        <w:tc>
          <w:tcPr>
            <w:tcW w:w="56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
        </w:trPr>
        <w:tc>
          <w:tcPr>
            <w:tcW w:w="2140" w:type="dxa"/>
            <w:vAlign w:val="bottom"/>
            <w:gridSpan w:val="4"/>
            <w:shd w:val="clear" w:color="auto" w:fill="000000"/>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8"/>
        </w:trPr>
        <w:tc>
          <w:tcPr>
            <w:tcW w:w="48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Schedule II – Valuation and Qualifying Accounts</w:t>
            </w:r>
          </w:p>
        </w:tc>
        <w:tc>
          <w:tcPr>
            <w:tcW w:w="56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F–27</w:t>
            </w:r>
          </w:p>
        </w:tc>
      </w:tr>
      <w:tr>
        <w:trPr>
          <w:trHeight w:val="885"/>
        </w:trPr>
        <w:tc>
          <w:tcPr>
            <w:tcW w:w="15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380" w:type="dxa"/>
            <w:vAlign w:val="bottom"/>
            <w:gridSpan w:val="2"/>
          </w:tcPr>
          <w:p>
            <w:pPr>
              <w:jc w:val="right"/>
              <w:ind w:right="5412"/>
              <w:spacing w:after="0"/>
              <w:rPr>
                <w:sz w:val="20"/>
                <w:szCs w:val="20"/>
                <w:color w:val="auto"/>
              </w:rPr>
            </w:pPr>
            <w:r>
              <w:rPr>
                <w:rFonts w:ascii="Times New Roman" w:cs="Times New Roman" w:eastAsia="Times New Roman" w:hAnsi="Times New Roman"/>
                <w:sz w:val="18"/>
                <w:szCs w:val="18"/>
                <w:color w:val="auto"/>
              </w:rPr>
              <w:t>F-1</w:t>
            </w:r>
          </w:p>
        </w:tc>
      </w:tr>
      <w:tr>
        <w:trPr>
          <w:trHeight w:val="763"/>
        </w:trPr>
        <w:tc>
          <w:tcPr>
            <w:tcW w:w="15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1" w:name="page52"/>
    <w:bookmarkEnd w:id="51"/>
    <w:p>
      <w:pPr>
        <w:ind w:right="3360" w:firstLine="334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LSB Industries, Inc. </w:t>
      </w:r>
      <w:r>
        <w:rPr>
          <w:rFonts w:ascii="Times New Roman" w:cs="Times New Roman" w:eastAsia="Times New Roman" w:hAnsi="Times New Roman"/>
          <w:sz w:val="18"/>
          <w:szCs w:val="18"/>
          <w:b w:val="1"/>
          <w:bCs w:val="1"/>
          <w:color w:val="auto"/>
        </w:rPr>
        <w:t>Opinion on the Financial Statements</w:t>
      </w:r>
    </w:p>
    <w:p>
      <w:pPr>
        <w:spacing w:after="0" w:line="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LSB Industries, Inc. (the Company) as of December 31, 2025 and 2024, the related consolidated statements of operations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stockholders' equity and cash flows for each of the three years in the period ended December 31, 2025,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26, 2026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1968.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Oklahoma City, Oklahoma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20" w:type="dxa"/>
            <w:vAlign w:val="bottom"/>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96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19,511</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20,230</w:t>
            </w:r>
          </w:p>
        </w:tc>
        <w:tc>
          <w:tcPr>
            <w:tcW w:w="100" w:type="dxa"/>
            <w:vAlign w:val="bottom"/>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128,960</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4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57,609</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39,083</w:t>
            </w:r>
          </w:p>
        </w:tc>
        <w:tc>
          <w:tcPr>
            <w:tcW w:w="100" w:type="dxa"/>
            <w:vAlign w:val="bottom"/>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b w:val="1"/>
                <w:bCs w:val="1"/>
                <w:color w:val="auto"/>
              </w:rPr>
              <w:t>(401)</w:t>
            </w:r>
          </w:p>
        </w:tc>
        <w:tc>
          <w:tcPr>
            <w:tcW w:w="4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8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4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57,208</w:t>
            </w:r>
          </w:p>
        </w:tc>
        <w:tc>
          <w:tcPr>
            <w:tcW w:w="26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38,760</w:t>
            </w:r>
          </w:p>
        </w:tc>
        <w:tc>
          <w:tcPr>
            <w:tcW w:w="100" w:type="dxa"/>
            <w:vAlign w:val="bottom"/>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Finished goods</w:t>
            </w:r>
          </w:p>
        </w:tc>
        <w:tc>
          <w:tcPr>
            <w:tcW w:w="24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16,705</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22,382</w:t>
            </w:r>
          </w:p>
        </w:tc>
        <w:tc>
          <w:tcPr>
            <w:tcW w:w="100" w:type="dxa"/>
            <w:vAlign w:val="bottom"/>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Raw materials</w:t>
            </w:r>
          </w:p>
        </w:tc>
        <w:tc>
          <w:tcPr>
            <w:tcW w:w="24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1,605</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8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 inventories</w:t>
            </w:r>
          </w:p>
        </w:tc>
        <w:tc>
          <w:tcPr>
            <w:tcW w:w="24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18,310</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24,901</w:t>
            </w:r>
          </w:p>
        </w:tc>
        <w:tc>
          <w:tcPr>
            <w:tcW w:w="100" w:type="dxa"/>
            <w:vAlign w:val="bottom"/>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Supplies, prepaid items and other:</w:t>
            </w:r>
          </w:p>
        </w:tc>
        <w:tc>
          <w:tcPr>
            <w:tcW w:w="2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insurance</w:t>
            </w:r>
          </w:p>
        </w:tc>
        <w:tc>
          <w:tcPr>
            <w:tcW w:w="24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12,588</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14,345</w:t>
            </w:r>
          </w:p>
        </w:tc>
        <w:tc>
          <w:tcPr>
            <w:tcW w:w="100" w:type="dxa"/>
            <w:vAlign w:val="bottom"/>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Precious metals</w:t>
            </w:r>
          </w:p>
        </w:tc>
        <w:tc>
          <w:tcPr>
            <w:tcW w:w="2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14,538</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Supplies</w:t>
            </w:r>
          </w:p>
        </w:tc>
        <w:tc>
          <w:tcPr>
            <w:tcW w:w="24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33,399</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31,995</w:t>
            </w:r>
          </w:p>
        </w:tc>
        <w:tc>
          <w:tcPr>
            <w:tcW w:w="100" w:type="dxa"/>
            <w:vAlign w:val="bottom"/>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4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5,380</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8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 supplies, prepaid items and other</w:t>
            </w:r>
          </w:p>
        </w:tc>
        <w:tc>
          <w:tcPr>
            <w:tcW w:w="24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65,905</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61,852</w:t>
            </w:r>
          </w:p>
        </w:tc>
        <w:tc>
          <w:tcPr>
            <w:tcW w:w="100" w:type="dxa"/>
            <w:vAlign w:val="bottom"/>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 held for sale</w:t>
            </w:r>
          </w:p>
        </w:tc>
        <w:tc>
          <w:tcPr>
            <w:tcW w:w="2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3,400</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8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Total current assets</w:t>
            </w:r>
          </w:p>
        </w:tc>
        <w:tc>
          <w:tcPr>
            <w:tcW w:w="244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293,294</w:t>
            </w:r>
          </w:p>
        </w:tc>
        <w:tc>
          <w:tcPr>
            <w:tcW w:w="26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309,714</w:t>
            </w:r>
          </w:p>
        </w:tc>
        <w:tc>
          <w:tcPr>
            <w:tcW w:w="100" w:type="dxa"/>
            <w:vAlign w:val="bottom"/>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833,525</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847,570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assets</w:t>
            </w:r>
          </w:p>
        </w:tc>
        <w:tc>
          <w:tcPr>
            <w:tcW w:w="2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45,571</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Intangible and other assets, net</w:t>
            </w:r>
          </w:p>
        </w:tc>
        <w:tc>
          <w:tcPr>
            <w:tcW w:w="244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1,149</w:t>
            </w:r>
          </w:p>
        </w:tc>
        <w:tc>
          <w:tcPr>
            <w:tcW w:w="2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other assets</w:t>
            </w:r>
          </w:p>
        </w:tc>
        <w:tc>
          <w:tcPr>
            <w:tcW w:w="24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46,720</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40" w:type="dxa"/>
            <w:vAlign w:val="bottom"/>
          </w:tcPr>
          <w:p>
            <w:pPr>
              <w:spacing w:after="0"/>
              <w:rPr>
                <w:sz w:val="21"/>
                <w:szCs w:val="21"/>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96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1,173,539</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1,187,188</w:t>
            </w:r>
          </w:p>
        </w:tc>
        <w:tc>
          <w:tcPr>
            <w:tcW w:w="100" w:type="dxa"/>
            <w:vAlign w:val="bottom"/>
            <w:shd w:val="clear" w:color="auto" w:fill="CFF0FC"/>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40" w:type="dxa"/>
            <w:vAlign w:val="bottom"/>
          </w:tcPr>
          <w:p>
            <w:pPr>
              <w:spacing w:after="0"/>
              <w:rPr>
                <w:sz w:val="17"/>
                <w:szCs w:val="17"/>
                <w:color w:val="auto"/>
              </w:rPr>
            </w:pPr>
          </w:p>
        </w:tc>
        <w:tc>
          <w:tcPr>
            <w:tcW w:w="48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40" w:type="dxa"/>
            <w:vAlign w:val="bottom"/>
            <w:tcBorders>
              <w:top w:val="single" w:sz="8" w:color="CFF0FC"/>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64,514</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Short-term financing</w:t>
            </w:r>
          </w:p>
        </w:tc>
        <w:tc>
          <w:tcPr>
            <w:tcW w:w="24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10,686</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12,146</w:t>
            </w:r>
          </w:p>
        </w:tc>
        <w:tc>
          <w:tcPr>
            <w:tcW w:w="100" w:type="dxa"/>
            <w:vAlign w:val="bottom"/>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29,551</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4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760</w:t>
            </w:r>
          </w:p>
        </w:tc>
        <w:tc>
          <w:tcPr>
            <w:tcW w:w="2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9,116</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105,511</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4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440,295</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476,163</w:t>
            </w:r>
          </w:p>
        </w:tc>
        <w:tc>
          <w:tcPr>
            <w:tcW w:w="100" w:type="dxa"/>
            <w:vAlign w:val="bottom"/>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37,668</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accrued liabilities</w:t>
            </w:r>
          </w:p>
        </w:tc>
        <w:tc>
          <w:tcPr>
            <w:tcW w:w="24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535</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69,557</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24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482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$.10 par value per share; 150 million shares</w:t>
            </w:r>
          </w:p>
        </w:tc>
        <w:tc>
          <w:tcPr>
            <w:tcW w:w="24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9,117</w:t>
            </w: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8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authorized, 91.2 million shares issued</w:t>
            </w:r>
          </w:p>
        </w:tc>
        <w:tc>
          <w:tcPr>
            <w:tcW w:w="24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96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9,117</w:t>
            </w:r>
          </w:p>
        </w:tc>
        <w:tc>
          <w:tcPr>
            <w:tcW w:w="100" w:type="dxa"/>
            <w:vAlign w:val="bottom"/>
            <w:shd w:val="clear" w:color="auto" w:fill="CFF0FC"/>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506,821</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504,578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44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232,275</w:t>
            </w:r>
          </w:p>
        </w:tc>
        <w:tc>
          <w:tcPr>
            <w:tcW w:w="2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207,662</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748,213</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721,357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 treasury stock, at cost:</w:t>
            </w:r>
          </w:p>
        </w:tc>
        <w:tc>
          <w:tcPr>
            <w:tcW w:w="24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482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Common stock, 19.5 million shares (19.5 million shares at</w:t>
            </w:r>
          </w:p>
        </w:tc>
        <w:tc>
          <w:tcPr>
            <w:tcW w:w="2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228,240</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229,717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4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December 31, 2024)</w:t>
            </w:r>
          </w:p>
        </w:tc>
        <w:tc>
          <w:tcPr>
            <w:tcW w:w="24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8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4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519,973</w:t>
            </w:r>
          </w:p>
        </w:tc>
        <w:tc>
          <w:tcPr>
            <w:tcW w:w="2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491,640</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1,173,539</w:t>
            </w:r>
          </w:p>
        </w:tc>
        <w:tc>
          <w:tcPr>
            <w:tcW w:w="26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1,187,188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778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960" w:type="dxa"/>
            <w:vAlign w:val="bottom"/>
            <w:gridSpan w:val="2"/>
          </w:tcPr>
          <w:p>
            <w:pPr>
              <w:jc w:val="right"/>
              <w:ind w:right="2380"/>
              <w:spacing w:after="0"/>
              <w:rPr>
                <w:sz w:val="20"/>
                <w:szCs w:val="20"/>
                <w:color w:val="auto"/>
              </w:rPr>
            </w:pPr>
            <w:r>
              <w:rPr>
                <w:rFonts w:ascii="Times New Roman" w:cs="Times New Roman" w:eastAsia="Times New Roman" w:hAnsi="Times New Roman"/>
                <w:sz w:val="18"/>
                <w:szCs w:val="18"/>
                <w:color w:val="auto"/>
              </w:rPr>
              <w:t>F-3</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-4457065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-4457065</wp:posOffset>
            </wp:positionV>
            <wp:extent cx="596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-4165600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-4148455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-4165600</wp:posOffset>
            </wp:positionV>
            <wp:extent cx="596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-4148455</wp:posOffset>
            </wp:positionV>
            <wp:extent cx="596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-3316605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-3316605</wp:posOffset>
            </wp:positionV>
            <wp:extent cx="596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-1799590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-1799590</wp:posOffset>
            </wp:positionV>
            <wp:extent cx="596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-1104900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-1104900</wp:posOffset>
            </wp:positionV>
            <wp:extent cx="596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40" w:type="dxa"/>
            <w:vAlign w:val="bottom"/>
            <w:gridSpan w:val="7"/>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615,208</w:t>
            </w:r>
          </w:p>
        </w:tc>
        <w:tc>
          <w:tcPr>
            <w:tcW w:w="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522,400</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593,709</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510,906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474,603</w:t>
            </w:r>
          </w:p>
        </w:tc>
        <w:tc>
          <w:tcPr>
            <w:tcW w:w="4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507,449</w:t>
            </w:r>
          </w:p>
        </w:tc>
      </w:tr>
      <w:tr>
        <w:trPr>
          <w:trHeight w:val="20"/>
        </w:trPr>
        <w:tc>
          <w:tcPr>
            <w:tcW w:w="6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104,302</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47,797</w:t>
            </w:r>
          </w:p>
        </w:tc>
        <w:tc>
          <w:tcPr>
            <w:tcW w:w="4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86,260</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41,507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41,767</w:t>
            </w:r>
          </w:p>
        </w:tc>
        <w:tc>
          <w:tcPr>
            <w:tcW w:w="4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36,580</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5,521</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11,535</w:t>
            </w:r>
          </w:p>
        </w:tc>
        <w:tc>
          <w:tcPr>
            <w:tcW w:w="4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(2,097)</w:t>
            </w: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57,274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(5,505)</w:t>
            </w:r>
          </w:p>
        </w:tc>
        <w:tc>
          <w:tcPr>
            <w:tcW w:w="4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51,777</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30,657</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34,452</w:t>
            </w:r>
          </w:p>
        </w:tc>
        <w:tc>
          <w:tcPr>
            <w:tcW w:w="4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41,136</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extinguishments of debt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(3,013)</w:t>
            </w:r>
          </w:p>
        </w:tc>
        <w:tc>
          <w:tcPr>
            <w:tcW w:w="4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(8,644)</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Non-operating income, net</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(5,984)</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(10,907)</w:t>
            </w:r>
          </w:p>
        </w:tc>
        <w:tc>
          <w:tcPr>
            <w:tcW w:w="4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(14,611)</w:t>
            </w: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provision (benefit) for income taxes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32,549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(26,037)</w:t>
            </w:r>
          </w:p>
        </w:tc>
        <w:tc>
          <w:tcPr>
            <w:tcW w:w="4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33,896</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7,936</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(6,684)</w:t>
            </w:r>
          </w:p>
        </w:tc>
        <w:tc>
          <w:tcPr>
            <w:tcW w:w="4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5,973</w:t>
            </w: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24,613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(19,353)</w:t>
            </w:r>
          </w:p>
        </w:tc>
        <w:tc>
          <w:tcPr>
            <w:tcW w:w="4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27,923</w:t>
            </w: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per common share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0.34</w:t>
            </w:r>
          </w:p>
        </w:tc>
        <w:tc>
          <w:tcPr>
            <w:tcW w:w="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(0.27)</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4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0.34</w:t>
            </w:r>
          </w:p>
        </w:tc>
        <w:tc>
          <w:tcPr>
            <w:tcW w:w="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(0.27)</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-1885315</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-1885315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-1328420</wp:posOffset>
            </wp:positionV>
            <wp:extent cx="768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-1328420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-1328420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-1045210</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-1045210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Treasury</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Retained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4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1"/>
              </w:rPr>
              <w:t>Stock-</w:t>
            </w:r>
          </w:p>
        </w:tc>
        <w:tc>
          <w:tcPr>
            <w:tcW w:w="100" w:type="dxa"/>
            <w:vAlign w:val="bottom"/>
          </w:tcPr>
          <w:p>
            <w:pPr>
              <w:spacing w:after="0"/>
              <w:rPr>
                <w:sz w:val="11"/>
                <w:szCs w:val="11"/>
                <w:color w:val="auto"/>
              </w:rPr>
            </w:pPr>
          </w:p>
        </w:tc>
        <w:tc>
          <w:tcPr>
            <w:tcW w:w="680" w:type="dxa"/>
            <w:vAlign w:val="bottom"/>
          </w:tcPr>
          <w:p>
            <w:pPr>
              <w:jc w:val="center"/>
              <w:ind w:right="34"/>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Common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Capital in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2"/>
                <w:szCs w:val="12"/>
                <w:b w:val="1"/>
                <w:bCs w:val="1"/>
                <w:color w:val="auto"/>
                <w:w w:val="98"/>
              </w:rPr>
              <w:t>Earnings</w:t>
            </w:r>
          </w:p>
        </w:tc>
        <w:tc>
          <w:tcPr>
            <w:tcW w:w="120" w:type="dxa"/>
            <w:vAlign w:val="bottom"/>
          </w:tcPr>
          <w:p>
            <w:pPr>
              <w:spacing w:after="0"/>
              <w:rPr>
                <w:sz w:val="11"/>
                <w:szCs w:val="11"/>
                <w:color w:val="auto"/>
              </w:rPr>
            </w:pPr>
          </w:p>
        </w:tc>
        <w:tc>
          <w:tcPr>
            <w:tcW w:w="1080" w:type="dxa"/>
            <w:vAlign w:val="bottom"/>
            <w:gridSpan w:val="3"/>
          </w:tcPr>
          <w:p>
            <w:pPr>
              <w:jc w:val="center"/>
              <w:ind w:right="500"/>
              <w:spacing w:after="0" w:line="135" w:lineRule="exact"/>
              <w:rPr>
                <w:sz w:val="20"/>
                <w:szCs w:val="20"/>
                <w:color w:val="auto"/>
              </w:rPr>
            </w:pPr>
            <w:r>
              <w:rPr>
                <w:rFonts w:ascii="Times New Roman" w:cs="Times New Roman" w:eastAsia="Times New Roman" w:hAnsi="Times New Roman"/>
                <w:sz w:val="12"/>
                <w:szCs w:val="12"/>
                <w:b w:val="1"/>
                <w:bCs w:val="1"/>
                <w:color w:val="auto"/>
                <w:w w:val="97"/>
              </w:rPr>
              <w:t>Treasury</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4200" w:type="dxa"/>
            <w:vAlign w:val="bottom"/>
          </w:tcPr>
          <w:p>
            <w:pPr>
              <w:spacing w:after="0"/>
              <w:rPr>
                <w:sz w:val="11"/>
                <w:szCs w:val="11"/>
                <w:color w:val="auto"/>
              </w:rPr>
            </w:pPr>
          </w:p>
        </w:tc>
        <w:tc>
          <w:tcPr>
            <w:tcW w:w="780" w:type="dxa"/>
            <w:vAlign w:val="bottom"/>
          </w:tcPr>
          <w:p>
            <w:pPr>
              <w:jc w:val="right"/>
              <w:ind w:right="93"/>
              <w:spacing w:after="0" w:line="135" w:lineRule="exact"/>
              <w:rPr>
                <w:sz w:val="20"/>
                <w:szCs w:val="20"/>
                <w:color w:val="auto"/>
              </w:rPr>
            </w:pPr>
            <w:r>
              <w:rPr>
                <w:rFonts w:ascii="Times New Roman" w:cs="Times New Roman" w:eastAsia="Times New Roman" w:hAnsi="Times New Roman"/>
                <w:sz w:val="12"/>
                <w:szCs w:val="12"/>
                <w:b w:val="1"/>
                <w:bCs w:val="1"/>
                <w:color w:val="auto"/>
              </w:rPr>
              <w:t>Common</w:t>
            </w:r>
          </w:p>
        </w:tc>
        <w:tc>
          <w:tcPr>
            <w:tcW w:w="22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Common</w:t>
            </w:r>
          </w:p>
        </w:tc>
        <w:tc>
          <w:tcPr>
            <w:tcW w:w="100" w:type="dxa"/>
            <w:vAlign w:val="bottom"/>
          </w:tcPr>
          <w:p>
            <w:pPr>
              <w:spacing w:after="0"/>
              <w:rPr>
                <w:sz w:val="11"/>
                <w:szCs w:val="11"/>
                <w:color w:val="auto"/>
              </w:rPr>
            </w:pPr>
          </w:p>
        </w:tc>
        <w:tc>
          <w:tcPr>
            <w:tcW w:w="680" w:type="dxa"/>
            <w:vAlign w:val="bottom"/>
          </w:tcPr>
          <w:p>
            <w:pPr>
              <w:jc w:val="center"/>
              <w:ind w:right="34"/>
              <w:spacing w:after="0" w:line="135" w:lineRule="exact"/>
              <w:rPr>
                <w:sz w:val="20"/>
                <w:szCs w:val="20"/>
                <w:color w:val="auto"/>
              </w:rPr>
            </w:pPr>
            <w:r>
              <w:rPr>
                <w:rFonts w:ascii="Times New Roman" w:cs="Times New Roman" w:eastAsia="Times New Roman" w:hAnsi="Times New Roman"/>
                <w:sz w:val="12"/>
                <w:szCs w:val="12"/>
                <w:b w:val="1"/>
                <w:bCs w:val="1"/>
                <w:color w:val="auto"/>
                <w:w w:val="90"/>
              </w:rPr>
              <w:t>Stock</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Excess of</w:t>
            </w:r>
          </w:p>
        </w:tc>
        <w:tc>
          <w:tcPr>
            <w:tcW w:w="80" w:type="dxa"/>
            <w:vAlign w:val="bottom"/>
          </w:tcPr>
          <w:p>
            <w:pPr>
              <w:spacing w:after="0"/>
              <w:rPr>
                <w:sz w:val="11"/>
                <w:szCs w:val="11"/>
                <w:color w:val="auto"/>
              </w:rPr>
            </w:pPr>
          </w:p>
        </w:tc>
        <w:tc>
          <w:tcPr>
            <w:tcW w:w="100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2"/>
                <w:szCs w:val="12"/>
                <w:b w:val="1"/>
                <w:bCs w:val="1"/>
                <w:color w:val="auto"/>
                <w:w w:val="97"/>
              </w:rPr>
              <w:t>(Accumulated</w:t>
            </w:r>
          </w:p>
        </w:tc>
        <w:tc>
          <w:tcPr>
            <w:tcW w:w="120" w:type="dxa"/>
            <w:vAlign w:val="bottom"/>
          </w:tcPr>
          <w:p>
            <w:pPr>
              <w:spacing w:after="0"/>
              <w:rPr>
                <w:sz w:val="11"/>
                <w:szCs w:val="11"/>
                <w:color w:val="auto"/>
              </w:rPr>
            </w:pPr>
          </w:p>
        </w:tc>
        <w:tc>
          <w:tcPr>
            <w:tcW w:w="1080" w:type="dxa"/>
            <w:vAlign w:val="bottom"/>
            <w:gridSpan w:val="3"/>
          </w:tcPr>
          <w:p>
            <w:pPr>
              <w:jc w:val="center"/>
              <w:ind w:right="5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Stock-</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5"/>
        </w:trPr>
        <w:tc>
          <w:tcPr>
            <w:tcW w:w="420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Stock Shares</w:t>
            </w:r>
          </w:p>
        </w:tc>
        <w:tc>
          <w:tcPr>
            <w:tcW w:w="220" w:type="dxa"/>
            <w:vAlign w:val="bottom"/>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2"/>
                <w:szCs w:val="12"/>
                <w:b w:val="1"/>
                <w:bCs w:val="1"/>
                <w:color w:val="auto"/>
                <w:w w:val="96"/>
              </w:rPr>
              <w:t>Par Value</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2"/>
                <w:szCs w:val="12"/>
                <w:b w:val="1"/>
                <w:bCs w:val="1"/>
                <w:color w:val="auto"/>
                <w:w w:val="96"/>
              </w:rPr>
              <w:t>Par Value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2"/>
                <w:szCs w:val="12"/>
                <w:b w:val="1"/>
                <w:bCs w:val="1"/>
                <w:color w:val="auto"/>
                <w:w w:val="97"/>
              </w:rPr>
              <w:t>Common</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0" w:type="dxa"/>
            <w:vAlign w:val="bottom"/>
          </w:tcPr>
          <w:p>
            <w:pPr>
              <w:spacing w:after="0"/>
              <w:rPr>
                <w:sz w:val="12"/>
                <w:szCs w:val="12"/>
                <w:color w:val="auto"/>
              </w:rPr>
            </w:pPr>
          </w:p>
        </w:tc>
      </w:tr>
      <w:tr>
        <w:trPr>
          <w:trHeight w:val="142"/>
        </w:trPr>
        <w:tc>
          <w:tcPr>
            <w:tcW w:w="4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9"/>
              </w:rPr>
              <w:t>(In Thousands)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Balance as of December 31, 2022</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91,168</w:t>
            </w:r>
          </w:p>
        </w:tc>
        <w:tc>
          <w:tcPr>
            <w:tcW w:w="1260" w:type="dxa"/>
            <w:vAlign w:val="bottom"/>
            <w:gridSpan w:val="3"/>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(14,888)</w:t>
            </w:r>
          </w:p>
        </w:tc>
        <w:tc>
          <w:tcPr>
            <w:tcW w:w="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9,117</w:t>
            </w:r>
          </w:p>
        </w:tc>
        <w:tc>
          <w:tcPr>
            <w:tcW w:w="3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497,179</w:t>
            </w:r>
          </w:p>
        </w:tc>
        <w:tc>
          <w:tcPr>
            <w:tcW w:w="14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199,092</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(189,515)</w:t>
            </w: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515,873</w:t>
            </w:r>
          </w:p>
        </w:tc>
        <w:tc>
          <w:tcPr>
            <w:tcW w:w="100" w:type="dxa"/>
            <w:vAlign w:val="bottom"/>
            <w:shd w:val="clear" w:color="auto" w:fill="CFF0FC"/>
          </w:tcPr>
          <w:p>
            <w:pPr>
              <w:spacing w:after="0"/>
              <w:rPr>
                <w:sz w:val="12"/>
                <w:szCs w:val="12"/>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27,923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27,923</w:t>
            </w:r>
          </w:p>
        </w:tc>
        <w:tc>
          <w:tcPr>
            <w:tcW w:w="100" w:type="dxa"/>
            <w:vAlign w:val="bottom"/>
          </w:tcPr>
          <w:p>
            <w:pPr>
              <w:spacing w:after="0"/>
              <w:rPr>
                <w:sz w:val="12"/>
                <w:szCs w:val="12"/>
                <w:color w:val="auto"/>
              </w:rPr>
            </w:pPr>
          </w:p>
        </w:tc>
      </w:tr>
      <w:tr>
        <w:trPr>
          <w:trHeight w:val="148"/>
        </w:trPr>
        <w:tc>
          <w:tcPr>
            <w:tcW w:w="4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5,353</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5,353</w:t>
            </w:r>
          </w:p>
        </w:tc>
        <w:tc>
          <w:tcPr>
            <w:tcW w:w="100" w:type="dxa"/>
            <w:vAlign w:val="bottom"/>
            <w:shd w:val="clear" w:color="auto" w:fill="CFF0FC"/>
          </w:tcPr>
          <w:p>
            <w:pPr>
              <w:spacing w:after="0"/>
              <w:rPr>
                <w:sz w:val="12"/>
                <w:szCs w:val="12"/>
                <w:color w:val="auto"/>
              </w:rPr>
            </w:pPr>
          </w:p>
        </w:tc>
      </w:tr>
      <w:tr>
        <w:trPr>
          <w:trHeight w:val="149"/>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common stock</w:t>
            </w:r>
          </w:p>
        </w:tc>
        <w:tc>
          <w:tcPr>
            <w:tcW w:w="780" w:type="dxa"/>
            <w:vAlign w:val="bottom"/>
          </w:tcPr>
          <w:p>
            <w:pPr>
              <w:spacing w:after="0"/>
              <w:rPr>
                <w:sz w:val="12"/>
                <w:szCs w:val="12"/>
                <w:color w:val="auto"/>
              </w:rPr>
            </w:pPr>
          </w:p>
        </w:tc>
        <w:tc>
          <w:tcPr>
            <w:tcW w:w="126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(3,094)</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(28,510)</w:t>
            </w:r>
          </w:p>
        </w:tc>
        <w:tc>
          <w:tcPr>
            <w:tcW w:w="1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(28,510)</w:t>
            </w:r>
          </w:p>
        </w:tc>
      </w:tr>
      <w:tr>
        <w:trPr>
          <w:trHeight w:val="148"/>
        </w:trPr>
        <w:tc>
          <w:tcPr>
            <w:tcW w:w="4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(1,506)</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(802)</w:t>
            </w:r>
          </w:p>
        </w:tc>
        <w:tc>
          <w:tcPr>
            <w:tcW w:w="1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(2,308)</w:t>
            </w:r>
          </w:p>
        </w:tc>
      </w:tr>
      <w:tr>
        <w:trPr>
          <w:trHeight w:val="20"/>
        </w:trPr>
        <w:tc>
          <w:tcPr>
            <w:tcW w:w="420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42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as of December 31, 2023</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91,168</w:t>
            </w:r>
          </w:p>
        </w:tc>
        <w:tc>
          <w:tcPr>
            <w:tcW w:w="220" w:type="dxa"/>
            <w:vAlign w:val="bottom"/>
          </w:tcPr>
          <w:p>
            <w:pPr>
              <w:spacing w:after="0"/>
              <w:rPr>
                <w:sz w:val="12"/>
                <w:szCs w:val="12"/>
                <w:color w:val="auto"/>
              </w:rPr>
            </w:pPr>
          </w:p>
        </w:tc>
        <w:tc>
          <w:tcPr>
            <w:tcW w:w="10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(18,051)</w:t>
            </w:r>
          </w:p>
        </w:tc>
        <w:tc>
          <w:tcPr>
            <w:tcW w:w="1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9,117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501,026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227,015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(218,827)</w:t>
            </w:r>
          </w:p>
        </w:tc>
        <w:tc>
          <w:tcPr>
            <w:tcW w:w="1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518,331</w:t>
            </w:r>
          </w:p>
        </w:tc>
        <w:tc>
          <w:tcPr>
            <w:tcW w:w="100" w:type="dxa"/>
            <w:vAlign w:val="bottom"/>
          </w:tcPr>
          <w:p>
            <w:pPr>
              <w:spacing w:after="0"/>
              <w:rPr>
                <w:sz w:val="12"/>
                <w:szCs w:val="12"/>
                <w:color w:val="auto"/>
              </w:rPr>
            </w:pPr>
          </w:p>
        </w:tc>
      </w:tr>
      <w:tr>
        <w:trPr>
          <w:trHeight w:val="148"/>
        </w:trPr>
        <w:tc>
          <w:tcPr>
            <w:tcW w:w="4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(19,353)</w:t>
            </w: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(19,353)</w:t>
            </w:r>
          </w:p>
        </w:tc>
      </w:tr>
      <w:tr>
        <w:trPr>
          <w:trHeight w:val="149"/>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6,607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6,607</w:t>
            </w:r>
          </w:p>
        </w:tc>
        <w:tc>
          <w:tcPr>
            <w:tcW w:w="100" w:type="dxa"/>
            <w:vAlign w:val="bottom"/>
          </w:tcPr>
          <w:p>
            <w:pPr>
              <w:spacing w:after="0"/>
              <w:rPr>
                <w:sz w:val="12"/>
                <w:szCs w:val="12"/>
                <w:color w:val="auto"/>
              </w:rPr>
            </w:pPr>
          </w:p>
        </w:tc>
      </w:tr>
      <w:tr>
        <w:trPr>
          <w:trHeight w:val="148"/>
        </w:trPr>
        <w:tc>
          <w:tcPr>
            <w:tcW w:w="4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Purchase of common stock</w:t>
            </w:r>
          </w:p>
        </w:tc>
        <w:tc>
          <w:tcPr>
            <w:tcW w:w="780" w:type="dxa"/>
            <w:vAlign w:val="bottom"/>
            <w:shd w:val="clear" w:color="auto" w:fill="CFF0FC"/>
          </w:tcPr>
          <w:p>
            <w:pPr>
              <w:spacing w:after="0"/>
              <w:rPr>
                <w:sz w:val="12"/>
                <w:szCs w:val="12"/>
                <w:color w:val="auto"/>
              </w:rPr>
            </w:pPr>
          </w:p>
        </w:tc>
        <w:tc>
          <w:tcPr>
            <w:tcW w:w="1260" w:type="dxa"/>
            <w:vAlign w:val="bottom"/>
            <w:gridSpan w:val="3"/>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(1,492)</w:t>
            </w: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(12,131)</w:t>
            </w:r>
          </w:p>
        </w:tc>
        <w:tc>
          <w:tcPr>
            <w:tcW w:w="1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(12,131)</w:t>
            </w: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(3,055)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(1,814)</w:t>
            </w:r>
          </w:p>
        </w:tc>
      </w:tr>
      <w:tr>
        <w:trPr>
          <w:trHeight w:val="20"/>
        </w:trPr>
        <w:tc>
          <w:tcPr>
            <w:tcW w:w="4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42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as of December 31, 2024</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91,168</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(19,528)</w:t>
            </w: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9,117</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504,578</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207,662</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(229,717)</w:t>
            </w: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491,640</w:t>
            </w:r>
          </w:p>
        </w:tc>
        <w:tc>
          <w:tcPr>
            <w:tcW w:w="100" w:type="dxa"/>
            <w:vAlign w:val="bottom"/>
            <w:shd w:val="clear" w:color="auto" w:fill="CFF0FC"/>
          </w:tcPr>
          <w:p>
            <w:pPr>
              <w:spacing w:after="0"/>
              <w:rPr>
                <w:sz w:val="12"/>
                <w:szCs w:val="12"/>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24,613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24,613</w:t>
            </w:r>
          </w:p>
        </w:tc>
        <w:tc>
          <w:tcPr>
            <w:tcW w:w="100" w:type="dxa"/>
            <w:vAlign w:val="bottom"/>
          </w:tcPr>
          <w:p>
            <w:pPr>
              <w:spacing w:after="0"/>
              <w:rPr>
                <w:sz w:val="12"/>
                <w:szCs w:val="12"/>
                <w:color w:val="auto"/>
              </w:rPr>
            </w:pPr>
          </w:p>
        </w:tc>
      </w:tr>
      <w:tr>
        <w:trPr>
          <w:trHeight w:val="149"/>
        </w:trPr>
        <w:tc>
          <w:tcPr>
            <w:tcW w:w="4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7,371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7,371</w:t>
            </w:r>
          </w:p>
        </w:tc>
        <w:tc>
          <w:tcPr>
            <w:tcW w:w="100" w:type="dxa"/>
            <w:vAlign w:val="bottom"/>
            <w:shd w:val="clear" w:color="auto" w:fill="CFF0FC"/>
          </w:tcPr>
          <w:p>
            <w:pPr>
              <w:spacing w:after="0"/>
              <w:rPr>
                <w:sz w:val="12"/>
                <w:szCs w:val="12"/>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common stock</w:t>
            </w:r>
          </w:p>
        </w:tc>
        <w:tc>
          <w:tcPr>
            <w:tcW w:w="780" w:type="dxa"/>
            <w:vAlign w:val="bottom"/>
          </w:tcPr>
          <w:p>
            <w:pPr>
              <w:spacing w:after="0"/>
              <w:rPr>
                <w:sz w:val="12"/>
                <w:szCs w:val="12"/>
                <w:color w:val="auto"/>
              </w:rPr>
            </w:pPr>
          </w:p>
        </w:tc>
        <w:tc>
          <w:tcPr>
            <w:tcW w:w="126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(302)</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(2,754)</w:t>
            </w:r>
          </w:p>
        </w:tc>
        <w:tc>
          <w:tcPr>
            <w:tcW w:w="1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(2,754)</w:t>
            </w:r>
          </w:p>
        </w:tc>
      </w:tr>
      <w:tr>
        <w:trPr>
          <w:trHeight w:val="148"/>
        </w:trPr>
        <w:tc>
          <w:tcPr>
            <w:tcW w:w="4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325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(5,128)</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4,231</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(897)</w:t>
            </w:r>
          </w:p>
        </w:tc>
      </w:tr>
      <w:tr>
        <w:trPr>
          <w:trHeight w:val="20"/>
        </w:trPr>
        <w:tc>
          <w:tcPr>
            <w:tcW w:w="420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42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as of December 31, 2025</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91,168</w:t>
            </w:r>
          </w:p>
        </w:tc>
        <w:tc>
          <w:tcPr>
            <w:tcW w:w="220" w:type="dxa"/>
            <w:vAlign w:val="bottom"/>
          </w:tcPr>
          <w:p>
            <w:pPr>
              <w:spacing w:after="0"/>
              <w:rPr>
                <w:sz w:val="12"/>
                <w:szCs w:val="12"/>
                <w:color w:val="auto"/>
              </w:rPr>
            </w:pPr>
          </w:p>
        </w:tc>
        <w:tc>
          <w:tcPr>
            <w:tcW w:w="10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(19,505)</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9,117</w:t>
            </w:r>
          </w:p>
        </w:tc>
        <w:tc>
          <w:tcPr>
            <w:tcW w:w="3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506,821</w:t>
            </w:r>
          </w:p>
        </w:tc>
        <w:tc>
          <w:tcPr>
            <w:tcW w:w="140" w:type="dxa"/>
            <w:vAlign w:val="bottom"/>
          </w:tcPr>
          <w:p>
            <w:pPr>
              <w:spacing w:after="0"/>
              <w:rPr>
                <w:sz w:val="12"/>
                <w:szCs w:val="12"/>
                <w:color w:val="auto"/>
              </w:rPr>
            </w:pP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232,275</w:t>
            </w:r>
          </w:p>
        </w:tc>
        <w:tc>
          <w:tcPr>
            <w:tcW w:w="20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(228,240)  $</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519,973</w:t>
            </w:r>
          </w:p>
        </w:tc>
        <w:tc>
          <w:tcPr>
            <w:tcW w:w="100" w:type="dxa"/>
            <w:vAlign w:val="bottom"/>
          </w:tcPr>
          <w:p>
            <w:pPr>
              <w:spacing w:after="0"/>
              <w:rPr>
                <w:sz w:val="12"/>
                <w:szCs w:val="12"/>
                <w:color w:val="auto"/>
              </w:rPr>
            </w:pPr>
          </w:p>
        </w:tc>
      </w:tr>
      <w:tr>
        <w:trPr>
          <w:trHeight w:val="20"/>
        </w:trPr>
        <w:tc>
          <w:tcPr>
            <w:tcW w:w="4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-1087755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-1087755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-1087755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-1087755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-1087755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-1087755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-128270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-128270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-128270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-128270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-128270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-128270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24,613</w:t>
            </w:r>
          </w:p>
        </w:tc>
        <w:tc>
          <w:tcPr>
            <w:tcW w:w="8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(19,353)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(loss) to net cash</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provided by operating activities: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(6,945)</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4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Depreciation and amortization of property, plant and</w:t>
            </w:r>
          </w:p>
        </w:tc>
        <w:tc>
          <w:tcPr>
            <w:tcW w:w="300" w:type="dxa"/>
            <w:vAlign w:val="bottom"/>
            <w:shd w:val="clear" w:color="auto" w:fill="CFF0FC"/>
          </w:tcPr>
          <w:p>
            <w:pPr>
              <w:spacing w:after="0"/>
              <w:rPr>
                <w:sz w:val="17"/>
                <w:szCs w:val="17"/>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81,930</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equipment</w:t>
            </w:r>
          </w:p>
        </w:tc>
        <w:tc>
          <w:tcPr>
            <w:tcW w:w="300" w:type="dxa"/>
            <w:vAlign w:val="bottom"/>
            <w:shd w:val="clear" w:color="auto" w:fill="CFF0FC"/>
          </w:tcPr>
          <w:p>
            <w:pPr>
              <w:spacing w:after="0"/>
              <w:rPr>
                <w:sz w:val="20"/>
                <w:szCs w:val="20"/>
                <w:color w:val="auto"/>
              </w:rPr>
            </w:pPr>
          </w:p>
        </w:tc>
        <w:tc>
          <w:tcPr>
            <w:tcW w:w="1040" w:type="dxa"/>
            <w:vAlign w:val="bottom"/>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74,478</w:t>
            </w:r>
          </w:p>
        </w:tc>
        <w:tc>
          <w:tcPr>
            <w:tcW w:w="260" w:type="dxa"/>
            <w:vAlign w:val="bottom"/>
            <w:tcBorders>
              <w:right w:val="single" w:sz="8" w:color="CFF0FC"/>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Write-downs of property, plant and equipment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6,434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7,371</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6,607</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short-term investments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(2,289)</w:t>
            </w:r>
          </w:p>
        </w:tc>
        <w:tc>
          <w:tcPr>
            <w:tcW w:w="0" w:type="dxa"/>
            <w:vAlign w:val="bottom"/>
          </w:tcPr>
          <w:p>
            <w:pPr>
              <w:spacing w:after="0"/>
              <w:rPr>
                <w:sz w:val="1"/>
                <w:szCs w:val="1"/>
                <w:color w:val="auto"/>
              </w:rPr>
            </w:pPr>
          </w:p>
        </w:tc>
      </w:tr>
      <w:tr>
        <w:trPr>
          <w:trHeight w:val="198"/>
        </w:trPr>
        <w:tc>
          <w:tcPr>
            <w:tcW w:w="664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Amortization of debt issuance costs, including discounts</w:t>
            </w:r>
          </w:p>
        </w:tc>
        <w:tc>
          <w:tcPr>
            <w:tcW w:w="300" w:type="dxa"/>
            <w:vAlign w:val="bottom"/>
            <w:shd w:val="clear" w:color="auto" w:fill="CFF0FC"/>
          </w:tcPr>
          <w:p>
            <w:pPr>
              <w:spacing w:after="0"/>
              <w:rPr>
                <w:sz w:val="17"/>
                <w:szCs w:val="17"/>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1,562</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and premiums</w:t>
            </w:r>
          </w:p>
        </w:tc>
        <w:tc>
          <w:tcPr>
            <w:tcW w:w="300" w:type="dxa"/>
            <w:vAlign w:val="bottom"/>
            <w:shd w:val="clear" w:color="auto" w:fill="CFF0FC"/>
          </w:tcPr>
          <w:p>
            <w:pPr>
              <w:spacing w:after="0"/>
              <w:rPr>
                <w:sz w:val="20"/>
                <w:szCs w:val="20"/>
                <w:color w:val="auto"/>
              </w:rPr>
            </w:pPr>
          </w:p>
        </w:tc>
        <w:tc>
          <w:tcPr>
            <w:tcW w:w="1040" w:type="dxa"/>
            <w:vAlign w:val="bottom"/>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260" w:type="dxa"/>
            <w:vAlign w:val="bottom"/>
            <w:tcBorders>
              <w:right w:val="single" w:sz="8" w:color="CFF0FC"/>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(gain) on extinguishments of debt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(3,013)</w:t>
            </w: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(8,644)</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provided (used) by changes in assets and liabilities: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(18,552)</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Supplies, prepaid items and other</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(6,447)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(1,215)</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(15,164)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assets and other liabilities</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(1,146)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(7,681)</w:t>
            </w:r>
          </w:p>
        </w:tc>
        <w:tc>
          <w:tcPr>
            <w:tcW w:w="0" w:type="dxa"/>
            <w:vAlign w:val="bottom"/>
          </w:tcPr>
          <w:p>
            <w:pPr>
              <w:spacing w:after="0"/>
              <w:rPr>
                <w:sz w:val="1"/>
                <w:szCs w:val="1"/>
                <w:color w:val="auto"/>
              </w:rPr>
            </w:pPr>
          </w:p>
        </w:tc>
      </w:tr>
      <w:tr>
        <w:trPr>
          <w:trHeight w:val="210"/>
        </w:trPr>
        <w:tc>
          <w:tcPr>
            <w:tcW w:w="6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95,522</w:t>
            </w:r>
          </w:p>
        </w:tc>
        <w:tc>
          <w:tcPr>
            <w:tcW w:w="8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86,576</w:t>
            </w: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137,521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Expenditures for property, plant and equipment</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(77,461)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(92,294)</w:t>
            </w: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(67,603)</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short-term investments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285,006</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310,329</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389,856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(250,521)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(270,912)</w:t>
            </w: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(264,448)</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(203)</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provided by investing activities</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(42,356)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(53,080)</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revolving debt facility</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Payments on revolving debt facility</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Repurchases of 6.25% senior secured notes</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(39,501)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(92,216)</w:t>
            </w: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(114,320)</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Payments on other long-term debt</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(9,274)</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(6,045)</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(9,536)</w:t>
            </w:r>
          </w:p>
        </w:tc>
        <w:tc>
          <w:tcPr>
            <w:tcW w:w="0" w:type="dxa"/>
            <w:vAlign w:val="bottom"/>
          </w:tcPr>
          <w:p>
            <w:pPr>
              <w:spacing w:after="0"/>
              <w:rPr>
                <w:sz w:val="1"/>
                <w:szCs w:val="1"/>
                <w:color w:val="auto"/>
              </w:rPr>
            </w:pPr>
          </w:p>
        </w:tc>
      </w:tr>
      <w:tr>
        <w:trPr>
          <w:trHeight w:val="198"/>
        </w:trPr>
        <w:tc>
          <w:tcPr>
            <w:tcW w:w="66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Payments of debt-related costs, including</w:t>
            </w:r>
          </w:p>
        </w:tc>
        <w:tc>
          <w:tcPr>
            <w:tcW w:w="300" w:type="dxa"/>
            <w:vAlign w:val="bottom"/>
          </w:tcPr>
          <w:p>
            <w:pPr>
              <w:spacing w:after="0"/>
              <w:rPr>
                <w:sz w:val="17"/>
                <w:szCs w:val="17"/>
                <w:color w:val="auto"/>
              </w:rPr>
            </w:pP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extinguishment costs</w:t>
            </w:r>
          </w:p>
        </w:tc>
        <w:tc>
          <w:tcPr>
            <w:tcW w:w="30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(705)</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short-term financing</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14,208</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16,144</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on short-term financing</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(15,668)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(17,396)</w:t>
            </w: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(20,542)</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Acquisition of treasury stock, net</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(2,439)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(11,904)</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(28,305)</w:t>
            </w: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 paid on equity awards</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(2,176)</w:t>
            </w: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(2,666)</w:t>
            </w:r>
          </w:p>
        </w:tc>
        <w:tc>
          <w:tcPr>
            <w:tcW w:w="0" w:type="dxa"/>
            <w:vAlign w:val="bottom"/>
          </w:tcPr>
          <w:p>
            <w:pPr>
              <w:spacing w:after="0"/>
              <w:rPr>
                <w:sz w:val="1"/>
                <w:szCs w:val="1"/>
                <w:color w:val="auto"/>
              </w:rPr>
            </w:pPr>
          </w:p>
        </w:tc>
      </w:tr>
      <w:tr>
        <w:trPr>
          <w:trHeight w:val="210"/>
        </w:trPr>
        <w:tc>
          <w:tcPr>
            <w:tcW w:w="6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provided by financing activities</w:t>
            </w: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(53,885)</w:t>
            </w: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(114,298)</w:t>
            </w: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(157,658)</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(80,802)</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20,230</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101,032</w:t>
            </w:r>
          </w:p>
        </w:tc>
        <w:tc>
          <w:tcPr>
            <w:tcW w:w="26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63,769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19,511</w:t>
            </w:r>
          </w:p>
        </w:tc>
        <w:tc>
          <w:tcPr>
            <w:tcW w:w="8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20,230</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-3077210</wp:posOffset>
            </wp:positionV>
            <wp:extent cx="768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-3077210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-3077210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-2245360</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-2245360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-591185</wp:posOffset>
            </wp:positionV>
            <wp:extent cx="768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-591185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1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Basis of Consolidation </w:t>
      </w:r>
      <w:r>
        <w:rPr>
          <w:rFonts w:ascii="Times New Roman" w:cs="Times New Roman" w:eastAsia="Times New Roman" w:hAnsi="Times New Roman"/>
          <w:sz w:val="18"/>
          <w:szCs w:val="18"/>
          <w:color w:val="auto"/>
        </w:rPr>
        <w:t>– LSB Industries, Inc. (“LSB”) and its subsidiaries (the “Company”, “we”, “us”, or “our”) are consolidated in the accompanying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consolidated financial statements. All material intercompany accounts and transactions have been eliminated. Certain prior period amounts reported in our consolidated financial statements and notes thereto have been reclassified to conform to current period presentation.</w:t>
      </w:r>
    </w:p>
    <w:p>
      <w:pPr>
        <w:spacing w:after="0" w:line="6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Nature of Business </w:t>
      </w:r>
      <w:r>
        <w:rPr>
          <w:rFonts w:ascii="Times New Roman" w:cs="Times New Roman" w:eastAsia="Times New Roman" w:hAnsi="Times New Roman"/>
          <w:sz w:val="18"/>
          <w:szCs w:val="18"/>
          <w:color w:val="auto"/>
        </w:rPr>
        <w:t>– We are engaged in the manufacture and sale of chemical products. The chemical products we primarily manufacture, market and sell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(i) ammonia and urea ammonia nitrate (“UAN”) for agricultural applications, and (ii) high purity and commercial grade ammonia, high purity ammonium nitrate, sulfuric acids, concentrated, blended and regular nitric acid, mixed nitrating acids, carbon dioxide, and industrial grade ammonium nitrate (“LDAN”) and ammonium nitrate (“AN”) solutions for industrial applications. We manufacture and distribute products in four facilities; three of which we own and are located in El Dorado, Arkansas (the “El Dorado Facility”); Cherokee, Alabama (the “Cherokee Facility”); and Pryor, Oklahoma (the “Pryor Facility”); and one of which we operate on behalf of Covestro LLC in Baytown, Texas.</w:t>
      </w:r>
    </w:p>
    <w:p>
      <w:pPr>
        <w:spacing w:after="0" w:line="7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customers include farmers, ranchers, fertilizer dealers and distributors primarily in the ranch land and grain production markets in the United States; industrial users of acids throughout the United States and parts of Canada; and explosives manufacturers in United States and other parts of North America.</w:t>
      </w:r>
    </w:p>
    <w:p>
      <w:pPr>
        <w:spacing w:after="0" w:line="50"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 The preparation of consolidated financial statements in conformity with United States generally accepted accounting principles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Consolidated Statements of Stockholders’ Equity – </w:t>
      </w:r>
      <w:r>
        <w:rPr>
          <w:rFonts w:ascii="Times New Roman" w:cs="Times New Roman" w:eastAsia="Times New Roman" w:hAnsi="Times New Roman"/>
          <w:sz w:val="18"/>
          <w:szCs w:val="18"/>
          <w:color w:val="auto"/>
        </w:rPr>
        <w:t>Amounts disclosed for “Purchase of common stock” represent repurchases of our common stock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open market (see discussion below). Amounts disclosed for “Other” include common stock repurchases for tax withholdings on vesting of equity incentive awards offset by treasury stock issuances under the Employee Stock Purchase Plan. See Note 10 – Employee Savings and Stock Purchase Plans, Collective Bargaining Agreements and Executive Benefit Agreement.</w:t>
      </w:r>
    </w:p>
    <w:p>
      <w:pPr>
        <w:spacing w:after="0" w:line="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Stock Repurchase Program – </w:t>
      </w:r>
      <w:r>
        <w:rPr>
          <w:rFonts w:ascii="Times New Roman" w:cs="Times New Roman" w:eastAsia="Times New Roman" w:hAnsi="Times New Roman"/>
          <w:sz w:val="17"/>
          <w:szCs w:val="17"/>
          <w:color w:val="auto"/>
        </w:rPr>
        <w:t>In May 2023, our Board of Directors (our “Board”) authorized a $150 million stock repurchase program. During 2025, we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repurchased approximately 0.3 million shares of common stock at an average cost of $9.15 per share for a total of $2.8 million, all of which occurred during the fiscal quarter ended December 31, 2025. Total repurchase authority remaining under the repurchase program was $106.6 million as of December 31, 2025. The repurchase program does not have a specified expiration date and may be suspended, terminated or modified at any time for any reason.</w:t>
      </w:r>
    </w:p>
    <w:p>
      <w:pPr>
        <w:spacing w:after="0" w:line="5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Equity Awards </w:t>
      </w:r>
      <w:r>
        <w:rPr>
          <w:rFonts w:ascii="Times New Roman" w:cs="Times New Roman" w:eastAsia="Times New Roman" w:hAnsi="Times New Roman"/>
          <w:sz w:val="18"/>
          <w:szCs w:val="18"/>
          <w:color w:val="auto"/>
        </w:rPr>
        <w:t>– Equity award transactions with employees are measured based on the estimated fair value of the equity awards issued. For equity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only a service condition, the grant date fair value is based on the market price of our common stock and compensation is recognized so long as the service condition is met. For equity awards with a service and performance condition the grant date fair value is based on the market price of our common stock, and compensation is recognized so long as the service condition is met, and it is probable the performance condition will be achieved. For equity awards with a service and market condition, the grant date fair value is based on a Monte Carlo simulation, and compensation cost is recognized so long as the service condition is met without regard to the outcome of the market condition. For equity awards with service conditions that have a graded vesting period, we recognize compensation cost on a straight-line basis over the requisite service period for the entire award. Forfeitures are accounted for as they occur. We may issue new shares of common stock or may use treasury shares to meet the settlement requirements upon vesting of equity awards.</w:t>
      </w:r>
    </w:p>
    <w:p>
      <w:pPr>
        <w:spacing w:after="0" w:line="7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 </w:t>
      </w:r>
      <w:r>
        <w:rPr>
          <w:rFonts w:ascii="Times New Roman" w:cs="Times New Roman" w:eastAsia="Times New Roman" w:hAnsi="Times New Roman"/>
          <w:sz w:val="18"/>
          <w:szCs w:val="18"/>
          <w:color w:val="auto"/>
        </w:rPr>
        <w:t>Investments, which consist of highly liquid investments with original maturities of three months or less, are considered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w:t>
      </w:r>
    </w:p>
    <w:p>
      <w:pPr>
        <w:spacing w:after="0" w:line="4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Short-Term Investments </w:t>
      </w:r>
      <w:r>
        <w:rPr>
          <w:rFonts w:ascii="Times New Roman" w:cs="Times New Roman" w:eastAsia="Times New Roman" w:hAnsi="Times New Roman"/>
          <w:sz w:val="18"/>
          <w:szCs w:val="18"/>
          <w:color w:val="auto"/>
        </w:rPr>
        <w:t>– Investments, which consist of United States treasury securities with remaining maturity at the time of purchase greater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three months but less than 12 months, are considered short-term investments and are classified as Level 1 under the fair value hierarchy. These investments are classified as held to maturity, and we have no intention nor are we required to sell them prior to maturity. United States treasury bills with remaining maturity at the time of purchase of three month or less are included in cash and cash equivalents. Due to the nature of these investments as United States treasury securities, no impairment is anticipated. See “Note 8 – Derivatives, Hedges and Financial Instruments” for more information regarding our short-term investments.</w:t>
      </w:r>
    </w:p>
    <w:p>
      <w:pPr>
        <w:spacing w:after="0" w:line="7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Accounts Receivable </w:t>
      </w:r>
      <w:r>
        <w:rPr>
          <w:rFonts w:ascii="Times New Roman" w:cs="Times New Roman" w:eastAsia="Times New Roman" w:hAnsi="Times New Roman"/>
          <w:sz w:val="18"/>
          <w:szCs w:val="18"/>
          <w:color w:val="auto"/>
        </w:rPr>
        <w:t>– Substantially all of our accounts receivable consists of trade receivables from customers. We have recognized an appropriate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allowance for estimated uncollectible accounts to reflect any estimate of expected credit losses. Our estimate is based on historical experience and periodic assessment, particularly on accounts that are past due (based upon the terms of the sale). Our periodic assessment is based on our best estimate of amounts that are not recoverable which includes a present collectability review</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33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and forward-looking assessment, where applicable. We write off accounts receivable when we deem them uncollectible and record recoveries of accounts receivable previously written off when received.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accounts receivable - allowance for doubtful accounts activity is presented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Charges to</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(Recovery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Write-</w:t>
            </w:r>
          </w:p>
        </w:tc>
        <w:tc>
          <w:tcPr>
            <w:tcW w:w="140" w:type="dxa"/>
            <w:vAlign w:val="bottom"/>
          </w:tcPr>
          <w:p>
            <w:pPr>
              <w:spacing w:after="0"/>
              <w:rPr>
                <w:sz w:val="12"/>
                <w:szCs w:val="12"/>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5700" w:type="dxa"/>
            <w:vAlign w:val="bottom"/>
            <w:vMerge w:val="restart"/>
          </w:tcPr>
          <w:p>
            <w:pPr>
              <w:jc w:val="right"/>
              <w:ind w:right="2255"/>
              <w:spacing w:after="0"/>
              <w:rPr>
                <w:sz w:val="20"/>
                <w:szCs w:val="20"/>
                <w:color w:val="auto"/>
              </w:rPr>
            </w:pPr>
            <w:r>
              <w:rPr>
                <w:rFonts w:ascii="Times New Roman" w:cs="Times New Roman" w:eastAsia="Times New Roman" w:hAnsi="Times New Roman"/>
                <w:sz w:val="14"/>
                <w:szCs w:val="14"/>
                <w:b w:val="1"/>
                <w:bCs w:val="1"/>
                <w:color w:val="auto"/>
              </w:rPr>
              <w:t>Accounts receivable - allowance for doubtful accounts: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offs/Costs</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Incurred</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End of Year</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60" w:type="dxa"/>
            <w:vAlign w:val="bottom"/>
            <w:gridSpan w:val="6"/>
            <w:shd w:val="clear" w:color="auto" w:fill="CFF0FC"/>
          </w:tcPr>
          <w:p>
            <w:pPr>
              <w:jc w:val="right"/>
              <w:ind w:right="10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00" w:type="dxa"/>
            <w:vAlign w:val="bottom"/>
          </w:tcPr>
          <w:p>
            <w:pPr>
              <w:jc w:val="right"/>
              <w:ind w:right="5135"/>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tcPr>
          <w:p>
            <w:pPr>
              <w:jc w:val="right"/>
              <w:ind w:right="5135"/>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tcPr>
          <w:p>
            <w:pPr>
              <w:jc w:val="right"/>
              <w:ind w:right="5135"/>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Credit is extended to customers based on an evaluation of the customer’s financial condition and other factors. Customer payments are generally due 30 to 60 days after the invoice date. Concentrations of credit risk with respect to trade receivables are monitored and this risk is reduced due to short-term payment terms relating to most of our significant customers. Four customers (including their affiliates) accounted for approximately 34% of our total net receivables as of December 31, 2025.</w:t>
      </w:r>
    </w:p>
    <w:p>
      <w:pPr>
        <w:spacing w:after="0" w:line="68"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Inventories </w:t>
      </w:r>
      <w:r>
        <w:rPr>
          <w:rFonts w:ascii="Times New Roman" w:cs="Times New Roman" w:eastAsia="Times New Roman" w:hAnsi="Times New Roman"/>
          <w:sz w:val="18"/>
          <w:szCs w:val="18"/>
          <w:color w:val="auto"/>
        </w:rPr>
        <w:t>– Inventories are stated at the lower of cost (determined using the first-in, first-out basis) or net realizable value, which is the estimated selling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prices in the ordinary course of business, less reasonably predictable costs of completion, transportation or disposal. Finished goods include material, labor, and manufacturing overhead costs.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reserves associated with cost exceeding net realizable value were not material as of December 31, 2025 and 2024.</w:t>
      </w:r>
    </w:p>
    <w:p>
      <w:pPr>
        <w:spacing w:after="0" w:line="11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Property, Plant and Equipment </w:t>
      </w:r>
      <w:r>
        <w:rPr>
          <w:rFonts w:ascii="Times New Roman" w:cs="Times New Roman" w:eastAsia="Times New Roman" w:hAnsi="Times New Roman"/>
          <w:sz w:val="18"/>
          <w:szCs w:val="18"/>
          <w:color w:val="auto"/>
        </w:rPr>
        <w:t>– Property, plant and equipment (“PP&amp;E”) are stated at cost or fair market value in the case of assets acquired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acquisitions, or otherwise at reduced values to the extent there have been asset impairment write-downs, net of accumulated depreciation and amortization. Major renewals and improvements that increase the life, value, or productive capacity of assets are capitalized in PP&amp;E while maintenance, repairs and minor renewals, including planned maintenance turnarounds, are expensed as incurred. Interest cost related to the construction of qualifying assets is capitalized as part of the construction costs.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financial reporting purposes, depreciation of the costs of PP&amp;E is computed using the straight-line method over the estimated useful lives of the assets. No provision for depreciation is made on construction in progress or capital spare parts until such time as the relevant assets are put into service. Depreciation expense is recognized in cost of sales or selling, general and administrative expenses within the consolidated statements of operations consistent with the utilization of the underlying assets.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PP&amp;E is retired, sold, or otherwise disposed, the asset’s carrying amount and related accumulated depreciation and amortization is removed from the accounts and any gain or loss is included in other (income) expense, net in our consolidated statements of operations.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leases are included in operating lease assets, accrued and other liabilities and noncurrent operating lease liabilities in our consolidated balance sheets. Financing leases are included in property, plant and equipment, current portion of long-term debt, and long-term debt, net, in our consolidated balance sheets.</w:t>
      </w:r>
    </w:p>
    <w:p>
      <w:pPr>
        <w:spacing w:after="0" w:line="6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Impairment of Long-Lived Assets </w:t>
      </w:r>
      <w:r>
        <w:rPr>
          <w:rFonts w:ascii="Times New Roman" w:cs="Times New Roman" w:eastAsia="Times New Roman" w:hAnsi="Times New Roman"/>
          <w:sz w:val="18"/>
          <w:szCs w:val="18"/>
          <w:color w:val="auto"/>
        </w:rPr>
        <w:t>– Long-lived assets are reviewed for impairment whenever events or changes in circumstances indicate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carrying amount of an asset (asset group) may not be recoverable. An asset’s fair value must be determined when the carrying amount of an asset (asset group) exceeds the estimated undiscounted future cash flows expected to result from the use of the asset (asset group) and/or its eventual disposition. If assets to be held and used are considered to be impaired, the impairment to be recognized is the amount by which the carrying amounts of the assets exceed the fair values of the assets as measured by the present value of future net cash flows expected to be generated by the assets or their appraised value. In general, our asset groups are reviewed for impairment on a facility-by-facility basis (such as the Cherokee, El Dorado or Pryor Facility) unless it is determined that the asset being evaluated will generate cash flows that are independent from the rest of the facility.</w:t>
      </w:r>
    </w:p>
    <w:p>
      <w:pPr>
        <w:spacing w:after="0" w:line="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if the event or change in circumstance relates to the probable sale of an asset (or group of assets), the specific asset (or group of assets) is reviewed for impairment.</w:t>
      </w:r>
    </w:p>
    <w:p>
      <w:pPr>
        <w:spacing w:after="0" w:line="5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2025, 2024 and 2023, we recorded asset write-downs of $6.4 million, $11.7 million and $3.6 million, respectively. Included in the write-down for 2025 was a $1.5 million impairment on a parcel of land for which we are currently in negotiations to sell. The remaining write-downs for 2025, 2024 and for 2023 were primarily related to assets sold or no longer in use. These write-downs are included in other expense (income), net on our consolidated statements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Assets Held For Sale </w:t>
      </w:r>
      <w:r>
        <w:rPr>
          <w:rFonts w:ascii="Times New Roman" w:cs="Times New Roman" w:eastAsia="Times New Roman" w:hAnsi="Times New Roman"/>
          <w:sz w:val="18"/>
          <w:szCs w:val="18"/>
          <w:color w:val="auto"/>
        </w:rPr>
        <w:t>– In general, assets held for sale are reported at the lower of the carrying amounts of the assets or fair values less costs to sell.</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third quarter of 2025, we entered into purchase and sale agreements for the disposition of real estate and tangible property for two former agricultural retail locations that had ceased operations. We closed on the sale of the first location on October 20, 2025, and closed on the sale of the second location on February 2, 2026. The aggregate purchase price for the real estate and tangible personal property at both locations is approximately $4.2 million.</w:t>
      </w:r>
    </w:p>
    <w:p>
      <w:pPr>
        <w:spacing w:after="0" w:line="7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December 2025, we received an offer with respect to another parcel of land we own, for which we are currently negotiating a purchase and sale agreement. As the offer price was less than the carrying value of the land at the time, we recorded an impairment as discussed in the preceding paragraph.</w:t>
      </w:r>
    </w:p>
    <w:p>
      <w:pPr>
        <w:spacing w:after="0" w:line="5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Assets classified as held for sale on the consolidated balance sheet as of December 31, 2025, reflect the net book values of the second agricultural retail location that did not close until 2026 and the parcel of land for which a sale is pending.</w:t>
      </w:r>
    </w:p>
    <w:p>
      <w:pPr>
        <w:spacing w:after="0" w:line="5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 We determine if an arrangement is a lease at inception or modification of a contract and classify each lease as either an operating or finance 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the terms of the contract. We reassess lease classification subsequent to commencement upon a change to the expected lease term or a modification to the contract. A contract contains a lease if the contract conveys the right to control the use of the identified property or equipment, explicitly or implicitly, for a period of time in exchange for consideration. Control of an underlying asset is conveyed if we obtain the rights to direct the use of and obtain substantially all of the economic benefit from the use of the underlying asset.</w:t>
      </w:r>
    </w:p>
    <w:p>
      <w:pPr>
        <w:spacing w:after="0" w:line="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An operating lease asset represents our right to use the underlying asset as a lessee for the lease term and an operating lease liability represents our obligation to make lease payments arising from the lease. Currently, most of our leases are classified as operating leases and primarily relate to railcars, other equipment and office space. Our leases that are classified as finance leases primarily relate to railcars. Variable payments are excluded from the present value of lease payments and are recognized in the period in which the payment is made. We apply a practical expedient to include non-lease components in calculating the right of use asset and lease liability. Our current leases do not contain residual value guarantees. Most of our leases do not include options to extend or terminate the lease prior to the end of the term. Leases with a term of 12 months or less are not recognized in the balance sheet.</w:t>
      </w:r>
    </w:p>
    <w:p>
      <w:pPr>
        <w:spacing w:after="0" w:line="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Since our leases generally do not provide an implicit rate, we use our incremental borrowing rate based on the lease term and other information available at the commencement date in determining the present value of lease payments. Lease expense is recognized on a straight-line basis over the applicable lease term.</w:t>
      </w:r>
    </w:p>
    <w:p>
      <w:pPr>
        <w:spacing w:after="0" w:line="6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Concentration of Credit Risks for Cash and Cash Equivalents </w:t>
      </w:r>
      <w:r>
        <w:rPr>
          <w:rFonts w:ascii="Times New Roman" w:cs="Times New Roman" w:eastAsia="Times New Roman" w:hAnsi="Times New Roman"/>
          <w:sz w:val="18"/>
          <w:szCs w:val="18"/>
          <w:color w:val="auto"/>
        </w:rPr>
        <w:t>– Financial instruments relating to cash and cash equivalents potentially subject us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concentrations of credit risk. These financial instruments are held by financial institutions within the United States.</w:t>
      </w:r>
    </w:p>
    <w:p>
      <w:pPr>
        <w:spacing w:after="0" w:line="4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Short-Term Financing </w:t>
      </w:r>
      <w:r>
        <w:rPr>
          <w:rFonts w:ascii="Times New Roman" w:cs="Times New Roman" w:eastAsia="Times New Roman" w:hAnsi="Times New Roman"/>
          <w:sz w:val="18"/>
          <w:szCs w:val="18"/>
          <w:color w:val="auto"/>
        </w:rPr>
        <w:t>– Our short-term financing represents the short-term note related to financing of our insurance premiums, which are renewed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annually.</w:t>
      </w:r>
    </w:p>
    <w:p>
      <w:pPr>
        <w:spacing w:after="0" w:line="4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Income Taxes – </w:t>
      </w:r>
      <w:r>
        <w:rPr>
          <w:rFonts w:ascii="Times New Roman" w:cs="Times New Roman" w:eastAsia="Times New Roman" w:hAnsi="Times New Roman"/>
          <w:sz w:val="18"/>
          <w:szCs w:val="18"/>
          <w:color w:val="auto"/>
        </w:rPr>
        <w:t>Income taxes are accounted for under the asset and liability method. Deferred tax assets and liabilities are measured using enacted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rates expected to apply to taxable income in the years in which those differences are expected to be recovered or settled. The effect on deferred tax assets and liabilities of a change in tax rates is recognized in the statement of operations in the period that includes the enactment date. We establish valuation allowances if we believe it is more-likely-than-not that some or all of deferred tax assets will not be realized. Significant judgment is applied in evaluating the need for and the magnitude of appropriate valuation allowances against deferred tax assets.</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we do not recognize a tax benefit unless we conclude that it is more likely than not that the benefit will be sustained on audit by the relevant taxing authorities based solely on the technical merits of the associated tax position. If the recognition threshold is met, we recognize a tax benefit measured at the largest amount of the tax benefit that, in our judgment, is greater than 50% likely to be realized. We record interest related to unrecognized tax positions in interest expense and penalties in operating other expense.</w:t>
      </w:r>
    </w:p>
    <w:p>
      <w:pPr>
        <w:spacing w:after="0" w:line="7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Income tax benefits associated with amounts that are deductible for income tax purposes are recorded through the consolidated statement of operations. These benefits are principally generated from the vesting of restricted stock. We reduce income tax expense for investment tax credits in the period the credit arises and is earned.</w:t>
      </w:r>
    </w:p>
    <w:p>
      <w:pPr>
        <w:spacing w:after="0" w:line="6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Contingencies </w:t>
      </w:r>
      <w:r>
        <w:rPr>
          <w:rFonts w:ascii="Times New Roman" w:cs="Times New Roman" w:eastAsia="Times New Roman" w:hAnsi="Times New Roman"/>
          <w:sz w:val="18"/>
          <w:szCs w:val="18"/>
          <w:color w:val="auto"/>
        </w:rPr>
        <w:t>– Certain conditions may exist which may result in a loss, but which will only be resolved when future events occur. We assess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contingent liabilities, and such assessment inherently involves an exercise of judgment. If the assessment of a contingency indicates that it is probable that a loss has been incurred, we accrue for such contingent loss when such loss can be reasonably estimated. If the assessment indicates that a potentially material loss contingency is not probable but reasonably possible, or is probable but cannot be estimated, the nature of the contingent liability, together with an estimate of the range of possible loss if</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9" w:name="page60"/>
    <w:bookmarkEnd w:id="59"/>
    <w:p>
      <w:pPr>
        <w:jc w:val="center"/>
        <w:ind w:right="-5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33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when the contingencies have been resolved (generally at the time a settlement has been reached).</w:t>
      </w:r>
    </w:p>
    <w:p>
      <w:pPr>
        <w:spacing w:after="0" w:line="6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Asset Retirement Obligations </w:t>
      </w:r>
      <w:r>
        <w:rPr>
          <w:rFonts w:ascii="Times New Roman" w:cs="Times New Roman" w:eastAsia="Times New Roman" w:hAnsi="Times New Roman"/>
          <w:sz w:val="18"/>
          <w:szCs w:val="18"/>
          <w:color w:val="auto"/>
        </w:rPr>
        <w:t>– In general, we record the estimated fair value of an asset retirement obligation (“ARO”) associated with tangible long-lived assets in the period it is incurred and when there is sufficient information available to estimate the fair value. An ARO associated with long-lived assets is a legal obligation under existing or enacted law, statute, written or oral contract or legal construction. We do not have any assets restricted for the purpose of settling our AROs. As of December 31, 2025 and 2024, our recognized AROs obligations were not material.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 and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Performance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determine revenue recognition through the following steps:</w:t>
      </w:r>
    </w:p>
    <w:p>
      <w:pPr>
        <w:spacing w:after="0" w:line="50"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a performance obligation.</w:t>
      </w:r>
    </w:p>
    <w:p>
      <w:pPr>
        <w:spacing w:after="0" w:line="1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A contract’s transaction price is allocated to each distinct performance obligation and recognized as revenue when, or as, the performance obligation is satisfied. Generally, satisfaction occurs when control of the promised goods is transferred to the customer or as services are rendered or completed in exchange for consideration in an amount for which we expect to be entitled. We generally determine transfer of control based on when risk of loss is transferred, which could occur upon loading for transport at our facility or when the product reaches the buyer's destination. Most of our contracts contain a single performance obligation with the promise to transfer a specific product.</w:t>
      </w:r>
    </w:p>
    <w:p>
      <w:pPr>
        <w:spacing w:after="0" w:line="7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Performance obligations from product sales are satisfied at a point in time, however, we have certain performance obligations to perform certain services that are satisfied over a period of time. Revenue is recognized from this type of performance obligation as services are rendered and are based on the amount for which we have a right to invoice, which reflects the amount of expected consideration that corresponds directly with the value of the services performed.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Constraints and Variable Consideration</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long term contracts, which are generally for periods of one year or greater, may contain terms with variable consideration related to both price and quantity. These contract prices are often based on published commodity prices (such as NYMEX natural gas price or the Tampa ammonia benchmark price) and the contract quantities are typically based on estimated ranges. The quantities become fixed and determinable over a period of time as each sale order is received from the customer.</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nature of our contracts also gives rise to other types of variable consideration, including volume discounts and rebates, make-whole provisions, other pricing concessions, short-fall charges and storage charges. We estimate these amounts based on the expected amount to be received from or provided to customers, which results in a transaction price adjustment increasing or decreasing revenue (net sales) when it is more likely than not that such adjustments will not be reversed. These estimates are based on historical experience, anticipated performance and our best judgment at the time. We reassess these estimates on a quarterly basis.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60" w:name="page61"/>
    <w:bookmarkEnd w:id="60"/>
    <w:p>
      <w:pPr>
        <w:jc w:val="center"/>
        <w:ind w:right="-3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33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aforementioned constraints over transaction prices in conjunction with the variable consideration included in our material contracts prevent a practical assignment of a specific dollar amount to performance obligations at the beginning and end of the period. Therefore, we have applied the variable consideration allocation exception.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Practical Expedients and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applied the following practical expedients and policy elections:</w:t>
      </w:r>
    </w:p>
    <w:p>
      <w:pPr>
        <w:spacing w:after="0" w:line="50" w:lineRule="exact"/>
        <w:rPr>
          <w:sz w:val="20"/>
          <w:szCs w:val="20"/>
          <w:color w:val="auto"/>
        </w:rPr>
      </w:pPr>
    </w:p>
    <w:p>
      <w:pPr>
        <w:ind w:left="1020" w:right="70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recognize revenue in the amount we have the right to invoice relating to certain services that are performed for customers and not disclosing the value of unsatisfied performance obligations related to such services;</w:t>
      </w: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disclosing the value of unsatisfied performance obligations for contracts with an original expected duration of one year or less;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as incurred any incremental costs of obtaining a contract if the associated period of benefit is one year or less;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 from the measurement of the transaction price all taxes assessed by a governmental authority; and</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for shipping and handling as activities to fulfill the promise to transfer the good.</w:t>
      </w:r>
    </w:p>
    <w:p>
      <w:pPr>
        <w:spacing w:after="0" w:line="113"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Cost of Sales </w:t>
      </w:r>
      <w:r>
        <w:rPr>
          <w:rFonts w:ascii="Times New Roman" w:cs="Times New Roman" w:eastAsia="Times New Roman" w:hAnsi="Times New Roman"/>
          <w:sz w:val="18"/>
          <w:szCs w:val="18"/>
          <w:color w:val="auto"/>
        </w:rPr>
        <w:t>– Cost of sales includes materials, labor and overhead costs, including depreciation, to manufacture the products sold plus inbound freight,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purchasing and receiving costs, inspection costs, internal transfer costs, loading and handling costs, warehousing costs, railcar lease costs and outbound freight. Precious metals used as a catalyst and consumed during the manufacturing process are included in cost of sales. Recoveries and gains from precious metals and business interruption insurance claims, if any, are reductions to cost of sales.</w:t>
      </w:r>
    </w:p>
    <w:p>
      <w:pPr>
        <w:spacing w:after="0" w:line="7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Turnarounds represent major maintenance activities that require the shutdown of significant parts of a plant to perform necessary inspections, cleanings, repairs, and replacements of assets. Maintenance, repairs and minor renewal costs relating to turnarounds are included in cost of sales in our consolidated statements of operations as they are incurred. Planned turnaround activities vary in frequency, but generally occur every two to three years.</w:t>
      </w:r>
    </w:p>
    <w:p>
      <w:pPr>
        <w:spacing w:after="0" w:line="64"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Expense </w:t>
      </w:r>
      <w:r>
        <w:rPr>
          <w:rFonts w:ascii="Times New Roman" w:cs="Times New Roman" w:eastAsia="Times New Roman" w:hAnsi="Times New Roman"/>
          <w:sz w:val="18"/>
          <w:szCs w:val="18"/>
          <w:color w:val="auto"/>
        </w:rPr>
        <w:t>– Selling, general and administrative expense includes costs associated with the sales, marketing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functions. Such costs include personnel costs, including benefits, professional fees, office and occupancy costs associated with the sales, marketing and administrative functions. Also included in selling, general and administrative expense are any distribution fees paid to third parties to distribute our products.</w:t>
      </w:r>
    </w:p>
    <w:p>
      <w:pPr>
        <w:spacing w:after="0" w:line="6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Derivatives and Fair Value </w:t>
      </w:r>
      <w:r>
        <w:rPr>
          <w:rFonts w:ascii="Times New Roman" w:cs="Times New Roman" w:eastAsia="Times New Roman" w:hAnsi="Times New Roman"/>
          <w:sz w:val="18"/>
          <w:szCs w:val="18"/>
          <w:color w:val="auto"/>
        </w:rPr>
        <w:t>– In order to mitigate a portion of the commodity price risk associated with natural gas, which we utilize in our manufacturing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 we periodically enter into natural gas forward contracts or volume purchase commitments. Such contracts are required to be accounted for as derivatives under applicable accounting guidance unless they are eligible for and we elect the normal purchase normal sale (“NPNS”) exception. We are eligible for the NPNS exception when these contracts provide for the purchase of natural gas that will be delivered in quantities expected to be used over a reasonable period of time in the normal course of business and are documented as such. In general, we have elected the NPNS exception for all such contracts instead of applying derivative accounting to them.</w:t>
      </w:r>
    </w:p>
    <w:p>
      <w:pPr>
        <w:spacing w:after="0" w:line="7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using the following hierarchy, which is based upon the transparency of inputs to the valuation as of the measurement date:</w:t>
      </w:r>
    </w:p>
    <w:p>
      <w:pPr>
        <w:spacing w:after="0" w:line="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Valuations of contracts classified as Level 1 are based on quoted prices in active markets for identical contracts.</w:t>
      </w:r>
    </w:p>
    <w:p>
      <w:pPr>
        <w:spacing w:after="0" w:line="117" w:lineRule="exact"/>
        <w:rPr>
          <w:sz w:val="20"/>
          <w:szCs w:val="20"/>
          <w:color w:val="auto"/>
        </w:rPr>
      </w:pPr>
    </w:p>
    <w:p>
      <w:pPr>
        <w:ind w:left="380"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Valuations of contracts classified as Level 2 are based on quoted prices for similar contracts and valuation inputs other than quoted prices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are observable for these contracts.</w:t>
      </w:r>
    </w:p>
    <w:p>
      <w:pPr>
        <w:spacing w:after="0" w:line="47" w:lineRule="exact"/>
        <w:rPr>
          <w:sz w:val="20"/>
          <w:szCs w:val="20"/>
          <w:color w:val="auto"/>
        </w:rPr>
      </w:pPr>
    </w:p>
    <w:p>
      <w:pPr>
        <w:ind w:left="380" w:right="7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Valuations of assets and liabilities classified as Level 3 are based on prices or valuation techniques that require inputs that are both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unobservable and significant to the overall fair value measurement.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1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ASU 2023-09 </w:t>
      </w:r>
      <w:r>
        <w:rPr>
          <w:rFonts w:ascii="Times New Roman" w:cs="Times New Roman" w:eastAsia="Times New Roman" w:hAnsi="Times New Roman"/>
          <w:sz w:val="18"/>
          <w:szCs w:val="18"/>
          <w:color w:val="auto"/>
        </w:rPr>
        <w:t>- In December 2023, the Financial Accounting Standards Board (the “FASB”) issued Accounting Standards Update (“ASU”) 2023-09,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focuses on income tax disclosures around effective tax rates and cash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paid. This ASU is to be applied prospectively, with the option to apply the standard retrospectively, for annual periods beginning after December 15, 2024. We adopted this ASU effective December 31, 2025 on a retrospective basis for all prior periods presented in the financial statements with no impacts to our financial condition and results of operations. We do not consider the impact of this update to be material as the improvements are enhancements to existing disclosures in the financial statements.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ASU 2024-03 - </w:t>
      </w:r>
      <w:r>
        <w:rPr>
          <w:rFonts w:ascii="Times New Roman" w:cs="Times New Roman" w:eastAsia="Times New Roman" w:hAnsi="Times New Roman"/>
          <w:sz w:val="18"/>
          <w:szCs w:val="18"/>
          <w:color w:val="auto"/>
        </w:rPr>
        <w:t>In November 2024, the FASB issued ASU 2024-03,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Income Statement – Reporting Comprehensive Income – Expense Disaggregation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Disclosures (Subtopic 220-40): Disaggregation of Income Statement Expenses</w:t>
      </w:r>
      <w:r>
        <w:rPr>
          <w:rFonts w:ascii="Times New Roman" w:cs="Times New Roman" w:eastAsia="Times New Roman" w:hAnsi="Times New Roman"/>
          <w:sz w:val="18"/>
          <w:szCs w:val="18"/>
          <w:color w:val="auto"/>
        </w:rPr>
        <w:t>. This ASU requires an entity to disclose the amounts of purchases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employee compensation, depreciation, and intangible asset amortization included in each relevant expense caption. It also requires an entity to include certain amounts that are already required to be disclosed under current U.S. GAAP in the same disclosure. Additionally, it requires an entity to disclose a qualitative description of the amounts remaining in relevant expense captions that are not separately disaggregated quantitatively, and to disclose the total amount of selling expenses and, in annual reporting periods, an entity’s definition of selling expenses. The amendments in the ASU are effective for annual reporting periods beginning after December 15, 2026 and interim reporting periods beginning after December 15, 2027, with early adoption permitted. An entity may apply the amendments prospectively for reporting periods after the effective date or retrospectively to any or all prior periods presented in the financial statements. While we are currently evaluating the effect of adopting this ASU on the disclosures in our financial statements, we do not expect this ASU to impact our financial condition and results of operations.</w:t>
      </w:r>
    </w:p>
    <w:p>
      <w:pPr>
        <w:spacing w:after="0" w:line="7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ASU 2025-05 - </w:t>
      </w:r>
      <w:r>
        <w:rPr>
          <w:rFonts w:ascii="Times New Roman" w:cs="Times New Roman" w:eastAsia="Times New Roman" w:hAnsi="Times New Roman"/>
          <w:sz w:val="18"/>
          <w:szCs w:val="18"/>
          <w:color w:val="auto"/>
        </w:rPr>
        <w:t>In July 2025, the FASB issued ASU 2025-05,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Financial Instruments—Credit Losses (Topic 326): Measurements of Credit Losses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Accounts Receivable and Contract Assets </w:t>
      </w:r>
      <w:r>
        <w:rPr>
          <w:rFonts w:ascii="Times New Roman" w:cs="Times New Roman" w:eastAsia="Times New Roman" w:hAnsi="Times New Roman"/>
          <w:sz w:val="18"/>
          <w:szCs w:val="18"/>
          <w:color w:val="auto"/>
        </w:rPr>
        <w:t>(“ASU 20025-05”). The amendments in this ASU provide a practical expedient related to the estimation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credit losses for current accounts receivable and current contract assets that arise from our sales transactions. The practical expedient permits us to assume current conditions as of the balance sheet date that do not change for the remaining life of the current accounts receivable and current contract assets. If the practical expedient is chosen, the ASU provides an accounting policy election allowing us to consider cash collection activity after the balance sheet date when estimating expected credit losses. ASU 2025-05 is effective for us beginning in the fiscal year ending December 31, 2026. While we are currently evaluating the effect of adopting this ASU on the disclosures in our financial statements, we do not expect this ASU to have a material impact on our financial condition and results of operations.</w:t>
      </w:r>
    </w:p>
    <w:p>
      <w:pPr>
        <w:spacing w:after="0" w:line="77"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ASU 2025-11 - </w:t>
      </w:r>
      <w:r>
        <w:rPr>
          <w:rFonts w:ascii="Times New Roman" w:cs="Times New Roman" w:eastAsia="Times New Roman" w:hAnsi="Times New Roman"/>
          <w:sz w:val="18"/>
          <w:szCs w:val="18"/>
          <w:color w:val="auto"/>
        </w:rPr>
        <w:t>In December 2025, the FASB issued ASU 2025-11,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update provides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clarifications intended to improve the consistency and usability of interim disclosure requirements, including a comprehensive listing of required interim disclosures and a new disclosure principle for reporting material events occurring after the most recent annual period. The amendments do not change the underlying objectives of interim reporting but are designed to enhance clarity in application. The guidance is effective for us beginning in the fiscal year ending December 31, 2027, including interim periods within those fiscal years. While we are currently evaluating the effect of adopting this ASU on the disclosures in our financial statements, we do not expect this ASU to impact our financial condition and results of operations.</w:t>
      </w:r>
    </w:p>
    <w:p>
      <w:pPr>
        <w:spacing w:after="0" w:line="7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Changes to U.S. GAAP are established by the FASB in the form of ASUs to the FASB’s Accounting Standards Codification. We considered all ASUs issued and outstanding or that became effective since January 1, 2025 through the date of these financial statements and determined them not to be applicable or materially impact our financial statements other than those ASUs specifically addressed above.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Net Income (Loss) per Common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(loss) per common share: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20" w:type="dxa"/>
            <w:vAlign w:val="bottom"/>
            <w:gridSpan w:val="8"/>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7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0" w:type="dxa"/>
            <w:vAlign w:val="bottom"/>
            <w:gridSpan w:val="2"/>
          </w:tcPr>
          <w:p>
            <w:pPr>
              <w:jc w:val="right"/>
              <w:ind w:right="662"/>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24,613</w:t>
            </w:r>
          </w:p>
        </w:tc>
        <w:tc>
          <w:tcPr>
            <w:tcW w:w="44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(19,353)</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27,923</w:t>
            </w: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Numerator for basic and diluted net income (loss) per common share</w:t>
            </w:r>
          </w:p>
        </w:tc>
        <w:tc>
          <w:tcPr>
            <w:tcW w:w="780" w:type="dxa"/>
            <w:vAlign w:val="bottom"/>
          </w:tcPr>
          <w:p>
            <w:pPr>
              <w:spacing w:after="0"/>
              <w:rPr>
                <w:sz w:val="18"/>
                <w:szCs w:val="18"/>
                <w:color w:val="auto"/>
              </w:rPr>
            </w:pPr>
          </w:p>
        </w:tc>
        <w:tc>
          <w:tcPr>
            <w:tcW w:w="82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6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Denominator for basic net income (loss) per common</w:t>
            </w:r>
          </w:p>
        </w:tc>
        <w:tc>
          <w:tcPr>
            <w:tcW w:w="7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71,891</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share - weighted- average shares</w:t>
            </w:r>
          </w:p>
        </w:tc>
        <w:tc>
          <w:tcPr>
            <w:tcW w:w="7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660" w:type="dxa"/>
            <w:vAlign w:val="bottom"/>
            <w:gridSpan w:val="2"/>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71,971</w:t>
            </w: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74,536</w:t>
            </w:r>
          </w:p>
        </w:tc>
        <w:tc>
          <w:tcPr>
            <w:tcW w:w="0" w:type="dxa"/>
            <w:vAlign w:val="bottom"/>
          </w:tcPr>
          <w:p>
            <w:pPr>
              <w:spacing w:after="0"/>
              <w:rPr>
                <w:sz w:val="1"/>
                <w:szCs w:val="1"/>
                <w:color w:val="auto"/>
              </w:rPr>
            </w:pPr>
          </w:p>
        </w:tc>
      </w:tr>
      <w:tr>
        <w:trPr>
          <w:trHeight w:val="216"/>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Unvested restricted stock and stock units</w:t>
            </w:r>
          </w:p>
        </w:tc>
        <w:tc>
          <w:tcPr>
            <w:tcW w:w="7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470</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09"/>
        </w:trPr>
        <w:tc>
          <w:tcPr>
            <w:tcW w:w="5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780" w:type="dxa"/>
            <w:vAlign w:val="bottom"/>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860" w:type="dxa"/>
            <w:vAlign w:val="bottom"/>
            <w:shd w:val="clear" w:color="auto" w:fill="CFF0FC"/>
          </w:tcPr>
          <w:p>
            <w:pPr>
              <w:ind w:left="120"/>
              <w:spacing w:after="0" w:line="191" w:lineRule="exact"/>
              <w:rPr>
                <w:sz w:val="20"/>
                <w:szCs w:val="20"/>
                <w:color w:val="auto"/>
              </w:rPr>
            </w:pPr>
            <w:r>
              <w:rPr>
                <w:rFonts w:ascii="Times New Roman" w:cs="Times New Roman" w:eastAsia="Times New Roman" w:hAnsi="Times New Roman"/>
                <w:sz w:val="18"/>
                <w:szCs w:val="18"/>
                <w:color w:val="auto"/>
              </w:rPr>
              <w:t>Denominator for diluted net income (loss) per common</w:t>
            </w:r>
          </w:p>
        </w:tc>
        <w:tc>
          <w:tcPr>
            <w:tcW w:w="7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6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72,361</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71,971</w:t>
            </w:r>
          </w:p>
        </w:tc>
        <w:tc>
          <w:tcPr>
            <w:tcW w:w="1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9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75,100</w:t>
            </w:r>
          </w:p>
        </w:tc>
        <w:tc>
          <w:tcPr>
            <w:tcW w:w="0" w:type="dxa"/>
            <w:vAlign w:val="bottom"/>
          </w:tcPr>
          <w:p>
            <w:pPr>
              <w:spacing w:after="0"/>
              <w:rPr>
                <w:sz w:val="1"/>
                <w:szCs w:val="1"/>
                <w:color w:val="auto"/>
              </w:rPr>
            </w:pPr>
          </w:p>
        </w:tc>
      </w:tr>
      <w:tr>
        <w:trPr>
          <w:trHeight w:val="234"/>
        </w:trPr>
        <w:tc>
          <w:tcPr>
            <w:tcW w:w="5860" w:type="dxa"/>
            <w:vAlign w:val="bottom"/>
            <w:shd w:val="clear" w:color="auto" w:fill="CFF0FC"/>
          </w:tcPr>
          <w:p>
            <w:pPr>
              <w:ind w:left="260"/>
              <w:spacing w:after="0" w:line="194" w:lineRule="exact"/>
              <w:rPr>
                <w:sz w:val="20"/>
                <w:szCs w:val="20"/>
                <w:color w:val="auto"/>
              </w:rPr>
            </w:pPr>
            <w:r>
              <w:rPr>
                <w:rFonts w:ascii="Times New Roman" w:cs="Times New Roman" w:eastAsia="Times New Roman" w:hAnsi="Times New Roman"/>
                <w:sz w:val="18"/>
                <w:szCs w:val="18"/>
                <w:color w:val="auto"/>
              </w:rPr>
              <w:t>share - adjusted weighted-average shares</w:t>
            </w:r>
          </w:p>
        </w:tc>
        <w:tc>
          <w:tcPr>
            <w:tcW w:w="7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660" w:type="dxa"/>
            <w:vAlign w:val="bottom"/>
            <w:gridSpan w:val="2"/>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60" w:type="dxa"/>
            <w:vAlign w:val="bottom"/>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6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60" w:type="dxa"/>
            <w:vAlign w:val="bottom"/>
            <w:tcBorders>
              <w:top w:val="single" w:sz="8" w:color="CFF0FC"/>
            </w:tcBorders>
          </w:tcPr>
          <w:p>
            <w:pPr>
              <w:spacing w:after="0"/>
              <w:rPr>
                <w:sz w:val="17"/>
                <w:szCs w:val="17"/>
                <w:color w:val="auto"/>
              </w:rPr>
            </w:pPr>
          </w:p>
        </w:tc>
        <w:tc>
          <w:tcPr>
            <w:tcW w:w="780" w:type="dxa"/>
            <w:vAlign w:val="bottom"/>
            <w:tcBorders>
              <w:top w:val="single" w:sz="8" w:color="CFF0F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net income (loss) per common share</w:t>
            </w:r>
          </w:p>
        </w:tc>
        <w:tc>
          <w:tcPr>
            <w:tcW w:w="1600" w:type="dxa"/>
            <w:vAlign w:val="bottom"/>
            <w:gridSpan w:val="2"/>
            <w:shd w:val="clear" w:color="auto" w:fill="CFF0FC"/>
          </w:tcPr>
          <w:p>
            <w:pPr>
              <w:jc w:val="right"/>
              <w:ind w:right="662"/>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0.34</w:t>
            </w:r>
          </w:p>
        </w:tc>
        <w:tc>
          <w:tcPr>
            <w:tcW w:w="44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(0.27)</w:t>
            </w:r>
          </w:p>
        </w:tc>
        <w:tc>
          <w:tcPr>
            <w:tcW w:w="56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197"/>
        </w:trPr>
        <w:tc>
          <w:tcPr>
            <w:tcW w:w="5860" w:type="dxa"/>
            <w:vAlign w:val="bottom"/>
            <w:tcBorders>
              <w:top w:val="single" w:sz="8" w:color="CFF0FC"/>
            </w:tcBorders>
          </w:tcPr>
          <w:p>
            <w:pPr>
              <w:spacing w:after="0"/>
              <w:rPr>
                <w:sz w:val="17"/>
                <w:szCs w:val="17"/>
                <w:color w:val="auto"/>
              </w:rPr>
            </w:pPr>
          </w:p>
        </w:tc>
        <w:tc>
          <w:tcPr>
            <w:tcW w:w="780" w:type="dxa"/>
            <w:vAlign w:val="bottom"/>
            <w:tcBorders>
              <w:top w:val="single" w:sz="8" w:color="CFF0F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net income (loss) per common share</w:t>
            </w:r>
          </w:p>
        </w:tc>
        <w:tc>
          <w:tcPr>
            <w:tcW w:w="1600" w:type="dxa"/>
            <w:vAlign w:val="bottom"/>
            <w:gridSpan w:val="2"/>
            <w:shd w:val="clear" w:color="auto" w:fill="CFF0FC"/>
          </w:tcPr>
          <w:p>
            <w:pPr>
              <w:jc w:val="right"/>
              <w:ind w:right="662"/>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0.34</w:t>
            </w:r>
          </w:p>
        </w:tc>
        <w:tc>
          <w:tcPr>
            <w:tcW w:w="44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(0.27)</w:t>
            </w:r>
          </w:p>
        </w:tc>
        <w:tc>
          <w:tcPr>
            <w:tcW w:w="56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0"/>
        </w:trPr>
        <w:tc>
          <w:tcPr>
            <w:tcW w:w="58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5050155</wp:posOffset>
            </wp:positionH>
            <wp:positionV relativeFrom="paragraph">
              <wp:posOffset>-1040765</wp:posOffset>
            </wp:positionV>
            <wp:extent cx="102235" cy="1797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4">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-1040765</wp:posOffset>
            </wp:positionV>
            <wp:extent cx="93980" cy="1797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-1040765</wp:posOffset>
            </wp:positionV>
            <wp:extent cx="93980" cy="1797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-625475</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-607695</wp:posOffset>
            </wp:positionV>
            <wp:extent cx="768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-625475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-607695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-625475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-325120</wp:posOffset>
            </wp:positionV>
            <wp:extent cx="768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-307975</wp:posOffset>
            </wp:positionV>
            <wp:extent cx="768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-325120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-307975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768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weighted-average shares of securities were not included in the computation of diluted net income (loss) per common share as their effect would have been antidilutive: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1360" w:type="dxa"/>
            <w:vAlign w:val="bottom"/>
            <w:tcBorders>
              <w:bottom w:val="single" w:sz="8" w:color="auto"/>
            </w:tcBorders>
            <w:gridSpan w:val="2"/>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6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and stock units</w:t>
            </w:r>
          </w:p>
        </w:tc>
        <w:tc>
          <w:tcPr>
            <w:tcW w:w="14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784</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1,156</w:t>
            </w:r>
          </w:p>
        </w:tc>
        <w:tc>
          <w:tcPr>
            <w:tcW w:w="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388</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40" w:type="dxa"/>
            <w:vAlign w:val="bottom"/>
          </w:tcPr>
          <w:p>
            <w:pPr>
              <w:spacing w:after="0"/>
              <w:rPr>
                <w:sz w:val="18"/>
                <w:szCs w:val="18"/>
                <w:color w:val="auto"/>
              </w:rPr>
            </w:pP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50"/>
        </w:trPr>
        <w:tc>
          <w:tcPr>
            <w:tcW w:w="6600" w:type="dxa"/>
            <w:vAlign w:val="bottom"/>
            <w:tcBorders>
              <w:top w:val="single" w:sz="8" w:color="CFF0FC"/>
              <w:bottom w:val="single" w:sz="8" w:color="CFF0FC"/>
            </w:tcBorders>
            <w:shd w:val="clear" w:color="auto" w:fill="CFF0FC"/>
          </w:tcPr>
          <w:p>
            <w:pPr>
              <w:spacing w:after="0"/>
              <w:rPr>
                <w:sz w:val="21"/>
                <w:szCs w:val="21"/>
                <w:color w:val="auto"/>
              </w:rPr>
            </w:pPr>
          </w:p>
        </w:tc>
        <w:tc>
          <w:tcPr>
            <w:tcW w:w="13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784</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40" w:type="dxa"/>
            <w:vAlign w:val="bottom"/>
            <w:tcBorders>
              <w:top w:val="single" w:sz="8" w:color="auto"/>
              <w:bottom w:val="single" w:sz="8" w:color="auto"/>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40" w:type="dxa"/>
            <w:vAlign w:val="bottom"/>
            <w:tcBorders>
              <w:top w:val="single" w:sz="8" w:color="auto"/>
              <w:bottom w:val="single" w:sz="8" w:color="auto"/>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spacing w:after="0"/>
              <w:rPr>
                <w:sz w:val="21"/>
                <w:szCs w:val="21"/>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44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Property, Plant and Equipment</w:t>
            </w: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6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Range of useful</w:t>
            </w: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ind w:left="9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lives in years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right="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6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3"/>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Machinery, equipment and automotive </w:t>
            </w:r>
            <w:r>
              <w:rPr>
                <w:rFonts w:ascii="Times New Roman" w:cs="Times New Roman" w:eastAsia="Times New Roman" w:hAnsi="Times New Roman"/>
                <w:sz w:val="24"/>
                <w:szCs w:val="24"/>
                <w:color w:val="auto"/>
                <w:vertAlign w:val="superscript"/>
              </w:rPr>
              <w:t>(1)</w:t>
            </w:r>
          </w:p>
        </w:tc>
        <w:tc>
          <w:tcPr>
            <w:tcW w:w="1360" w:type="dxa"/>
            <w:vAlign w:val="bottom"/>
            <w:gridSpan w:val="2"/>
            <w:shd w:val="clear" w:color="auto" w:fill="CFF0FC"/>
          </w:tcPr>
          <w:p>
            <w:pPr>
              <w:jc w:val="center"/>
              <w:ind w:left="93"/>
              <w:spacing w:after="0"/>
              <w:rPr>
                <w:sz w:val="20"/>
                <w:szCs w:val="20"/>
                <w:color w:val="auto"/>
              </w:rPr>
            </w:pPr>
            <w:r>
              <w:rPr>
                <w:rFonts w:ascii="Times New Roman" w:cs="Times New Roman" w:eastAsia="Times New Roman" w:hAnsi="Times New Roman"/>
                <w:sz w:val="18"/>
                <w:szCs w:val="18"/>
                <w:b w:val="1"/>
                <w:bCs w:val="1"/>
                <w:color w:val="auto"/>
                <w:w w:val="99"/>
              </w:rPr>
              <w:t>3 - 25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b w:val="1"/>
                <w:bCs w:val="1"/>
                <w:color w:val="auto"/>
              </w:rPr>
              <w:t>1,365,811</w:t>
            </w:r>
          </w:p>
        </w:tc>
        <w:tc>
          <w:tcPr>
            <w:tcW w:w="460" w:type="dxa"/>
            <w:vAlign w:val="bottom"/>
            <w:gridSpan w:val="2"/>
            <w:shd w:val="clear" w:color="auto" w:fill="CFF0FC"/>
          </w:tcPr>
          <w:p>
            <w:pPr>
              <w:jc w:val="center"/>
              <w:ind w:right="3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1,354,654</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360" w:type="dxa"/>
            <w:vAlign w:val="bottom"/>
            <w:gridSpan w:val="2"/>
          </w:tcPr>
          <w:p>
            <w:pPr>
              <w:jc w:val="center"/>
              <w:ind w:left="93"/>
              <w:spacing w:after="0"/>
              <w:rPr>
                <w:sz w:val="20"/>
                <w:szCs w:val="20"/>
                <w:color w:val="auto"/>
              </w:rPr>
            </w:pPr>
            <w:r>
              <w:rPr>
                <w:rFonts w:ascii="Times New Roman" w:cs="Times New Roman" w:eastAsia="Times New Roman" w:hAnsi="Times New Roman"/>
                <w:sz w:val="18"/>
                <w:szCs w:val="18"/>
                <w:b w:val="1"/>
                <w:bCs w:val="1"/>
                <w:color w:val="auto"/>
                <w:w w:val="97"/>
              </w:rPr>
              <w:t>15 - 30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b w:val="1"/>
                <w:bCs w:val="1"/>
                <w:color w:val="auto"/>
              </w:rPr>
              <w:t>37,241</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38,041</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1360" w:type="dxa"/>
            <w:vAlign w:val="bottom"/>
            <w:gridSpan w:val="2"/>
            <w:shd w:val="clear" w:color="auto" w:fill="CFF0FC"/>
          </w:tcPr>
          <w:p>
            <w:pPr>
              <w:jc w:val="center"/>
              <w:ind w:left="93"/>
              <w:spacing w:after="0"/>
              <w:rPr>
                <w:sz w:val="20"/>
                <w:szCs w:val="20"/>
                <w:color w:val="auto"/>
              </w:rPr>
            </w:pPr>
            <w:r>
              <w:rPr>
                <w:rFonts w:ascii="Times New Roman" w:cs="Times New Roman" w:eastAsia="Times New Roman" w:hAnsi="Times New Roman"/>
                <w:sz w:val="18"/>
                <w:szCs w:val="18"/>
                <w:b w:val="1"/>
                <w:bCs w:val="1"/>
                <w:color w:val="auto"/>
                <w:w w:val="97"/>
              </w:rPr>
              <w:t>20 - 35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b w:val="1"/>
                <w:bCs w:val="1"/>
                <w:color w:val="auto"/>
              </w:rPr>
              <w:t>16,142</w:t>
            </w:r>
          </w:p>
        </w:tc>
        <w:tc>
          <w:tcPr>
            <w:tcW w:w="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10,443</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store equipment</w:t>
            </w:r>
          </w:p>
        </w:tc>
        <w:tc>
          <w:tcPr>
            <w:tcW w:w="1360" w:type="dxa"/>
            <w:vAlign w:val="bottom"/>
            <w:gridSpan w:val="2"/>
          </w:tcPr>
          <w:p>
            <w:pPr>
              <w:jc w:val="center"/>
              <w:ind w:left="93"/>
              <w:spacing w:after="0"/>
              <w:rPr>
                <w:sz w:val="20"/>
                <w:szCs w:val="20"/>
                <w:color w:val="auto"/>
              </w:rPr>
            </w:pPr>
            <w:r>
              <w:rPr>
                <w:rFonts w:ascii="Times New Roman" w:cs="Times New Roman" w:eastAsia="Times New Roman" w:hAnsi="Times New Roman"/>
                <w:sz w:val="18"/>
                <w:szCs w:val="18"/>
                <w:b w:val="1"/>
                <w:bCs w:val="1"/>
                <w:color w:val="auto"/>
                <w:w w:val="99"/>
              </w:rPr>
              <w:t>3 - 25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b w:val="1"/>
                <w:bCs w:val="1"/>
                <w:color w:val="auto"/>
              </w:rPr>
              <w:t>3,354</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2,648</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40" w:type="dxa"/>
            <w:vAlign w:val="bottom"/>
            <w:shd w:val="clear" w:color="auto" w:fill="CFF0FC"/>
          </w:tcPr>
          <w:p>
            <w:pPr>
              <w:spacing w:after="0"/>
              <w:rPr>
                <w:sz w:val="18"/>
                <w:szCs w:val="18"/>
                <w:color w:val="auto"/>
              </w:rPr>
            </w:pPr>
          </w:p>
        </w:tc>
        <w:tc>
          <w:tcPr>
            <w:tcW w:w="1540" w:type="dxa"/>
            <w:vAlign w:val="bottom"/>
            <w:gridSpan w:val="3"/>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b w:val="1"/>
                <w:bCs w:val="1"/>
                <w:color w:val="auto"/>
              </w:rPr>
              <w:t>62,498</w:t>
            </w:r>
          </w:p>
        </w:tc>
        <w:tc>
          <w:tcPr>
            <w:tcW w:w="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60,313</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Capital spare parts</w:t>
            </w:r>
          </w:p>
        </w:tc>
        <w:tc>
          <w:tcPr>
            <w:tcW w:w="40" w:type="dxa"/>
            <w:vAlign w:val="bottom"/>
          </w:tcPr>
          <w:p>
            <w:pPr>
              <w:spacing w:after="0"/>
              <w:rPr>
                <w:sz w:val="18"/>
                <w:szCs w:val="18"/>
                <w:color w:val="auto"/>
              </w:rPr>
            </w:pP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b w:val="1"/>
                <w:bCs w:val="1"/>
                <w:color w:val="auto"/>
              </w:rPr>
              <w:t>37,453</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26,652</w:t>
            </w:r>
          </w:p>
        </w:tc>
      </w:tr>
      <w:tr>
        <w:trPr>
          <w:trHeight w:val="216"/>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4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CFF0FC"/>
            </w:tcBorders>
            <w:gridSpan w:val="3"/>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2,174</w:t>
            </w:r>
          </w:p>
        </w:tc>
        <w:tc>
          <w:tcPr>
            <w:tcW w:w="2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b w:val="1"/>
                <w:bCs w:val="1"/>
                <w:color w:val="auto"/>
              </w:rPr>
              <w:t>1,524,673</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1,497,589</w:t>
            </w:r>
          </w:p>
        </w:tc>
      </w:tr>
      <w:tr>
        <w:trPr>
          <w:trHeight w:val="216"/>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691,148</w:t>
            </w:r>
          </w:p>
        </w:tc>
        <w:tc>
          <w:tcPr>
            <w:tcW w:w="2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650,019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32"/>
        </w:trPr>
        <w:tc>
          <w:tcPr>
            <w:tcW w:w="6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b w:val="1"/>
                <w:bCs w:val="1"/>
                <w:color w:val="auto"/>
              </w:rPr>
              <w:t>833,525</w:t>
            </w:r>
          </w:p>
        </w:tc>
        <w:tc>
          <w:tcPr>
            <w:tcW w:w="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847,570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-2156460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-2139315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-2302510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-2156460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-2139315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-2302510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-2156460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-2139315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-2302510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-441960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-441960</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-159385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-13335</wp:posOffset>
            </wp:positionV>
            <wp:extent cx="18427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8">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-79375</wp:posOffset>
            </wp:positionV>
            <wp:extent cx="18427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9">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83" w:lineRule="exact"/>
        <w:rPr>
          <w:sz w:val="20"/>
          <w:szCs w:val="20"/>
          <w:color w:val="auto"/>
        </w:rPr>
      </w:pPr>
    </w:p>
    <w:p>
      <w:pPr>
        <w:ind w:left="520" w:right="200" w:hanging="512"/>
        <w:spacing w:after="0" w:line="298" w:lineRule="auto"/>
        <w:tabs>
          <w:tab w:leader="none" w:pos="335"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Machinery, equipment and automotive primarily includes the categories of property and equipment and estimated useful lives as follows: processing plants and plant infrastructure (15-25 years); certain processing plant components (3-10 years); and trucks, automobiles, trailers, and other rolling stock (4-7 years).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Accrued and Other Liabilities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60" w:type="dxa"/>
            <w:vAlign w:val="bottom"/>
            <w:gridSpan w:val="3"/>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2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9,896</w:t>
            </w:r>
          </w:p>
        </w:tc>
        <w:tc>
          <w:tcPr>
            <w:tcW w:w="600" w:type="dxa"/>
            <w:vAlign w:val="bottom"/>
            <w:gridSpan w:val="2"/>
            <w:shd w:val="clear" w:color="auto" w:fill="CFF0FC"/>
          </w:tcPr>
          <w:p>
            <w:pPr>
              <w:jc w:val="center"/>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10,217</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7,976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7,406</w:t>
            </w: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5,711</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6,230</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30,086</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32,648</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Less noncurrent portion</w:t>
            </w:r>
          </w:p>
        </w:tc>
        <w:tc>
          <w:tcPr>
            <w:tcW w:w="18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accrued and other liabilities</w:t>
            </w:r>
          </w:p>
        </w:tc>
        <w:tc>
          <w:tcPr>
            <w:tcW w:w="2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29,551</w:t>
            </w:r>
          </w:p>
        </w:tc>
        <w:tc>
          <w:tcPr>
            <w:tcW w:w="600" w:type="dxa"/>
            <w:vAlign w:val="bottom"/>
            <w:gridSpan w:val="2"/>
            <w:shd w:val="clear" w:color="auto" w:fill="CFF0FC"/>
          </w:tcPr>
          <w:p>
            <w:pPr>
              <w:jc w:val="center"/>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32,192</w:t>
            </w:r>
          </w:p>
        </w:tc>
        <w:tc>
          <w:tcPr>
            <w:tcW w:w="0" w:type="dxa"/>
            <w:vAlign w:val="bottom"/>
          </w:tcPr>
          <w:p>
            <w:pPr>
              <w:spacing w:after="0"/>
              <w:rPr>
                <w:sz w:val="1"/>
                <w:szCs w:val="1"/>
                <w:color w:val="auto"/>
              </w:rPr>
            </w:pPr>
          </w:p>
        </w:tc>
      </w:tr>
      <w:tr>
        <w:trPr>
          <w:trHeight w:val="426"/>
        </w:trPr>
        <w:tc>
          <w:tcPr>
            <w:tcW w:w="59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5. Long-Term Debt</w:t>
            </w:r>
          </w:p>
        </w:tc>
        <w:tc>
          <w:tcPr>
            <w:tcW w:w="182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9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60" w:type="dxa"/>
            <w:vAlign w:val="bottom"/>
            <w:gridSpan w:val="3"/>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shd w:val="clear" w:color="auto" w:fill="CFF0FC"/>
          </w:tcPr>
          <w:p>
            <w:pPr>
              <w:jc w:val="center"/>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Senior Secured Notes due 2028, with an interest</w:t>
            </w:r>
          </w:p>
        </w:tc>
        <w:tc>
          <w:tcPr>
            <w:tcW w:w="1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438,580</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 of 6.25%</w:t>
            </w: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478,440</w:t>
            </w:r>
          </w:p>
        </w:tc>
        <w:tc>
          <w:tcPr>
            <w:tcW w:w="0" w:type="dxa"/>
            <w:vAlign w:val="bottom"/>
          </w:tcPr>
          <w:p>
            <w:pPr>
              <w:spacing w:after="0"/>
              <w:rPr>
                <w:sz w:val="1"/>
                <w:szCs w:val="1"/>
                <w:color w:val="auto"/>
              </w:rPr>
            </w:pPr>
          </w:p>
        </w:tc>
      </w:tr>
      <w:tr>
        <w:trPr>
          <w:trHeight w:val="198"/>
        </w:trPr>
        <w:tc>
          <w:tcPr>
            <w:tcW w:w="59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Secured Financing Agreement due 2025, with an interest</w:t>
            </w:r>
          </w:p>
        </w:tc>
        <w:tc>
          <w:tcPr>
            <w:tcW w:w="18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6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rate of 8.88%</w:t>
            </w:r>
          </w:p>
        </w:tc>
        <w:tc>
          <w:tcPr>
            <w:tcW w:w="18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60" w:type="dxa"/>
            <w:vAlign w:val="bottom"/>
            <w:gridSpan w:val="2"/>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8,516</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6,233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3,895</w:t>
            </w: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Unamortized debt issuance costs </w:t>
            </w:r>
            <w:r>
              <w:rPr>
                <w:rFonts w:ascii="Times New Roman" w:cs="Times New Roman" w:eastAsia="Times New Roman" w:hAnsi="Times New Roman"/>
                <w:sz w:val="24"/>
                <w:szCs w:val="24"/>
                <w:color w:val="auto"/>
                <w:vertAlign w:val="superscript"/>
              </w:rPr>
              <w:t>(1)</w:t>
            </w:r>
          </w:p>
        </w:tc>
        <w:tc>
          <w:tcPr>
            <w:tcW w:w="1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(3,758)</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(5,572)</w:t>
            </w:r>
          </w:p>
        </w:tc>
        <w:tc>
          <w:tcPr>
            <w:tcW w:w="0" w:type="dxa"/>
            <w:vAlign w:val="bottom"/>
          </w:tcPr>
          <w:p>
            <w:pPr>
              <w:spacing w:after="0"/>
              <w:rPr>
                <w:sz w:val="1"/>
                <w:szCs w:val="1"/>
                <w:color w:val="auto"/>
              </w:rPr>
            </w:pPr>
          </w:p>
        </w:tc>
      </w:tr>
      <w:tr>
        <w:trPr>
          <w:trHeight w:val="210"/>
        </w:trPr>
        <w:tc>
          <w:tcPr>
            <w:tcW w:w="5920" w:type="dxa"/>
            <w:vAlign w:val="bottom"/>
            <w:tcBorders>
              <w:top w:val="single" w:sz="8" w:color="CFF0FC"/>
            </w:tcBorders>
          </w:tcPr>
          <w:p>
            <w:pPr>
              <w:spacing w:after="0"/>
              <w:rPr>
                <w:sz w:val="18"/>
                <w:szCs w:val="18"/>
                <w:color w:val="auto"/>
              </w:rPr>
            </w:pPr>
          </w:p>
        </w:tc>
        <w:tc>
          <w:tcPr>
            <w:tcW w:w="18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441,055</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485,279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8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due after one year, net</w:t>
            </w:r>
          </w:p>
        </w:tc>
        <w:tc>
          <w:tcPr>
            <w:tcW w:w="2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440,295</w:t>
            </w:r>
          </w:p>
        </w:tc>
        <w:tc>
          <w:tcPr>
            <w:tcW w:w="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476,163</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_____________________________</w:t>
            </w:r>
          </w:p>
        </w:tc>
        <w:tc>
          <w:tcPr>
            <w:tcW w:w="18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5920" w:type="dxa"/>
            <w:vAlign w:val="bottom"/>
            <w:vMerge w:val="continue"/>
          </w:tcPr>
          <w:p>
            <w:pPr>
              <w:spacing w:after="0"/>
              <w:rPr>
                <w:sz w:val="9"/>
                <w:szCs w:val="9"/>
                <w:color w:val="auto"/>
              </w:rPr>
            </w:pPr>
          </w:p>
        </w:tc>
        <w:tc>
          <w:tcPr>
            <w:tcW w:w="1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-2239645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-2222500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-2239645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-2222500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-534035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-534035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-250825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-250825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left="520" w:right="20" w:hanging="512"/>
        <w:spacing w:after="0" w:line="298" w:lineRule="auto"/>
        <w:tabs>
          <w:tab w:leader="none" w:pos="5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issuance costs as of December 31, 2025 and 2024 of approximately $0.5 million and $0.6 million, respectively, relating to our Revolving Credit Facility are not included in Unamortized debt issuance cost. They are included in our consolidated balance sheets in Intangible and other assets, net.</w:t>
      </w:r>
    </w:p>
    <w:p>
      <w:pPr>
        <w:spacing w:after="0" w:line="4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Revolving Credit Facility - </w:t>
      </w:r>
      <w:r>
        <w:rPr>
          <w:rFonts w:ascii="Times New Roman" w:cs="Times New Roman" w:eastAsia="Times New Roman" w:hAnsi="Times New Roman"/>
          <w:sz w:val="18"/>
          <w:szCs w:val="18"/>
          <w:color w:val="auto"/>
        </w:rPr>
        <w:t>The Revolving Credit Facility provides for borrowings up to an initial maximum of $75 million, with an option to increase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maximum by an additional $25 million (which amount is uncommitted). Availability under the Revolving Credit Facility is subject to a borrowing base and is subject to an availability block of $7.5 million (which can be removed by us at our sole discretion, subject to the satisfaction of certain conditions) (the “Availability Block”). The Availability Block is applied against the $75 million maximum. The Revolving Credit Facility provides for a sub-facility for the issuance of letters of credit in an aggregate amount not to exceed $10 million, with the outstanding amount of any such letters of credit reducing availability for borrowings. As of December 31, 2025, our Revolving Credit Facility was undrawn and had approximately $44.3 million of availability.</w:t>
      </w:r>
    </w:p>
    <w:p>
      <w:pPr>
        <w:spacing w:after="0" w:line="7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Revolving Credit Facility matures on December 21, 2028, subject to springing maturity to the date that is 90 days prior to the stated maturity date of our existing Senior Secured Notes, which is currently October 15, 2028 (unless such Senior Secured Notes have been repaid or redeemed in full prior thereto). Borrowings outstanding under the Revolving Credit Facility will bear interest at a rate per annum equal to, at the option of us, either (a) term Secured Overnight Financing Rate (“SOFR”) for a period of one month (with a fallback to the prime rate if such rate is unavailable), plus 0.10%, plus an applicable margin of 1.625% or (b) term SOFR for a period of one, three or six months (at our election), plus 0.10%, plus an applicable margin of 1.625%, in each case with a floor of 0.00%.</w:t>
      </w:r>
    </w:p>
    <w:p>
      <w:pPr>
        <w:spacing w:after="0" w:line="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LSB Industries, Inc. and all of our subsidiaries (collectively, the “Borrowers”) are co-borrowers under the Revolving Credit Facility. Obligations under the Revolving Credit Facility are secured by a first priority security interest in substantially all of our current assets, including accounts receivable and inventory, subject to certain exceptions.</w:t>
      </w:r>
    </w:p>
    <w:p>
      <w:pPr>
        <w:spacing w:after="0" w:line="6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Revolving Credit Facility contains a financial covenant, which requires that, solely if we elect to remove the Availability Block, then the Borrowers must maintain a minimum fixed charge coverage ratio of not less than 1.00:1.00. The financial covenant, if triggered, is tested monthly. The financial covenant was not triggered as of December 31, 2025.</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Revolving Credit Facility includes other customary representations and warranties, affirmative covenants, negative covenants and events of default. Upon the occurrence of events of default, the obligations under the Revolving Credit Facility may be accelerated and the revolver commitments thereunder may be terminated.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32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Senior Secured Notes due 2028 - </w:t>
      </w:r>
      <w:r>
        <w:rPr>
          <w:rFonts w:ascii="Times New Roman" w:cs="Times New Roman" w:eastAsia="Times New Roman" w:hAnsi="Times New Roman"/>
          <w:sz w:val="18"/>
          <w:szCs w:val="18"/>
          <w:color w:val="auto"/>
        </w:rPr>
        <w:t>We previously issued at par an aggregate of $700 million principal value of our Senior Secured Notes due 2028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Secured Notes”). The Senior Secured Notes, which mature in October 2028, bear interest at a rate of 6.25% paid in arrears on May 15 and October 15 of each year. From time to time, we have engaged in open market repurchases to extinguish a portion of the outstanding balance.</w:t>
      </w:r>
    </w:p>
    <w:p>
      <w:pPr>
        <w:spacing w:after="0" w:line="6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2025, we repurchased $39.9 million of our Senior Secured Notes through open market transactions for approximately $39.5 million which was accounted for as an extinguishment of debt. Including our write-off of the associated remaining portion of unamortized debt issuance costs, we recognized a loss on extinguishment of debt, net of issuance costs, of approximately $0.1 million.</w:t>
      </w:r>
    </w:p>
    <w:p>
      <w:pPr>
        <w:spacing w:after="0" w:line="68"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Senior Secured Notes mature on October 15, 2028, ranking senior in right of payment to all of our debt that is expressly subordinated in right of payment to the notes, and will rank pari passu in right of payment with all of our liabilities that are not so subordinated, including the Revolving Credit Facility. Our obligations under the Senior Secured Notes are jointly and severally guaranteed by the subsidiary guarantors named in the Indenture on a senior secured basis.</w:t>
      </w:r>
    </w:p>
    <w:p>
      <w:pPr>
        <w:spacing w:after="0" w:line="7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Pursuant to the Indenture, we may redeem the Senior Secured Notes at our option, in whole or in part, at certain redemption prices, including a “make-whole” premium, as set forth in the Indenture but also includes redemption requirements associated with a change of control (as defined in the Indenture). The Senior Secured Notes do not have any conversion features. In addition, the Indenture contains customary covenants that limit, among other things, our ability to engage in certain transactions and also provides for customary events of default (subject in certain cases to customary grace and cure periods). Generally, if an event of default occurs and is continuing, the trustee or holders of at least 25% in principal amount of the then outstanding Senior Secured Notes may declare the principal of and accrued but unpaid interest on all the Senior Secured Notes to be due and payable.</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Indenture contains covenants that limit, among other things, our ability to (1) incur additional indebtedness; (2) declare or pay dividends, redeem stock or make other distributions to stockholders; (3) make other restricted payments, including investments; (4) create dividend and other payment restrictions affecting its subsidiaries; (5) create liens or use assets as security in other transactions; (6) merge or consolidate, or sell, transfer, lease or dispose of all or substantially all of our assets; and (7) enter into transactions with affiliates. Further, during any such time when the Senior Secured Notes are rated investment grade by each of Moody’s Investors Service, Inc. and Standard &amp; Poor’s Investors Ratings Services and no Default (as defined in the Indenture) has occurred and is continuing, certain of the covenants will be suspended with respect to the Senior Secured Notes.</w:t>
      </w:r>
    </w:p>
    <w:p>
      <w:pPr>
        <w:spacing w:after="0" w:line="7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Obligations in respect of the Senior Secured Notes are secured by a first priority security interest in substantially all of our fixed assets, subject to certain customary exceptions.</w:t>
      </w:r>
    </w:p>
    <w:p>
      <w:pPr>
        <w:spacing w:after="0" w:line="5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Secured Financing Agreement due 2025 - </w:t>
      </w:r>
      <w:r>
        <w:rPr>
          <w:rFonts w:ascii="Times New Roman" w:cs="Times New Roman" w:eastAsia="Times New Roman" w:hAnsi="Times New Roman"/>
          <w:sz w:val="18"/>
          <w:szCs w:val="18"/>
          <w:color w:val="auto"/>
        </w:rPr>
        <w:t>In August 2020, we entered into a $30 million secured financing arrangement with an affiliate of Eldridge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Industries, L.L.C. (“Eldridge”). During the third quarter of 2025, we paid off the loan by making the final balloon payment of approximately $5 million.</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Finance Leases </w:t>
      </w:r>
      <w:r>
        <w:rPr>
          <w:rFonts w:ascii="Times New Roman" w:cs="Times New Roman" w:eastAsia="Times New Roman" w:hAnsi="Times New Roman"/>
          <w:sz w:val="18"/>
          <w:szCs w:val="18"/>
          <w:color w:val="auto"/>
        </w:rPr>
        <w:t>- Finance leases consist primarily of leases on railcars.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long-term debt for each of the five years after December 31, 2025 are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6200" w:type="dxa"/>
            <w:vAlign w:val="bottom"/>
            <w:gridSpan w:val="2"/>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760</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55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439,307</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747</w:t>
            </w:r>
          </w:p>
        </w:tc>
      </w:tr>
      <w:tr>
        <w:trPr>
          <w:trHeight w:val="21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55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5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20" w:type="dxa"/>
            <w:vAlign w:val="bottom"/>
          </w:tcPr>
          <w:p>
            <w:pPr>
              <w:spacing w:after="0"/>
              <w:rPr>
                <w:sz w:val="18"/>
                <w:szCs w:val="18"/>
                <w:color w:val="auto"/>
              </w:rPr>
            </w:pPr>
          </w:p>
        </w:tc>
      </w:tr>
      <w:tr>
        <w:trPr>
          <w:trHeight w:val="209"/>
        </w:trPr>
        <w:tc>
          <w:tcPr>
            <w:tcW w:w="37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Debt issuance costs</w:t>
            </w:r>
          </w:p>
        </w:tc>
        <w:tc>
          <w:tcPr>
            <w:tcW w:w="55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37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441,055</w:t>
            </w:r>
          </w:p>
        </w:tc>
        <w:tc>
          <w:tcPr>
            <w:tcW w:w="120" w:type="dxa"/>
            <w:vAlign w:val="bottom"/>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29"/>
        </w:trPr>
        <w:tc>
          <w:tcPr>
            <w:tcW w:w="3740" w:type="dxa"/>
            <w:vAlign w:val="bottom"/>
          </w:tcPr>
          <w:p>
            <w:pPr>
              <w:spacing w:after="0"/>
              <w:rPr>
                <w:sz w:val="24"/>
                <w:szCs w:val="24"/>
                <w:color w:val="auto"/>
              </w:rPr>
            </w:pPr>
          </w:p>
        </w:tc>
        <w:tc>
          <w:tcPr>
            <w:tcW w:w="6200" w:type="dxa"/>
            <w:vAlign w:val="bottom"/>
            <w:gridSpan w:val="2"/>
          </w:tcPr>
          <w:p>
            <w:pPr>
              <w:jc w:val="right"/>
              <w:ind w:right="4050"/>
              <w:spacing w:after="0"/>
              <w:rPr>
                <w:sz w:val="20"/>
                <w:szCs w:val="20"/>
                <w:color w:val="auto"/>
              </w:rPr>
            </w:pPr>
            <w:r>
              <w:rPr>
                <w:rFonts w:ascii="Times New Roman" w:cs="Times New Roman" w:eastAsia="Times New Roman" w:hAnsi="Times New Roman"/>
                <w:sz w:val="18"/>
                <w:szCs w:val="18"/>
                <w:color w:val="auto"/>
              </w:rPr>
              <w:t>F-15</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37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(benefit) for income taxes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860" w:type="dxa"/>
            <w:vAlign w:val="bottom"/>
          </w:tcPr>
          <w:p>
            <w:pPr>
              <w:jc w:val="right"/>
              <w:ind w:right="69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607</w:t>
            </w:r>
          </w:p>
        </w:tc>
      </w:tr>
      <w:tr>
        <w:trPr>
          <w:trHeight w:val="20"/>
        </w:trPr>
        <w:tc>
          <w:tcPr>
            <w:tcW w:w="66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w:t>
            </w:r>
          </w:p>
        </w:tc>
        <w:tc>
          <w:tcPr>
            <w:tcW w:w="860" w:type="dxa"/>
            <w:vAlign w:val="bottom"/>
          </w:tcPr>
          <w:p>
            <w:pPr>
              <w:jc w:val="right"/>
              <w:ind w:right="69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286</w:t>
            </w:r>
          </w:p>
        </w:tc>
        <w:tc>
          <w:tcPr>
            <w:tcW w:w="16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261</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607</w:t>
            </w:r>
          </w:p>
        </w:tc>
      </w:tr>
      <w:tr>
        <w:trPr>
          <w:trHeight w:val="209"/>
        </w:trPr>
        <w:tc>
          <w:tcPr>
            <w:tcW w:w="664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860" w:type="dxa"/>
            <w:vAlign w:val="bottom"/>
            <w:shd w:val="clear" w:color="auto" w:fill="CFF0FC"/>
          </w:tcPr>
          <w:p>
            <w:pPr>
              <w:jc w:val="right"/>
              <w:ind w:right="69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7,963</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(4,908)</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7,767</w:t>
            </w: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8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(2,401)</w:t>
            </w:r>
          </w:p>
        </w:tc>
      </w:tr>
      <w:tr>
        <w:trPr>
          <w:trHeight w:val="20"/>
        </w:trPr>
        <w:tc>
          <w:tcPr>
            <w:tcW w:w="66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Deferred</w:t>
            </w:r>
          </w:p>
        </w:tc>
        <w:tc>
          <w:tcPr>
            <w:tcW w:w="860" w:type="dxa"/>
            <w:vAlign w:val="bottom"/>
            <w:shd w:val="clear" w:color="auto" w:fill="CFF0FC"/>
          </w:tcPr>
          <w:p>
            <w:pPr>
              <w:jc w:val="right"/>
              <w:ind w:right="69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7,650</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(6,945)</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5,366</w:t>
            </w:r>
          </w:p>
        </w:tc>
      </w:tr>
      <w:tr>
        <w:trPr>
          <w:trHeight w:val="20"/>
        </w:trPr>
        <w:tc>
          <w:tcPr>
            <w:tcW w:w="66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860" w:type="dxa"/>
            <w:vAlign w:val="bottom"/>
          </w:tcPr>
          <w:p>
            <w:pPr>
              <w:jc w:val="right"/>
              <w:ind w:right="69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7,936</w:t>
            </w:r>
          </w:p>
        </w:tc>
        <w:tc>
          <w:tcPr>
            <w:tcW w:w="16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(6,684)</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5,973</w:t>
            </w:r>
          </w:p>
        </w:tc>
      </w:tr>
      <w:tr>
        <w:trPr>
          <w:trHeight w:val="20"/>
        </w:trPr>
        <w:tc>
          <w:tcPr>
            <w:tcW w:w="66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-1019175</wp:posOffset>
            </wp:positionV>
            <wp:extent cx="768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-1019175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wp:posOffset>
            </wp:positionV>
            <wp:extent cx="7683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current provision (benefit) for federal and state income taxes shown above includes federal and state income tax after the consideration of permanent and temporary differences between income for U.S. GAAP and tax purposes.</w:t>
      </w:r>
    </w:p>
    <w:p>
      <w:pPr>
        <w:spacing w:after="0" w:line="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deferred tax provision (benefit) results from the recognition of changes in our prior year deferred tax assets and liabilities, and the utilization of federal and state net operating loss (“NOL”) carryforwards and other temporary differences. We reduce income tax expense for tax credits in the year they arise and are earned. On December 31, 2025, our gross amount of tax credits available to offset state income taxes was $6.0 million ($4.7 million net of federal benefit). Most of these tax credits carryforward indefinitely. The gross amount of federal tax credits was $8.1 million. These credits carryforward for 20 years and begin expiring in 2034.</w:t>
      </w:r>
    </w:p>
    <w:p>
      <w:pPr>
        <w:spacing w:after="0" w:line="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2025, we utilized approximately $17.3 million and $26.5 million of federal and state NOL carryforwards, respectively, to reduce tax liabilities. In 2024, we utilized approximately $30.8 million and $12.9 million of federal and state NOL carryforwards, respectively, to reduce tax liabilities. In 2023, we utilized approximately $76.7 million and $66.0 million of federal and state NOL carryforwards, respectively, to reduce tax liabilities. On December 31, 2025, we have remaining federal and state tax NOL carryforwards of $226.4 million and $321.2 million, respectively. The federal NOL carryforwards begin expiring in 2037 and the state NOL carryforwards begin expiring in 2026.</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considered both positive and negative evidence in our determination of the need for valuation allowances for the deferred tax assets associated with federal and state NOLs and federal credits and in conjunction with the IRC Section 382 limitation. Information evaluated includes our financial position and results of operations for the current and preceding years, the availability of deferred tax liabilities and tax carrybacks, as well as an evaluation of currently available information about future years. Valuation allowances are reflective of our quarterly analysis of the four sources of taxable income, including the calculation of the reversal of existing tax assets and liabilities, the impact of annual utilization limitations of interest expense and net operating losses and our results of operations. Based on our analysis, we believe that it is more-likely-than-not that all of our federal deferred tax assets will be utilized and a portion of our state deferred tax assets will not be able to be utilized. Information relating to our valuation allowance is included in the tables below. In 2025, the provision for income taxes includes a net increase of approximately $0.1 million of state valuation allowance, primarily due to an increase in valuation allowance on state tax credits carryforwards not expected to be utilized, partially offset by the write-off of valuation allowance on expired state tax credits. There is no federal valuation allowance remaining as of December 31, 2025 or 2024.</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and liabilities include temporary differences and carryforwards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6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56"/>
        </w:trPr>
        <w:tc>
          <w:tcPr>
            <w:tcW w:w="56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53"/>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760" w:type="dxa"/>
            <w:vAlign w:val="bottom"/>
            <w:gridSpan w:val="3"/>
          </w:tcPr>
          <w:p>
            <w:pPr>
              <w:jc w:val="right"/>
              <w:ind w:right="76"/>
              <w:spacing w:after="0" w:line="155"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24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3,625</w:t>
            </w:r>
          </w:p>
        </w:tc>
        <w:tc>
          <w:tcPr>
            <w:tcW w:w="600" w:type="dxa"/>
            <w:vAlign w:val="bottom"/>
            <w:gridSpan w:val="2"/>
            <w:shd w:val="clear" w:color="auto" w:fill="CFF0FC"/>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3,242</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362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0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10,629</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6,747</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carryforward</w:t>
            </w:r>
          </w:p>
        </w:tc>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7,945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12,692</w:t>
            </w: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operating loss</w:t>
            </w:r>
          </w:p>
        </w:tc>
        <w:tc>
          <w:tcPr>
            <w:tcW w:w="20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61,683</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66,321</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13,275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12,663</w:t>
            </w:r>
          </w:p>
        </w:tc>
      </w:tr>
      <w:tr>
        <w:trPr>
          <w:trHeight w:val="216"/>
        </w:trPr>
        <w:tc>
          <w:tcPr>
            <w:tcW w:w="5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 valuation allowance on deferred tax assets</w:t>
            </w:r>
          </w:p>
        </w:tc>
        <w:tc>
          <w:tcPr>
            <w:tcW w:w="20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(14,337)</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(14,238)</w:t>
            </w:r>
          </w:p>
        </w:tc>
      </w:tr>
      <w:tr>
        <w:trPr>
          <w:trHeight w:val="20"/>
        </w:trPr>
        <w:tc>
          <w:tcPr>
            <w:tcW w:w="5660" w:type="dxa"/>
            <w:vAlign w:val="bottom"/>
            <w:shd w:val="clear" w:color="auto" w:fill="CFF0FC"/>
          </w:tcPr>
          <w:p>
            <w:pPr>
              <w:spacing w:after="0" w:line="20" w:lineRule="exact"/>
              <w:rPr>
                <w:sz w:val="1"/>
                <w:szCs w:val="1"/>
                <w:color w:val="auto"/>
              </w:rPr>
            </w:pPr>
          </w:p>
        </w:tc>
        <w:tc>
          <w:tcPr>
            <w:tcW w:w="20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20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83,182</w:t>
            </w:r>
          </w:p>
        </w:tc>
        <w:tc>
          <w:tcPr>
            <w:tcW w:w="160" w:type="dxa"/>
            <w:vAlign w:val="bottom"/>
          </w:tcPr>
          <w:p>
            <w:pPr>
              <w:spacing w:after="0"/>
              <w:rPr>
                <w:sz w:val="18"/>
                <w:szCs w:val="18"/>
                <w:color w:val="auto"/>
              </w:rPr>
            </w:pPr>
          </w:p>
        </w:tc>
        <w:tc>
          <w:tcPr>
            <w:tcW w:w="600" w:type="dxa"/>
            <w:vAlign w:val="bottom"/>
            <w:gridSpan w:val="2"/>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87,595</w:t>
            </w:r>
          </w:p>
        </w:tc>
      </w:tr>
      <w:tr>
        <w:trPr>
          <w:trHeight w:val="20"/>
        </w:trPr>
        <w:tc>
          <w:tcPr>
            <w:tcW w:w="5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660" w:type="dxa"/>
            <w:vAlign w:val="bottom"/>
            <w:shd w:val="clear" w:color="auto" w:fill="CFF0FC"/>
          </w:tcPr>
          <w:p>
            <w:pPr>
              <w:spacing w:after="0"/>
              <w:rPr>
                <w:sz w:val="17"/>
                <w:szCs w:val="17"/>
                <w:color w:val="auto"/>
              </w:rPr>
            </w:pPr>
          </w:p>
        </w:tc>
        <w:tc>
          <w:tcPr>
            <w:tcW w:w="20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(139,233)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(139,524)</w:t>
            </w: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Right-of-use-assets</w:t>
            </w:r>
          </w:p>
        </w:tc>
        <w:tc>
          <w:tcPr>
            <w:tcW w:w="20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(10,612)</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(6,731)</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Prepaid and other insurance reserves</w:t>
            </w:r>
          </w:p>
        </w:tc>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(2,894)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(3,248)</w:t>
            </w:r>
          </w:p>
        </w:tc>
      </w:tr>
      <w:tr>
        <w:trPr>
          <w:trHeight w:val="249"/>
        </w:trPr>
        <w:tc>
          <w:tcPr>
            <w:tcW w:w="56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2080" w:type="dxa"/>
            <w:vAlign w:val="bottom"/>
            <w:tcBorders>
              <w:top w:val="single" w:sz="8" w:color="CFF0FC"/>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(152,739)</w:t>
            </w: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480" w:type="dxa"/>
            <w:vAlign w:val="bottom"/>
            <w:tcBorders>
              <w:top w:val="single" w:sz="8" w:color="auto"/>
              <w:bottom w:val="single" w:sz="8" w:color="auto"/>
            </w:tcBorders>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(149,503)</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197"/>
        </w:trPr>
        <w:tc>
          <w:tcPr>
            <w:tcW w:w="5660" w:type="dxa"/>
            <w:vAlign w:val="bottom"/>
            <w:tcBorders>
              <w:bottom w:val="single" w:sz="8" w:color="CFF0FC"/>
            </w:tcBorders>
          </w:tcPr>
          <w:p>
            <w:pPr>
              <w:spacing w:after="0"/>
              <w:rPr>
                <w:sz w:val="17"/>
                <w:szCs w:val="17"/>
                <w:color w:val="auto"/>
              </w:rPr>
            </w:pPr>
          </w:p>
        </w:tc>
        <w:tc>
          <w:tcPr>
            <w:tcW w:w="208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r>
      <w:tr>
        <w:trPr>
          <w:trHeight w:val="249"/>
        </w:trPr>
        <w:tc>
          <w:tcPr>
            <w:tcW w:w="5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20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(69,557)</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(61,908)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-1199515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-334010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-479425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All of our income (loss) before taxes relates to domestic operations. Detailed below are the differences between the amount of the provision (benefit) for income taxes and the amount which would result from the application of the federal statutory rate to “Income (loss) before benefit for income taxes.”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160" w:type="dxa"/>
            <w:vAlign w:val="bottom"/>
            <w:tcBorders>
              <w:top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3"/>
          </w:tcPr>
          <w:p>
            <w:pPr>
              <w:jc w:val="right"/>
              <w:ind w:right="100"/>
              <w:spacing w:after="0" w:line="153" w:lineRule="exact"/>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3"/>
          </w:tcPr>
          <w:p>
            <w:pPr>
              <w:jc w:val="right"/>
              <w:ind w:right="80"/>
              <w:spacing w:after="0" w:line="153" w:lineRule="exact"/>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3"/>
          </w:tcPr>
          <w:p>
            <w:pPr>
              <w:jc w:val="right"/>
              <w:ind w:right="100"/>
              <w:spacing w:after="0" w:line="153" w:lineRule="exact"/>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gridSpan w:val="5"/>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(In Thousands)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 Federal Statutory Tax Rate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6,835</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21.0</w:t>
            </w:r>
          </w:p>
        </w:tc>
        <w:tc>
          <w:tcPr>
            <w:tcW w:w="14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(5,468)</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7,118</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State and Local Income Tax,</w:t>
            </w:r>
          </w:p>
        </w:tc>
        <w:tc>
          <w:tcPr>
            <w:tcW w:w="140" w:type="dxa"/>
            <w:vAlign w:val="bottom"/>
          </w:tcPr>
          <w:p>
            <w:pPr>
              <w:spacing w:after="0"/>
              <w:rPr>
                <w:sz w:val="16"/>
                <w:szCs w:val="16"/>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(87)</w:t>
            </w:r>
          </w:p>
        </w:tc>
        <w:tc>
          <w:tcPr>
            <w:tcW w:w="180" w:type="dxa"/>
            <w:vAlign w:val="bottom"/>
          </w:tcPr>
          <w:p>
            <w:pPr>
              <w:spacing w:after="0"/>
              <w:rPr>
                <w:sz w:val="16"/>
                <w:szCs w:val="16"/>
                <w:color w:val="auto"/>
              </w:rPr>
            </w:pP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(0.3)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of Federal (National) Income Tax Effect*</w:t>
            </w: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(1,831)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(1,922)</w:t>
            </w: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5"/>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Nontaxable or Nondeductible Items:</w:t>
            </w: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Nondeductible Compensation</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370</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Other Adjustments</w:t>
            </w:r>
          </w:p>
        </w:tc>
        <w:tc>
          <w:tcPr>
            <w:tcW w:w="140" w:type="dxa"/>
            <w:vAlign w:val="bottom"/>
          </w:tcPr>
          <w:p>
            <w:pPr>
              <w:spacing w:after="0"/>
              <w:rPr>
                <w:sz w:val="17"/>
                <w:szCs w:val="17"/>
                <w:color w:val="auto"/>
              </w:rPr>
            </w:pPr>
          </w:p>
        </w:tc>
        <w:tc>
          <w:tcPr>
            <w:tcW w:w="116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6"/>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7,936</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(6,684)</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5,973</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543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98" w:lineRule="exact"/>
        <w:rPr>
          <w:sz w:val="20"/>
          <w:szCs w:val="20"/>
          <w:color w:val="auto"/>
        </w:rPr>
      </w:pPr>
    </w:p>
    <w:p>
      <w:pPr>
        <w:ind w:right="140" w:firstLine="8"/>
        <w:spacing w:after="0" w:line="282" w:lineRule="auto"/>
        <w:tabs>
          <w:tab w:leader="none" w:pos="1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taxes in Arkansas, Nebraska and Iowa for 2025; Iowa, Illinois and Arkansas for 2024; and Arkansas and Oklahoma for 2023 made up the majority (greater than 50 percent) of the tax effect in this category.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uncertain tax positions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980" w:type="dxa"/>
            <w:vAlign w:val="bottom"/>
            <w:gridSpan w:val="2"/>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80" w:type="dxa"/>
            <w:vAlign w:val="bottom"/>
            <w:gridSpan w:val="2"/>
            <w:shd w:val="clear" w:color="auto" w:fill="CFF0FC"/>
          </w:tcPr>
          <w:p>
            <w:pPr>
              <w:jc w:val="right"/>
              <w:ind w:right="84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0" w:type="dxa"/>
            <w:vAlign w:val="bottom"/>
            <w:tcBorders>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8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expect that the amount of unrecognized tax benefits may change as the result of ongoing operations, the outcomes of audits, and the expiration of statute of limitations. This change is not expected to have a significant effect on our results of operations or financial condition. As of December 31, 2025, there is no remaining uncertain tax position.</w:t>
      </w:r>
    </w:p>
    <w:p>
      <w:pPr>
        <w:spacing w:after="0" w:line="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record interest related to unrecognized tax positions in interest expense and penalties in operating other expense. For 2025, 2024 and 2023, there were no accrued interest or penalties associated with unrecognized tax positions.</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LSB and certain of its subsidiaries file income tax returns in the United States federal jurisdiction and various state jurisdictions. With few exceptions, the 2022–2025 years remain open for all purposes of examination by the United States Internal Revenue Service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333" w:lineRule="exact"/>
        <w:rPr>
          <w:sz w:val="20"/>
          <w:szCs w:val="20"/>
          <w:color w:val="auto"/>
        </w:rPr>
      </w:pPr>
    </w:p>
    <w:p>
      <w:pPr>
        <w:ind w:right="1040"/>
        <w:spacing w:after="0" w:line="282" w:lineRule="auto"/>
        <w:rPr>
          <w:sz w:val="20"/>
          <w:szCs w:val="20"/>
          <w:color w:val="auto"/>
        </w:rPr>
      </w:pPr>
      <w:r>
        <w:rPr>
          <w:rFonts w:ascii="Times New Roman" w:cs="Times New Roman" w:eastAsia="Times New Roman" w:hAnsi="Times New Roman"/>
          <w:sz w:val="18"/>
          <w:szCs w:val="18"/>
          <w:color w:val="auto"/>
        </w:rPr>
        <w:t>other major tax jurisdictions. Additionally, the 2015–2020 years remain subject to examination for determining the amount of NOL and other carryforwards.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income tax payments, net of refunds, consists of the following: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2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6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State Taxes</w:t>
            </w:r>
          </w:p>
        </w:tc>
        <w:tc>
          <w:tcPr>
            <w:tcW w:w="196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680" w:type="dxa"/>
            <w:vAlign w:val="bottom"/>
            <w:vMerge w:val="continue"/>
          </w:tcPr>
          <w:p>
            <w:pPr>
              <w:spacing w:after="0"/>
              <w:rPr>
                <w:sz w:val="15"/>
                <w:szCs w:val="15"/>
                <w:color w:val="auto"/>
              </w:rPr>
            </w:pPr>
          </w:p>
        </w:tc>
        <w:tc>
          <w:tcPr>
            <w:tcW w:w="1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AL</w:t>
            </w:r>
          </w:p>
        </w:tc>
        <w:tc>
          <w:tcPr>
            <w:tcW w:w="288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w:t>
            </w:r>
          </w:p>
        </w:tc>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FL</w:t>
            </w:r>
          </w:p>
        </w:tc>
        <w:tc>
          <w:tcPr>
            <w:tcW w:w="19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IA</w:t>
            </w:r>
          </w:p>
        </w:tc>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IL</w:t>
            </w:r>
          </w:p>
        </w:tc>
        <w:tc>
          <w:tcPr>
            <w:tcW w:w="19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w:t>
            </w:r>
          </w:p>
        </w:tc>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MO</w:t>
            </w:r>
          </w:p>
        </w:tc>
        <w:tc>
          <w:tcPr>
            <w:tcW w:w="19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w:t>
            </w:r>
          </w:p>
        </w:tc>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TX</w:t>
            </w:r>
          </w:p>
        </w:tc>
        <w:tc>
          <w:tcPr>
            <w:tcW w:w="19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State Jurisdictions</w:t>
            </w:r>
          </w:p>
        </w:tc>
        <w:tc>
          <w:tcPr>
            <w:tcW w:w="19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taxes paid, net of (refunds)</w:t>
            </w:r>
          </w:p>
        </w:tc>
        <w:tc>
          <w:tcPr>
            <w:tcW w:w="288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410</w:t>
            </w:r>
          </w:p>
        </w:tc>
        <w:tc>
          <w:tcPr>
            <w:tcW w:w="16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6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4680" w:type="dxa"/>
            <w:vAlign w:val="bottom"/>
            <w:tcBorders>
              <w:top w:val="single" w:sz="8" w:color="CFF0FC"/>
            </w:tcBorders>
          </w:tcPr>
          <w:p>
            <w:pPr>
              <w:spacing w:after="0" w:line="121" w:lineRule="exact"/>
              <w:rPr>
                <w:sz w:val="20"/>
                <w:szCs w:val="20"/>
                <w:color w:val="auto"/>
              </w:rPr>
            </w:pPr>
            <w:r>
              <w:rPr>
                <w:rFonts w:ascii="Times New Roman" w:cs="Times New Roman" w:eastAsia="Times New Roman" w:hAnsi="Times New Roman"/>
                <w:sz w:val="11"/>
                <w:szCs w:val="11"/>
                <w:color w:val="auto"/>
              </w:rPr>
              <w:t>_____________________________</w:t>
            </w:r>
          </w:p>
        </w:tc>
        <w:tc>
          <w:tcPr>
            <w:tcW w:w="1960" w:type="dxa"/>
            <w:vAlign w:val="bottom"/>
            <w:tcBorders>
              <w:top w:val="single" w:sz="8" w:color="CFF0FC"/>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-114300</wp:posOffset>
            </wp:positionV>
            <wp:extent cx="768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-97155</wp:posOffset>
            </wp:positionV>
            <wp:extent cx="7683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-114300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-97155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-114300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-97155</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Taxes paid for this jurisdiction are included in “other” because they are immaterial for that year.</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Sales Commitments </w:t>
      </w:r>
      <w:r>
        <w:rPr>
          <w:rFonts w:ascii="Times New Roman" w:cs="Times New Roman" w:eastAsia="Times New Roman" w:hAnsi="Times New Roman"/>
          <w:sz w:val="18"/>
          <w:szCs w:val="18"/>
          <w:color w:val="auto"/>
        </w:rPr>
        <w:t>– We have the following significant sales commitments.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Nitric acid supply agreement – We are party to an agreement with a customer to supply nitric acid. Under the agreement, we agreed to supply between 70,000 to 100,000 tons of nitric acid annually. The initial contract term began in 2021 and extends through 2027 but includes automatic one-year renewal terms unless terminated by either party in writing 180 days before the current contract expiration date.</w:t>
      </w:r>
    </w:p>
    <w:p>
      <w:pPr>
        <w:spacing w:after="0" w:line="6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Low carbon ammonium nitrate solution agreement – We are a party to an agreement with a customer to supply low carbon ammonium nitrate solution. Under the agreement, we agreed to supply 150,000 tons of low carbon ammonium nitrate solution annually. The initial contract term began in 2025 with a phasing in of the low carbon contracted volume and extends through 2029. The contract may be terminated by mutual written agreement and the customer may terminate upon one year’s written notice subject to certain termination fees.</w:t>
      </w:r>
    </w:p>
    <w:p>
      <w:pPr>
        <w:spacing w:after="0" w:line="6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Outstanding Natural Gas Purchase Commitments – </w:t>
      </w:r>
      <w:r>
        <w:rPr>
          <w:rFonts w:ascii="Times New Roman" w:cs="Times New Roman" w:eastAsia="Times New Roman" w:hAnsi="Times New Roman"/>
          <w:sz w:val="18"/>
          <w:szCs w:val="18"/>
          <w:color w:val="auto"/>
        </w:rPr>
        <w:t>Certain of our natural gas contracts qualify for the NPNS exception under U.S. GAAP and thus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financial instruments for which we mark-to-market. At December 31, 2025, these contracts included volume purchase commitments with fixed prices of approximately 0.2 million MMBtus of natural gas that cover a period from January 2026 through March 2026. The weighted-average price of the natural gas covered by these contracts was $4.39 per MMBtu, for a total of $0.7 million. Based on strip prices, the weighted-average market price of the fixed contracts was $4.39 per MMBtu for a total of $0.7 million.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standby letters of credit outstanding of approximately $0.2 million as of December 31, 2025.</w:t>
      </w:r>
    </w:p>
    <w:p>
      <w:pPr>
        <w:spacing w:after="0" w:line="11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Wastewater Pipeline Operating Agreement – </w:t>
      </w:r>
      <w:r>
        <w:rPr>
          <w:rFonts w:ascii="Times New Roman" w:cs="Times New Roman" w:eastAsia="Times New Roman" w:hAnsi="Times New Roman"/>
          <w:sz w:val="18"/>
          <w:szCs w:val="18"/>
          <w:color w:val="auto"/>
        </w:rPr>
        <w:t>We are party to an operating agreement for the right to use a pipeline to dispose certain wastewater. We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contractually obligated to pay a portion of the annual operating costs of the pipeline, as incurred, which portion is estimated to be $60,000 to $90,000 annually. The initial term of the operating agreement is through December 2053.</w:t>
      </w:r>
    </w:p>
    <w:p>
      <w:pPr>
        <w:spacing w:after="0" w:line="6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Performance and Payment Bonds – </w:t>
      </w:r>
      <w:r>
        <w:rPr>
          <w:rFonts w:ascii="Times New Roman" w:cs="Times New Roman" w:eastAsia="Times New Roman" w:hAnsi="Times New Roman"/>
          <w:sz w:val="18"/>
          <w:szCs w:val="18"/>
          <w:color w:val="auto"/>
        </w:rPr>
        <w:t>We are contingently liable to sureties in respect of certain insurance bonds issued by the sureties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contracts entered into by certain subsidiaries in the normal course of business. These insurance bonds primarily represent guarantees of future performance of our subsidiaries. As of December 31, 2025, we have agreed to indemnify the sureties for payments, up to $10.2 million, made by them in respect of such bonds. All of these insurance bonds are expected to remain in place in 2026.</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32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Employment and Severance Agreements - </w:t>
      </w:r>
      <w:r>
        <w:rPr>
          <w:rFonts w:ascii="Times New Roman" w:cs="Times New Roman" w:eastAsia="Times New Roman" w:hAnsi="Times New Roman"/>
          <w:sz w:val="18"/>
          <w:szCs w:val="18"/>
          <w:color w:val="auto"/>
        </w:rPr>
        <w:t>We have employment and severance agreements with several of our officers. The agreements, as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for annual base salaries, bonuses and other benefits commonly found in such agreements. Based on existing agreements as of December 31, 2025, assuming a termination of employment during a specified period leading up to or following a change in control (as defined in the agreements), we would be required to provide for aggregate payments of $11.7 million. Also see Note 10 – Employee Savings and Stock Purchase Plans, Collective Bargaining Agreements and Executive Benefit Agreement.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facilities and operations are subject to numerous federal, state and local environmental laws and to other laws regarding health and safety matters (collectively,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w:t>
      </w:r>
    </w:p>
    <w:p>
      <w:pPr>
        <w:spacing w:after="0" w:line="8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addition, claims for damages to persons or property, including natural resources, may result from the environmental, health and safety effects of our operations.</w:t>
      </w:r>
    </w:p>
    <w:p>
      <w:pPr>
        <w:spacing w:after="0" w:line="5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Further, a number of our facilities are dependent on environmental permits to operate, the loss or modification of which could have a material adverse effect on their operations and our financial condition.</w:t>
      </w:r>
    </w:p>
    <w:p>
      <w:pPr>
        <w:spacing w:after="0" w:line="8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Historically, significant capital expenditures have been incurred by our subsidiaries in order to comply with the Environmental and Health Laws and significant capital expenditures are expected to be incurred in the future. We will also be obligated to manage certain discharge water outlets and monitor groundwater contaminants at our facilities should we discontinue the operations of a facility.</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December 31, 2025, our accrued liabilities for environmental matters totaled approximately $0.7 million relating primarily to the matters discussed below. Estimates of the most likely costs for our environmental matters are generally based on preliminary or completed assessment studies, preliminary results of studies, or our experience with other similar matters. It is reasonably possible that a change in the estimate of our liability could occur in the near term.</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Discharge Water Matters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of our manufacturing facilities generates process wastewater, which may include cooling tower and boiler water quality control streams, contact storm water and miscellaneous spills and leaks from process equipment. The process water discharge, storm-water runoff and miscellaneous spills and leaks are governed by various permits generally issued by the respective state environmental agencies as authorized and overseen by the United States Environmental Protection Agency (the “EPA”). These permits limit the type and volume of effluents that can be discharged and control the method of such discharge.</w:t>
      </w:r>
    </w:p>
    <w:p>
      <w:pPr>
        <w:spacing w:after="0" w:line="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2017, the Company filed a Permit Renewal Application for its Non-Hazardous Injection Well Permit at the Pryor Facility. Although the Injection Well Permit expired in 2018, we continue to operate the injection well in accordance with an executed November 2023 Consent Order with the Oklahoma Department of Environmental Quality (“ODEQ”) that allows for the continued use of the injection well until a wastewater treatment process is designed, built and operational. The Company continues to work with the ODEQ under the terms of the Consent Order. We have identified and selected a wastewater treatment technology using biological processes that can and will treat the nitrogen-containing wastewater streams at our Pryor Facility. We are unable to estimate the costs related to the replacement of the disposal well at this time as we are in the early stages of design for the wastewater treatment process with a wastewater process design engineering firm. We have also commenced preliminary discussions with the ODEQ on permitting the treated wastewater discharges, but have not received any confirmation from the ODEQ on their preliminary acceptance of our treated wastewater stream.</w:t>
      </w:r>
    </w:p>
    <w:p>
      <w:pPr>
        <w:spacing w:after="0" w:line="84"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In 2006, the Company entered into a Consent Administrative Order (“CAO”) that recognizes the presence of nitrate contamination in the shallow groundwater at our El Dorado Facility. The CAO required us to perform semi-annual groundwater monitoring, continue operation of a groundwater recovery system, submit a human health and ecological risk assessment and submit a remedial action 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33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risk assessment was submitted in 2007. In 2015, the Arkansas Department of Environmental Quality (“ADEQ”) stated that the El Dorado Facility was meeting the requirements of the CAO and should continue semi-annual monitoring. A CAO was signed in 2018, which required an Evaluation Report of the data and effectiveness of the groundwater remedy for nitrate contamination. During 2019, the Evaluation Report was submitted to the ADEQ and the ADEQ approved the report. In August 2023, the Company received a Notice of Violation (“NOV”) for wastewater discharges from our El Dorado Facility. We have been in discussions with the ADEQ about our response to the NOV. The ADEQ provided notice of the cash penalty amount related to the NOV, which amount was not material and was paid in the third quarter of 2025.</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Environmental Matters</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2002, certain of our subsidiaries sold substantially all of their operating assets relating to a Kansas chemical facility (the “Hallowell Facility”) but retained ownership of the real property where the facility is located. Our subsidiary retained the obligation to be responsible for and perform the activities under a previously executed consent order to investigate the surface and subsurface contamination at the real property, develop a corrective action strategy based on the investigation and implement such strategy. In addition, certain of our subsidiaries agreed to indemnify the buyer of such assets for these environmental matters.</w:t>
      </w:r>
    </w:p>
    <w:p>
      <w:pPr>
        <w:spacing w:after="0" w:line="75"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As the successor to a prior owner of the Hallowell Facility, Chevron Environmental Management Company (“Chevron”) has agreed in writing, within certain limitations, to pay and has been paying one-half of the costs of the investigation and interim measures relating to this matter as approved by the Kansas Department of Health and Environment (the “KDHE”), subject to reallocation.</w:t>
      </w:r>
    </w:p>
    <w:p>
      <w:pPr>
        <w:spacing w:after="0" w:line="6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During this process, our subsidiary and Chevron retained an environmental consultant that prepared and performed a corrective action study work plan as to the appropriate method to remediate the Hallowell Facility. During 2020, the KDHE selected a remedy of annual monitoring and the implementation of an Environmental Use Control (“EUC”). This remedy primarily relates to long-term surface and groundwater monitoring to track the natural decline in contamination and is subject to a periodic review with the KDHE. At this time there is no review scheduled.</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final remedy, including the EUC, the finalization of the cost estimates and any required financial assurances remains under discussion with the KDHE. Pending the results from our discussions regarding the final remedy, we continue to accrue our allocable portion of costs primarily for the additional testing, monitoring and risk assessments that could be reasonably estimated, which amount is included in our accrued liabilities for environmental matters discussed above. The estimated amount is not discounted to its present value. As more information becomes available, our estimated accrual will be refined, as necessary.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Pending, Threatened or Settled Litigation</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also involved in various other claims and legal actions (including matters involving gain contingencies) in the ordinary course of our business. While it is possible that the actual claims results could differ from our estimates, after consultation with legal counsel, we believe that any such differences will not have a material effect on our business, financial condition, results of operations or cash flows.</w:t>
      </w:r>
    </w:p>
    <w:p>
      <w:pPr>
        <w:spacing w:after="0" w:line="64" w:lineRule="exact"/>
        <w:rPr>
          <w:sz w:val="20"/>
          <w:szCs w:val="20"/>
          <w:color w:val="auto"/>
        </w:rPr>
      </w:pPr>
    </w:p>
    <w:p>
      <w:pPr>
        <w:ind w:left="200" w:right="7440" w:hanging="192"/>
        <w:spacing w:after="0" w:line="354" w:lineRule="auto"/>
        <w:tabs>
          <w:tab w:leader="none" w:pos="193"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 Hedges and Financial Instruments Natural Gas Contracts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Periodically, we enter into certain forward natural gas contracts or volume purchase commitments which are within the scope of derivative accounting.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natural gas contracts throughout 2025, 2024 and 2023 were accounted for as derivatives as we elected the NPNS exception on those contracts.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our discussion in Note 1 – Summary of Significant Accounting Policies regarding derivatives.</w:t>
      </w:r>
    </w:p>
    <w:p>
      <w:pPr>
        <w:spacing w:after="0" w:line="9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242424"/>
        </w:rPr>
        <w:t xml:space="preserve">From time to time, when the Company exceeds the funding threshold in our natural gas purchase commitments, the Company is required to fund cash collateral to our counterparty. </w:t>
      </w:r>
      <w:r>
        <w:rPr>
          <w:rFonts w:ascii="Times New Roman" w:cs="Times New Roman" w:eastAsia="Times New Roman" w:hAnsi="Times New Roman"/>
          <w:sz w:val="18"/>
          <w:szCs w:val="18"/>
          <w:color w:val="000000"/>
        </w:rPr>
        <w:t>As of December 31, 2025, we had no counterparty cash collateral funding requirements.</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December 31, 2025 and 2024, we did not have any financial instruments with fair values materially different from their carrying amounts (which excludes issuance costs, if applicable) except for our Senior Secured Notes in 2024. The fair value of our Senior Secured Notes is classified as a Level 2 fair value measurement while the treasury securities that comprise our cash equivalents and short-term investments are a Level 1. The fair value of financial instruments is not indicative of the overall fair value of our assets and liabilities since financial instruments do not include all assets, including intangibles and all liabilities.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38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gridSpan w:val="2"/>
          </w:tcPr>
          <w:p>
            <w:pPr>
              <w:jc w:val="center"/>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60" w:type="dxa"/>
            <w:vAlign w:val="bottom"/>
          </w:tcPr>
          <w:p>
            <w:pPr>
              <w:spacing w:after="0"/>
              <w:rPr>
                <w:sz w:val="10"/>
                <w:szCs w:val="10"/>
                <w:color w:val="auto"/>
              </w:rPr>
            </w:pPr>
          </w:p>
        </w:tc>
        <w:tc>
          <w:tcPr>
            <w:tcW w:w="980" w:type="dxa"/>
            <w:vAlign w:val="bottom"/>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120" w:type="dxa"/>
            <w:vAlign w:val="bottom"/>
          </w:tcPr>
          <w:p>
            <w:pPr>
              <w:spacing w:after="0"/>
              <w:rPr>
                <w:sz w:val="10"/>
                <w:szCs w:val="10"/>
                <w:color w:val="auto"/>
              </w:rPr>
            </w:pPr>
          </w:p>
        </w:tc>
      </w:tr>
      <w:tr>
        <w:trPr>
          <w:trHeight w:val="173"/>
        </w:trPr>
        <w:tc>
          <w:tcPr>
            <w:tcW w:w="38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r>
      <w:tr>
        <w:trPr>
          <w:trHeight w:val="142"/>
        </w:trPr>
        <w:tc>
          <w:tcPr>
            <w:tcW w:w="3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ind w:left="72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3"/>
              </w:rPr>
              <w:t>Millions)</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8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Senior Secured Notes </w:t>
            </w:r>
            <w:r>
              <w:rPr>
                <w:rFonts w:ascii="Times New Roman" w:cs="Times New Roman" w:eastAsia="Times New Roman" w:hAnsi="Times New Roman"/>
                <w:sz w:val="24"/>
                <w:szCs w:val="24"/>
                <w:color w:val="auto"/>
                <w:vertAlign w:val="superscript"/>
              </w:rPr>
              <w:t>(1)</w:t>
            </w:r>
          </w:p>
        </w:tc>
        <w:tc>
          <w:tcPr>
            <w:tcW w:w="2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439</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b w:val="1"/>
                <w:bCs w:val="1"/>
                <w:color w:val="auto"/>
              </w:rPr>
              <w:t>436</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478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461</w:t>
            </w:r>
          </w:p>
        </w:tc>
      </w:tr>
      <w:tr>
        <w:trPr>
          <w:trHeight w:val="202"/>
        </w:trPr>
        <w:tc>
          <w:tcPr>
            <w:tcW w:w="3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Short-Term Investments</w:t>
            </w:r>
          </w:p>
        </w:tc>
        <w:tc>
          <w:tcPr>
            <w:tcW w:w="222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120"/>
              <w:spacing w:after="0" w:line="202" w:lineRule="exact"/>
              <w:rPr>
                <w:sz w:val="20"/>
                <w:szCs w:val="20"/>
                <w:color w:val="auto"/>
              </w:rPr>
            </w:pPr>
            <w:r>
              <w:rPr>
                <w:rFonts w:ascii="Times New Roman" w:cs="Times New Roman" w:eastAsia="Times New Roman" w:hAnsi="Times New Roman"/>
                <w:sz w:val="18"/>
                <w:szCs w:val="18"/>
                <w:b w:val="1"/>
                <w:bCs w:val="1"/>
                <w:color w:val="auto"/>
              </w:rPr>
              <w:t>129</w:t>
            </w:r>
          </w:p>
        </w:tc>
        <w:tc>
          <w:tcPr>
            <w:tcW w:w="28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ind w:left="700"/>
              <w:spacing w:after="0" w:line="202" w:lineRule="exact"/>
              <w:rPr>
                <w:sz w:val="20"/>
                <w:szCs w:val="20"/>
                <w:color w:val="auto"/>
              </w:rPr>
            </w:pPr>
            <w:r>
              <w:rPr>
                <w:rFonts w:ascii="Times New Roman" w:cs="Times New Roman" w:eastAsia="Times New Roman" w:hAnsi="Times New Roman"/>
                <w:sz w:val="18"/>
                <w:szCs w:val="18"/>
                <w:b w:val="1"/>
                <w:bCs w:val="1"/>
                <w:color w:val="auto"/>
              </w:rPr>
              <w:t>129</w:t>
            </w:r>
          </w:p>
        </w:tc>
        <w:tc>
          <w:tcPr>
            <w:tcW w:w="400" w:type="dxa"/>
            <w:vAlign w:val="bottom"/>
            <w:gridSpan w:val="2"/>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rPr>
              <w:t>164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164</w:t>
            </w:r>
          </w:p>
        </w:tc>
      </w:tr>
      <w:tr>
        <w:trPr>
          <w:trHeight w:val="140"/>
        </w:trPr>
        <w:tc>
          <w:tcPr>
            <w:tcW w:w="380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_____________________________</w:t>
            </w:r>
          </w:p>
        </w:tc>
        <w:tc>
          <w:tcPr>
            <w:tcW w:w="2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bl>
    <w:p>
      <w:pPr>
        <w:spacing w:after="0" w:line="89" w:lineRule="exact"/>
        <w:rPr>
          <w:sz w:val="20"/>
          <w:szCs w:val="20"/>
          <w:color w:val="auto"/>
        </w:rPr>
      </w:pPr>
    </w:p>
    <w:p>
      <w:pPr>
        <w:ind w:left="960" w:hanging="503"/>
        <w:spacing w:after="0"/>
        <w:tabs>
          <w:tab w:leader="none" w:pos="960"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 quoted price of 99.5 as of December 31, 2025 and 96.38 as of December 31, 2024.</w:t>
      </w:r>
    </w:p>
    <w:p>
      <w:pPr>
        <w:spacing w:after="0" w:line="118" w:lineRule="exact"/>
        <w:rPr>
          <w:rFonts w:ascii="Times New Roman" w:cs="Times New Roman" w:eastAsia="Times New Roman" w:hAnsi="Times New Roman"/>
          <w:sz w:val="16"/>
          <w:szCs w:val="16"/>
          <w:color w:val="auto"/>
        </w:rPr>
      </w:pPr>
    </w:p>
    <w:p>
      <w:pPr>
        <w:ind w:left="180" w:hanging="172"/>
        <w:spacing w:after="0"/>
        <w:tabs>
          <w:tab w:leader="none" w:pos="1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17"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2025 Long Term Incentive Plan </w:t>
      </w:r>
      <w:r>
        <w:rPr>
          <w:rFonts w:ascii="Times New Roman" w:cs="Times New Roman" w:eastAsia="Times New Roman" w:hAnsi="Times New Roman"/>
          <w:sz w:val="18"/>
          <w:szCs w:val="18"/>
          <w:color w:val="auto"/>
        </w:rPr>
        <w:t>– Our equity award grants during the periods presented below were granted under the 2025 Long Term Incentive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“2025 Plan”) and the 2016 Long Term Incentive Plan (the “2016 Plan”). The 2025 Plan replaced the 2016 Plan in May 2025. No awards may be granted under the 2025 Plan on and after the tenth anniversary of its effective date. The 2025 Plan is administered by the compensation committee (the “Committee”) of our Board and allows for, among others, the following types of awards: restricted stock, restricted stock units, and other stock and cash-based awards, stock appreciation rights and stock options. No further equity awards may be granted from the 2016 Plan after May 15, 2025, the effective date of the 2025 Plan. As of December 31, 2025, the maximum aggregate number of shares currently authorized for issuance under the 2025 Plan is 4,000,000 shares with 3,907,000 shares available to be issued.</w:t>
      </w:r>
    </w:p>
    <w:p>
      <w:pPr>
        <w:spacing w:after="0" w:line="7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Restricted Stock Units </w:t>
      </w:r>
      <w:r>
        <w:rPr>
          <w:rFonts w:ascii="Times New Roman" w:cs="Times New Roman" w:eastAsia="Times New Roman" w:hAnsi="Times New Roman"/>
          <w:sz w:val="18"/>
          <w:szCs w:val="18"/>
          <w:color w:val="auto"/>
        </w:rPr>
        <w:t>– During 2025, time-based restricted stock units (“RSUs”) and performance-based restricted stock units (“PBRSUs”) were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certain executives and employees. The time-based RSUs are service-condition grants and vest in equal annual increments over three years (majority of awards) or in full at the end of three years. The PBRSUs granted in 2025 vest in three years and are based on a market condition. The 2024 and 2023 time-based RSUs and PBRSUs were granted with similar vesting conditions as the grants in 2025. Details of the market and performance conditions are discussed further below.</w:t>
      </w:r>
    </w:p>
    <w:p>
      <w:pPr>
        <w:spacing w:after="0" w:line="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generally grant RSUs to our non-employee directors annually. Vesting of our director grants occurs upon the earliest of: (i) the director’s separation from service, (ii) the first anniversary of the grant date, or (iii) the occurrence of a change of control, as defined by the agreement. Since the separation from service vesting provision effectively allows an award to vest with no minimum service requirement, these awards are fully expensed on the date they were granted.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equity award activity during 2025 is presented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1980" w:type="dxa"/>
            <w:vAlign w:val="bottom"/>
            <w:gridSpan w:val="5"/>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 xml:space="preserve">Restricted Stock </w:t>
            </w:r>
            <w:r>
              <w:rPr>
                <w:rFonts w:ascii="Times New Roman" w:cs="Times New Roman" w:eastAsia="Times New Roman" w:hAnsi="Times New Roman"/>
                <w:sz w:val="21"/>
                <w:szCs w:val="21"/>
                <w:b w:val="1"/>
                <w:bCs w:val="1"/>
                <w:color w:val="auto"/>
                <w:vertAlign w:val="superscript"/>
              </w:rPr>
              <w:t>(1)</w:t>
            </w:r>
          </w:p>
        </w:tc>
        <w:tc>
          <w:tcPr>
            <w:tcW w:w="240" w:type="dxa"/>
            <w:vAlign w:val="bottom"/>
            <w:vMerge w:val="restart"/>
          </w:tcPr>
          <w:p>
            <w:pPr>
              <w:spacing w:after="0"/>
              <w:rPr>
                <w:sz w:val="13"/>
                <w:szCs w:val="13"/>
                <w:color w:val="auto"/>
              </w:rPr>
            </w:pPr>
          </w:p>
        </w:tc>
        <w:tc>
          <w:tcPr>
            <w:tcW w:w="224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19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260" w:type="dxa"/>
            <w:vAlign w:val="bottom"/>
            <w:gridSpan w:val="2"/>
            <w:vMerge w:val="restart"/>
          </w:tcPr>
          <w:p>
            <w:pPr>
              <w:spacing w:after="0"/>
              <w:rPr>
                <w:sz w:val="13"/>
                <w:szCs w:val="13"/>
                <w:color w:val="auto"/>
              </w:rPr>
            </w:pPr>
          </w:p>
        </w:tc>
        <w:tc>
          <w:tcPr>
            <w:tcW w:w="204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Performance Based Restricted</w:t>
            </w:r>
          </w:p>
        </w:tc>
        <w:tc>
          <w:tcPr>
            <w:tcW w:w="0" w:type="dxa"/>
            <w:vAlign w:val="bottom"/>
          </w:tcPr>
          <w:p>
            <w:pPr>
              <w:spacing w:after="0"/>
              <w:rPr>
                <w:sz w:val="1"/>
                <w:szCs w:val="1"/>
                <w:color w:val="auto"/>
              </w:rPr>
            </w:pPr>
          </w:p>
        </w:tc>
      </w:tr>
      <w:tr>
        <w:trPr>
          <w:trHeight w:val="175"/>
        </w:trPr>
        <w:tc>
          <w:tcPr>
            <w:tcW w:w="2560" w:type="dxa"/>
            <w:vAlign w:val="bottom"/>
          </w:tcPr>
          <w:p>
            <w:pPr>
              <w:spacing w:after="0"/>
              <w:rPr>
                <w:sz w:val="15"/>
                <w:szCs w:val="15"/>
                <w:color w:val="auto"/>
              </w:rPr>
            </w:pPr>
          </w:p>
        </w:tc>
        <w:tc>
          <w:tcPr>
            <w:tcW w:w="1980" w:type="dxa"/>
            <w:vAlign w:val="bottom"/>
            <w:tcBorders>
              <w:bottom w:val="single" w:sz="8" w:color="auto"/>
            </w:tcBorders>
            <w:gridSpan w:val="5"/>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2000" w:type="dxa"/>
            <w:vAlign w:val="bottom"/>
            <w:tcBorders>
              <w:bottom w:val="single" w:sz="8" w:color="auto"/>
            </w:tcBorders>
            <w:gridSpan w:val="5"/>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7"/>
              </w:rPr>
              <w:t xml:space="preserve">Restricted Stock </w:t>
            </w:r>
            <w:r>
              <w:rPr>
                <w:rFonts w:ascii="Times New Roman" w:cs="Times New Roman" w:eastAsia="Times New Roman" w:hAnsi="Times New Roman"/>
                <w:sz w:val="20"/>
                <w:szCs w:val="20"/>
                <w:b w:val="1"/>
                <w:bCs w:val="1"/>
                <w:color w:val="auto"/>
                <w:w w:val="97"/>
                <w:vertAlign w:val="superscript"/>
              </w:rPr>
              <w:t>(1)(2)</w:t>
            </w:r>
          </w:p>
        </w:tc>
        <w:tc>
          <w:tcPr>
            <w:tcW w:w="240" w:type="dxa"/>
            <w:vAlign w:val="bottom"/>
          </w:tcPr>
          <w:p>
            <w:pPr>
              <w:spacing w:after="0"/>
              <w:rPr>
                <w:sz w:val="15"/>
                <w:szCs w:val="15"/>
                <w:color w:val="auto"/>
              </w:rPr>
            </w:pPr>
          </w:p>
        </w:tc>
        <w:tc>
          <w:tcPr>
            <w:tcW w:w="1920" w:type="dxa"/>
            <w:vAlign w:val="bottom"/>
            <w:tcBorders>
              <w:bottom w:val="single" w:sz="8" w:color="auto"/>
            </w:tcBorders>
            <w:gridSpan w:val="5"/>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19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560" w:type="dxa"/>
            <w:vAlign w:val="bottom"/>
            <w:tcBorders>
              <w:right w:val="single" w:sz="8" w:color="CFF0FC"/>
            </w:tcBorders>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0" w:type="dxa"/>
            <w:vAlign w:val="bottom"/>
            <w:gridSpan w:val="2"/>
            <w:shd w:val="clear" w:color="auto" w:fill="CFF0FC"/>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tcBorders>
              <w:right w:val="single" w:sz="8" w:color="CFF0FC"/>
            </w:tcBorders>
            <w:gridSpan w:val="3"/>
            <w:shd w:val="clear" w:color="auto" w:fill="CFF0FC"/>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8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9"/>
        </w:trPr>
        <w:tc>
          <w:tcPr>
            <w:tcW w:w="2560" w:type="dxa"/>
            <w:vAlign w:val="bottom"/>
            <w:tcBorders>
              <w:right w:val="single" w:sz="8" w:color="CFF0FC"/>
            </w:tcBorders>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tcBorders>
              <w:right w:val="single" w:sz="8" w:color="CFF0FC"/>
            </w:tcBorders>
            <w:gridSpan w:val="3"/>
            <w:shd w:val="clear" w:color="auto" w:fill="CFF0FC"/>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560" w:type="dxa"/>
            <w:vAlign w:val="bottom"/>
            <w:tcBorders>
              <w:right w:val="single" w:sz="8" w:color="CFF0FC"/>
            </w:tcBorders>
            <w:shd w:val="clear" w:color="auto" w:fill="CFF0FC"/>
          </w:tcPr>
          <w:p>
            <w:pPr>
              <w:spacing w:after="0"/>
              <w:rPr>
                <w:sz w:val="12"/>
                <w:szCs w:val="12"/>
                <w:color w:val="auto"/>
              </w:rPr>
            </w:pPr>
          </w:p>
        </w:tc>
        <w:tc>
          <w:tcPr>
            <w:tcW w:w="680" w:type="dxa"/>
            <w:vAlign w:val="bottom"/>
            <w:vMerge w:val="restart"/>
            <w:shd w:val="clear" w:color="auto" w:fill="CFF0FC"/>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80" w:type="dxa"/>
            <w:vAlign w:val="bottom"/>
            <w:gridSpan w:val="3"/>
            <w:shd w:val="clear" w:color="auto" w:fill="CFF0FC"/>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920" w:type="dxa"/>
            <w:vAlign w:val="bottom"/>
            <w:vMerge w:val="restart"/>
            <w:shd w:val="clear" w:color="auto" w:fill="CFF0FC"/>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vMerge w:val="restart"/>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gridSpan w:val="3"/>
            <w:shd w:val="clear" w:color="auto" w:fill="CFF0FC"/>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900" w:type="dxa"/>
            <w:vAlign w:val="bottom"/>
            <w:vMerge w:val="restart"/>
            <w:shd w:val="clear" w:color="auto" w:fill="CFF0FC"/>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tcBorders>
              <w:right w:val="single" w:sz="8" w:color="CFF0FC"/>
            </w:tcBorders>
            <w:gridSpan w:val="4"/>
            <w:shd w:val="clear" w:color="auto" w:fill="CFF0FC"/>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860" w:type="dxa"/>
            <w:vAlign w:val="bottom"/>
            <w:vMerge w:val="restart"/>
            <w:shd w:val="clear" w:color="auto" w:fill="CFF0FC"/>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vMerge w:val="restart"/>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3"/>
            <w:shd w:val="clear" w:color="auto" w:fill="CFF0FC"/>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2560" w:type="dxa"/>
            <w:vAlign w:val="bottom"/>
            <w:tcBorders>
              <w:bottom w:val="single" w:sz="8" w:color="CFF0FC"/>
              <w:right w:val="single" w:sz="8" w:color="CFF0FC"/>
            </w:tcBorders>
            <w:shd w:val="clear" w:color="auto" w:fill="CFF0FC"/>
          </w:tcPr>
          <w:p>
            <w:pPr>
              <w:spacing w:after="0"/>
              <w:rPr>
                <w:sz w:val="15"/>
                <w:szCs w:val="15"/>
                <w:color w:val="auto"/>
              </w:rPr>
            </w:pPr>
          </w:p>
        </w:tc>
        <w:tc>
          <w:tcPr>
            <w:tcW w:w="68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vMerge w:val="continue"/>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auto"/>
            </w:tcBorders>
            <w:vMerge w:val="continue"/>
            <w:shd w:val="clear" w:color="auto" w:fill="CFF0FC"/>
          </w:tcPr>
          <w:p>
            <w:pPr>
              <w:spacing w:after="0"/>
              <w:rPr>
                <w:sz w:val="15"/>
                <w:szCs w:val="15"/>
                <w:color w:val="auto"/>
              </w:rPr>
            </w:pPr>
          </w:p>
        </w:tc>
        <w:tc>
          <w:tcPr>
            <w:tcW w:w="120" w:type="dxa"/>
            <w:vAlign w:val="bottom"/>
            <w:tcBorders>
              <w:bottom w:val="single" w:sz="8" w:color="CFF0FC"/>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auto"/>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60" w:type="dxa"/>
            <w:vAlign w:val="bottom"/>
            <w:tcBorders>
              <w:bottom w:val="single" w:sz="8" w:color="CFF0FC"/>
              <w:right w:val="single" w:sz="8" w:color="CFF0FC"/>
            </w:tcBorders>
            <w:gridSpan w:val="2"/>
            <w:shd w:val="clear" w:color="auto" w:fill="CFF0FC"/>
          </w:tcPr>
          <w:p>
            <w:pPr>
              <w:spacing w:after="0"/>
              <w:rPr>
                <w:sz w:val="15"/>
                <w:szCs w:val="15"/>
                <w:color w:val="auto"/>
              </w:rPr>
            </w:pPr>
          </w:p>
        </w:tc>
        <w:tc>
          <w:tcPr>
            <w:tcW w:w="860" w:type="dxa"/>
            <w:vAlign w:val="bottom"/>
            <w:tcBorders>
              <w:bottom w:val="single" w:sz="8" w:color="auto"/>
            </w:tcBorders>
            <w:vMerge w:val="continue"/>
            <w:shd w:val="clear" w:color="auto" w:fill="CFF0FC"/>
          </w:tcPr>
          <w:p>
            <w:pPr>
              <w:spacing w:after="0"/>
              <w:rPr>
                <w:sz w:val="15"/>
                <w:szCs w:val="15"/>
                <w:color w:val="auto"/>
              </w:rPr>
            </w:pPr>
          </w:p>
        </w:tc>
        <w:tc>
          <w:tcPr>
            <w:tcW w:w="140" w:type="dxa"/>
            <w:vAlign w:val="bottom"/>
            <w:tcBorders>
              <w:bottom w:val="single" w:sz="8" w:color="CFF0FC"/>
            </w:tcBorders>
            <w:vMerge w:val="continue"/>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4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color w:val="auto"/>
              </w:rPr>
              <w:t>Unvested outstanding beginning of</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year</w:t>
            </w: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1,062,044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center"/>
              <w:ind w:left="321"/>
              <w:spacing w:after="0"/>
              <w:rPr>
                <w:sz w:val="20"/>
                <w:szCs w:val="20"/>
                <w:color w:val="auto"/>
              </w:rPr>
            </w:pPr>
            <w:r>
              <w:rPr>
                <w:rFonts w:ascii="Times New Roman" w:cs="Times New Roman" w:eastAsia="Times New Roman" w:hAnsi="Times New Roman"/>
                <w:sz w:val="16"/>
                <w:szCs w:val="16"/>
                <w:color w:val="auto"/>
                <w:w w:val="99"/>
              </w:rPr>
              <w:t>9.02</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626,049</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14.58</w:t>
            </w:r>
          </w:p>
        </w:tc>
        <w:tc>
          <w:tcPr>
            <w:tcW w:w="0" w:type="dxa"/>
            <w:vAlign w:val="bottom"/>
          </w:tcPr>
          <w:p>
            <w:pPr>
              <w:spacing w:after="0"/>
              <w:rPr>
                <w:sz w:val="1"/>
                <w:szCs w:val="1"/>
                <w:color w:val="auto"/>
              </w:rPr>
            </w:pPr>
          </w:p>
        </w:tc>
      </w:tr>
      <w:tr>
        <w:trPr>
          <w:trHeight w:val="205"/>
        </w:trPr>
        <w:tc>
          <w:tcPr>
            <w:tcW w:w="3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Granted</w:t>
            </w: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681,109</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FF0FC"/>
          </w:tcPr>
          <w:p>
            <w:pPr>
              <w:jc w:val="center"/>
              <w:ind w:left="321"/>
              <w:spacing w:after="0"/>
              <w:rPr>
                <w:sz w:val="20"/>
                <w:szCs w:val="20"/>
                <w:color w:val="auto"/>
              </w:rPr>
            </w:pPr>
            <w:r>
              <w:rPr>
                <w:rFonts w:ascii="Times New Roman" w:cs="Times New Roman" w:eastAsia="Times New Roman" w:hAnsi="Times New Roman"/>
                <w:sz w:val="16"/>
                <w:szCs w:val="16"/>
                <w:color w:val="auto"/>
                <w:w w:val="99"/>
              </w:rPr>
              <w:t>7.95</w:t>
            </w:r>
          </w:p>
        </w:tc>
        <w:tc>
          <w:tcPr>
            <w:tcW w:w="220" w:type="dxa"/>
            <w:vAlign w:val="bottom"/>
            <w:tcBorders>
              <w:right w:val="single" w:sz="8" w:color="CFF0FC"/>
            </w:tcBorders>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246,449</w:t>
            </w:r>
          </w:p>
        </w:tc>
        <w:tc>
          <w:tcPr>
            <w:tcW w:w="140" w:type="dxa"/>
            <w:vAlign w:val="bottom"/>
            <w:shd w:val="clear" w:color="auto" w:fill="CFF0FC"/>
          </w:tcPr>
          <w:p>
            <w:pPr>
              <w:spacing w:after="0"/>
              <w:rPr>
                <w:sz w:val="17"/>
                <w:szCs w:val="17"/>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15.12</w:t>
            </w:r>
          </w:p>
        </w:tc>
        <w:tc>
          <w:tcPr>
            <w:tcW w:w="0" w:type="dxa"/>
            <w:vAlign w:val="bottom"/>
          </w:tcPr>
          <w:p>
            <w:pPr>
              <w:spacing w:after="0"/>
              <w:rPr>
                <w:sz w:val="1"/>
                <w:szCs w:val="1"/>
                <w:color w:val="auto"/>
              </w:rPr>
            </w:pPr>
          </w:p>
        </w:tc>
      </w:tr>
      <w:tr>
        <w:trPr>
          <w:trHeight w:val="203"/>
        </w:trPr>
        <w:tc>
          <w:tcPr>
            <w:tcW w:w="3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Vested</w:t>
            </w: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(366,790)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center"/>
              <w:ind w:left="321"/>
              <w:spacing w:after="0"/>
              <w:rPr>
                <w:sz w:val="20"/>
                <w:szCs w:val="20"/>
                <w:color w:val="auto"/>
              </w:rPr>
            </w:pPr>
            <w:r>
              <w:rPr>
                <w:rFonts w:ascii="Times New Roman" w:cs="Times New Roman" w:eastAsia="Times New Roman" w:hAnsi="Times New Roman"/>
                <w:sz w:val="16"/>
                <w:szCs w:val="16"/>
                <w:color w:val="auto"/>
                <w:w w:val="99"/>
              </w:rPr>
              <w:t>9.91</w:t>
            </w:r>
          </w:p>
        </w:tc>
        <w:tc>
          <w:tcPr>
            <w:tcW w:w="22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(53,234)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13.23</w:t>
            </w:r>
          </w:p>
        </w:tc>
        <w:tc>
          <w:tcPr>
            <w:tcW w:w="0" w:type="dxa"/>
            <w:vAlign w:val="bottom"/>
          </w:tcPr>
          <w:p>
            <w:pPr>
              <w:spacing w:after="0"/>
              <w:rPr>
                <w:sz w:val="1"/>
                <w:szCs w:val="1"/>
                <w:color w:val="auto"/>
              </w:rPr>
            </w:pPr>
          </w:p>
        </w:tc>
      </w:tr>
      <w:tr>
        <w:trPr>
          <w:trHeight w:val="203"/>
        </w:trPr>
        <w:tc>
          <w:tcPr>
            <w:tcW w:w="25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Cancelled or forfeited</w:t>
            </w: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(105,615)</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FF0FC"/>
          </w:tcPr>
          <w:p>
            <w:pPr>
              <w:jc w:val="center"/>
              <w:ind w:left="321"/>
              <w:spacing w:after="0"/>
              <w:rPr>
                <w:sz w:val="20"/>
                <w:szCs w:val="20"/>
                <w:color w:val="auto"/>
              </w:rPr>
            </w:pPr>
            <w:r>
              <w:rPr>
                <w:rFonts w:ascii="Times New Roman" w:cs="Times New Roman" w:eastAsia="Times New Roman" w:hAnsi="Times New Roman"/>
                <w:sz w:val="16"/>
                <w:szCs w:val="16"/>
                <w:color w:val="auto"/>
                <w:w w:val="99"/>
              </w:rPr>
              <w:t>7.88</w:t>
            </w:r>
          </w:p>
        </w:tc>
        <w:tc>
          <w:tcPr>
            <w:tcW w:w="220" w:type="dxa"/>
            <w:vAlign w:val="bottom"/>
            <w:tcBorders>
              <w:right w:val="single" w:sz="8" w:color="CFF0FC"/>
            </w:tcBorders>
            <w:shd w:val="clear" w:color="auto" w:fill="CFF0FC"/>
          </w:tcPr>
          <w:p>
            <w:pPr>
              <w:spacing w:after="0"/>
              <w:rPr>
                <w:sz w:val="17"/>
                <w:szCs w:val="17"/>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(145,810)</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13.75</w:t>
            </w:r>
          </w:p>
        </w:tc>
        <w:tc>
          <w:tcPr>
            <w:tcW w:w="0" w:type="dxa"/>
            <w:vAlign w:val="bottom"/>
          </w:tcPr>
          <w:p>
            <w:pPr>
              <w:spacing w:after="0"/>
              <w:rPr>
                <w:sz w:val="1"/>
                <w:szCs w:val="1"/>
                <w:color w:val="auto"/>
              </w:rPr>
            </w:pPr>
          </w:p>
        </w:tc>
      </w:tr>
      <w:tr>
        <w:trPr>
          <w:trHeight w:val="20"/>
        </w:trPr>
        <w:tc>
          <w:tcPr>
            <w:tcW w:w="2560" w:type="dxa"/>
            <w:vAlign w:val="bottom"/>
            <w:tcBorders>
              <w:right w:val="single" w:sz="8" w:color="auto"/>
            </w:tcBorders>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Unvested outstanding end of year</w:t>
            </w:r>
          </w:p>
        </w:tc>
        <w:tc>
          <w:tcPr>
            <w:tcW w:w="680" w:type="dxa"/>
            <w:vAlign w:val="bottom"/>
          </w:tcPr>
          <w:p>
            <w:pPr>
              <w:spacing w:after="0"/>
              <w:rPr>
                <w:sz w:val="17"/>
                <w:szCs w:val="17"/>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1,270,748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center"/>
              <w:ind w:left="321"/>
              <w:spacing w:after="0"/>
              <w:rPr>
                <w:sz w:val="20"/>
                <w:szCs w:val="20"/>
                <w:color w:val="auto"/>
              </w:rPr>
            </w:pPr>
            <w:r>
              <w:rPr>
                <w:rFonts w:ascii="Times New Roman" w:cs="Times New Roman" w:eastAsia="Times New Roman" w:hAnsi="Times New Roman"/>
                <w:sz w:val="16"/>
                <w:szCs w:val="16"/>
                <w:color w:val="auto"/>
                <w:w w:val="99"/>
              </w:rPr>
              <w:t>8.28</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673,454</w:t>
            </w:r>
          </w:p>
        </w:tc>
        <w:tc>
          <w:tcPr>
            <w:tcW w:w="14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15.06</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Additional Information:</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Weighted-average fair value per</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share/unit granted in 2024</w:t>
            </w: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center"/>
              <w:ind w:left="321"/>
              <w:spacing w:after="0"/>
              <w:rPr>
                <w:sz w:val="20"/>
                <w:szCs w:val="20"/>
                <w:color w:val="auto"/>
              </w:rPr>
            </w:pPr>
            <w:r>
              <w:rPr>
                <w:rFonts w:ascii="Times New Roman" w:cs="Times New Roman" w:eastAsia="Times New Roman" w:hAnsi="Times New Roman"/>
                <w:sz w:val="16"/>
                <w:szCs w:val="16"/>
                <w:color w:val="auto"/>
                <w:w w:val="99"/>
              </w:rPr>
              <w:t>7.55</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11.85</w:t>
            </w:r>
          </w:p>
        </w:tc>
        <w:tc>
          <w:tcPr>
            <w:tcW w:w="0" w:type="dxa"/>
            <w:vAlign w:val="bottom"/>
          </w:tcPr>
          <w:p>
            <w:pPr>
              <w:spacing w:after="0"/>
              <w:rPr>
                <w:sz w:val="1"/>
                <w:szCs w:val="1"/>
                <w:color w:val="auto"/>
              </w:rPr>
            </w:pPr>
          </w:p>
        </w:tc>
      </w:tr>
      <w:tr>
        <w:trPr>
          <w:trHeight w:val="192"/>
        </w:trPr>
        <w:tc>
          <w:tcPr>
            <w:tcW w:w="3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Weighted-average fair value per</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share/unit granted in 2023</w:t>
            </w:r>
          </w:p>
        </w:tc>
        <w:tc>
          <w:tcPr>
            <w:tcW w:w="2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10.87</w:t>
            </w:r>
          </w:p>
        </w:tc>
        <w:tc>
          <w:tcPr>
            <w:tcW w:w="220" w:type="dxa"/>
            <w:vAlign w:val="bottom"/>
            <w:tcBorders>
              <w:right w:val="single" w:sz="8" w:color="CFF0FC"/>
            </w:tcBorders>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20.62</w:t>
            </w:r>
          </w:p>
        </w:tc>
        <w:tc>
          <w:tcPr>
            <w:tcW w:w="0" w:type="dxa"/>
            <w:vAlign w:val="bottom"/>
          </w:tcPr>
          <w:p>
            <w:pPr>
              <w:spacing w:after="0"/>
              <w:rPr>
                <w:sz w:val="1"/>
                <w:szCs w:val="1"/>
                <w:color w:val="auto"/>
              </w:rPr>
            </w:pPr>
          </w:p>
        </w:tc>
      </w:tr>
      <w:tr>
        <w:trPr>
          <w:trHeight w:val="313"/>
        </w:trPr>
        <w:tc>
          <w:tcPr>
            <w:tcW w:w="2560" w:type="dxa"/>
            <w:vAlign w:val="bottom"/>
          </w:tcPr>
          <w:p>
            <w:pPr>
              <w:spacing w:after="0"/>
              <w:rPr>
                <w:sz w:val="24"/>
                <w:szCs w:val="24"/>
                <w:color w:val="auto"/>
              </w:rPr>
            </w:pPr>
          </w:p>
        </w:tc>
        <w:tc>
          <w:tcPr>
            <w:tcW w:w="2220" w:type="dxa"/>
            <w:vAlign w:val="bottom"/>
            <w:gridSpan w:val="6"/>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 Fair Value of Restricted</w:t>
            </w:r>
          </w:p>
        </w:tc>
        <w:tc>
          <w:tcPr>
            <w:tcW w:w="224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 Fair Value of</w:t>
            </w:r>
          </w:p>
        </w:tc>
        <w:tc>
          <w:tcPr>
            <w:tcW w:w="2180" w:type="dxa"/>
            <w:vAlign w:val="bottom"/>
            <w:gridSpan w:val="7"/>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 Fair Value of Restricted</w:t>
            </w:r>
          </w:p>
        </w:tc>
        <w:tc>
          <w:tcPr>
            <w:tcW w:w="204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 Fair Value of</w:t>
            </w:r>
          </w:p>
        </w:tc>
        <w:tc>
          <w:tcPr>
            <w:tcW w:w="0" w:type="dxa"/>
            <w:vAlign w:val="bottom"/>
          </w:tcPr>
          <w:p>
            <w:pPr>
              <w:spacing w:after="0"/>
              <w:rPr>
                <w:sz w:val="1"/>
                <w:szCs w:val="1"/>
                <w:color w:val="auto"/>
              </w:rPr>
            </w:pPr>
          </w:p>
        </w:tc>
      </w:tr>
      <w:tr>
        <w:trPr>
          <w:trHeight w:val="146"/>
        </w:trPr>
        <w:tc>
          <w:tcPr>
            <w:tcW w:w="2560" w:type="dxa"/>
            <w:vAlign w:val="bottom"/>
          </w:tcPr>
          <w:p>
            <w:pPr>
              <w:spacing w:after="0"/>
              <w:rPr>
                <w:sz w:val="12"/>
                <w:szCs w:val="12"/>
                <w:color w:val="auto"/>
              </w:rPr>
            </w:pPr>
          </w:p>
        </w:tc>
        <w:tc>
          <w:tcPr>
            <w:tcW w:w="2220" w:type="dxa"/>
            <w:vAlign w:val="bottom"/>
            <w:gridSpan w:val="6"/>
            <w:vMerge w:val="continue"/>
          </w:tcPr>
          <w:p>
            <w:pPr>
              <w:spacing w:after="0"/>
              <w:rPr>
                <w:sz w:val="12"/>
                <w:szCs w:val="12"/>
                <w:color w:val="auto"/>
              </w:rPr>
            </w:pPr>
          </w:p>
        </w:tc>
        <w:tc>
          <w:tcPr>
            <w:tcW w:w="2240" w:type="dxa"/>
            <w:vAlign w:val="bottom"/>
            <w:gridSpan w:val="6"/>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Performance-Based</w:t>
            </w:r>
          </w:p>
        </w:tc>
        <w:tc>
          <w:tcPr>
            <w:tcW w:w="2180" w:type="dxa"/>
            <w:vAlign w:val="bottom"/>
            <w:gridSpan w:val="7"/>
            <w:vMerge w:val="continue"/>
          </w:tcPr>
          <w:p>
            <w:pPr>
              <w:spacing w:after="0"/>
              <w:rPr>
                <w:sz w:val="12"/>
                <w:szCs w:val="12"/>
                <w:color w:val="auto"/>
              </w:rPr>
            </w:pPr>
          </w:p>
        </w:tc>
        <w:tc>
          <w:tcPr>
            <w:tcW w:w="2040" w:type="dxa"/>
            <w:vAlign w:val="bottom"/>
            <w:gridSpan w:val="6"/>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Performance Based Restricted</w:t>
            </w:r>
          </w:p>
        </w:tc>
        <w:tc>
          <w:tcPr>
            <w:tcW w:w="0" w:type="dxa"/>
            <w:vAlign w:val="bottom"/>
          </w:tcPr>
          <w:p>
            <w:pPr>
              <w:spacing w:after="0"/>
              <w:rPr>
                <w:sz w:val="1"/>
                <w:szCs w:val="1"/>
                <w:color w:val="auto"/>
              </w:rPr>
            </w:pPr>
          </w:p>
        </w:tc>
      </w:tr>
      <w:tr>
        <w:trPr>
          <w:trHeight w:val="175"/>
        </w:trPr>
        <w:tc>
          <w:tcPr>
            <w:tcW w:w="25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3"/>
          </w:tcPr>
          <w:p>
            <w:pPr>
              <w:jc w:val="right"/>
              <w:spacing w:after="0" w:line="175" w:lineRule="exact"/>
              <w:rPr>
                <w:sz w:val="20"/>
                <w:szCs w:val="20"/>
                <w:color w:val="auto"/>
              </w:rPr>
            </w:pPr>
            <w:r>
              <w:rPr>
                <w:rFonts w:ascii="Times New Roman" w:cs="Times New Roman" w:eastAsia="Times New Roman" w:hAnsi="Times New Roman"/>
                <w:sz w:val="14"/>
                <w:szCs w:val="14"/>
                <w:b w:val="1"/>
                <w:bCs w:val="1"/>
                <w:color w:val="auto"/>
              </w:rPr>
              <w:t>Stock</w:t>
            </w:r>
            <w:r>
              <w:rPr>
                <w:rFonts w:ascii="Times New Roman" w:cs="Times New Roman" w:eastAsia="Times New Roman" w:hAnsi="Times New Roman"/>
                <w:sz w:val="19"/>
                <w:szCs w:val="19"/>
                <w:b w:val="1"/>
                <w:bCs w:val="1"/>
                <w:color w:val="auto"/>
                <w:vertAlign w:val="superscript"/>
              </w:rPr>
              <w:t>(3)</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tcBorders>
              <w:bottom w:val="single" w:sz="8" w:color="auto"/>
            </w:tcBorders>
            <w:gridSpan w:val="5"/>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8"/>
              </w:rPr>
              <w:t>Restricted Stock</w:t>
            </w:r>
            <w:r>
              <w:rPr>
                <w:rFonts w:ascii="Times New Roman" w:cs="Times New Roman" w:eastAsia="Times New Roman" w:hAnsi="Times New Roman"/>
                <w:sz w:val="19"/>
                <w:szCs w:val="19"/>
                <w:b w:val="1"/>
                <w:bCs w:val="1"/>
                <w:color w:val="auto"/>
                <w:w w:val="98"/>
                <w:vertAlign w:val="superscript"/>
              </w:rPr>
              <w:t>(3)</w:t>
            </w:r>
          </w:p>
        </w:tc>
        <w:tc>
          <w:tcPr>
            <w:tcW w:w="240" w:type="dxa"/>
            <w:vAlign w:val="bottom"/>
          </w:tcPr>
          <w:p>
            <w:pPr>
              <w:spacing w:after="0"/>
              <w:rPr>
                <w:sz w:val="15"/>
                <w:szCs w:val="15"/>
                <w:color w:val="auto"/>
              </w:rPr>
            </w:pPr>
          </w:p>
        </w:tc>
        <w:tc>
          <w:tcPr>
            <w:tcW w:w="1960" w:type="dxa"/>
            <w:vAlign w:val="bottom"/>
            <w:tcBorders>
              <w:bottom w:val="single" w:sz="8" w:color="auto"/>
            </w:tcBorders>
            <w:gridSpan w:val="6"/>
          </w:tcPr>
          <w:p>
            <w:pPr>
              <w:jc w:val="right"/>
              <w:ind w:right="580"/>
              <w:spacing w:after="0" w:line="175" w:lineRule="exact"/>
              <w:rPr>
                <w:sz w:val="20"/>
                <w:szCs w:val="20"/>
                <w:color w:val="auto"/>
              </w:rPr>
            </w:pPr>
            <w:r>
              <w:rPr>
                <w:rFonts w:ascii="Times New Roman" w:cs="Times New Roman" w:eastAsia="Times New Roman" w:hAnsi="Times New Roman"/>
                <w:sz w:val="14"/>
                <w:szCs w:val="14"/>
                <w:b w:val="1"/>
                <w:bCs w:val="1"/>
                <w:color w:val="auto"/>
              </w:rPr>
              <w:t>Stock Units</w:t>
            </w:r>
            <w:r>
              <w:rPr>
                <w:rFonts w:ascii="Times New Roman" w:cs="Times New Roman" w:eastAsia="Times New Roman" w:hAnsi="Times New Roman"/>
                <w:sz w:val="19"/>
                <w:szCs w:val="19"/>
                <w:b w:val="1"/>
                <w:bCs w:val="1"/>
                <w:color w:val="auto"/>
                <w:vertAlign w:val="superscript"/>
              </w:rPr>
              <w:t>(3)</w:t>
            </w:r>
          </w:p>
        </w:tc>
        <w:tc>
          <w:tcPr>
            <w:tcW w:w="220" w:type="dxa"/>
            <w:vAlign w:val="bottom"/>
          </w:tcPr>
          <w:p>
            <w:pPr>
              <w:spacing w:after="0"/>
              <w:rPr>
                <w:sz w:val="15"/>
                <w:szCs w:val="15"/>
                <w:color w:val="auto"/>
              </w:rPr>
            </w:pPr>
          </w:p>
        </w:tc>
        <w:tc>
          <w:tcPr>
            <w:tcW w:w="1940" w:type="dxa"/>
            <w:vAlign w:val="bottom"/>
            <w:tcBorders>
              <w:bottom w:val="single" w:sz="8" w:color="auto"/>
            </w:tcBorders>
            <w:gridSpan w:val="5"/>
          </w:tcPr>
          <w:p>
            <w:pPr>
              <w:jc w:val="right"/>
              <w:ind w:right="481"/>
              <w:spacing w:after="0" w:line="175" w:lineRule="exact"/>
              <w:rPr>
                <w:sz w:val="20"/>
                <w:szCs w:val="20"/>
                <w:color w:val="auto"/>
              </w:rPr>
            </w:pPr>
            <w:r>
              <w:rPr>
                <w:rFonts w:ascii="Times New Roman" w:cs="Times New Roman" w:eastAsia="Times New Roman" w:hAnsi="Times New Roman"/>
                <w:sz w:val="14"/>
                <w:szCs w:val="14"/>
                <w:b w:val="1"/>
                <w:bCs w:val="1"/>
                <w:color w:val="auto"/>
              </w:rPr>
              <w:t>Stock Units</w:t>
            </w:r>
            <w:r>
              <w:rPr>
                <w:rFonts w:ascii="Times New Roman" w:cs="Times New Roman" w:eastAsia="Times New Roman" w:hAnsi="Times New Roman"/>
                <w:sz w:val="19"/>
                <w:szCs w:val="19"/>
                <w:b w:val="1"/>
                <w:bCs w:val="1"/>
                <w:color w:val="auto"/>
                <w:vertAlign w:val="superscript"/>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560" w:type="dxa"/>
            <w:vAlign w:val="bottom"/>
            <w:tcBorders>
              <w:right w:val="single" w:sz="8" w:color="CFF0FC"/>
            </w:tcBorders>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0" w:type="dxa"/>
            <w:vAlign w:val="bottom"/>
            <w:gridSpan w:val="4"/>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Shares/units vested in 2025</w:t>
            </w:r>
          </w:p>
        </w:tc>
        <w:tc>
          <w:tcPr>
            <w:tcW w:w="22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gridSpan w:val="2"/>
          </w:tcPr>
          <w:p>
            <w:pPr>
              <w:jc w:val="center"/>
              <w:ind w:left="321"/>
              <w:spacing w:after="0"/>
              <w:rPr>
                <w:sz w:val="20"/>
                <w:szCs w:val="20"/>
                <w:color w:val="auto"/>
              </w:rPr>
            </w:pPr>
            <w:r>
              <w:rPr>
                <w:rFonts w:ascii="Times New Roman" w:cs="Times New Roman" w:eastAsia="Times New Roman" w:hAnsi="Times New Roman"/>
                <w:sz w:val="16"/>
                <w:szCs w:val="16"/>
                <w:b w:val="1"/>
                <w:bCs w:val="1"/>
                <w:color w:val="auto"/>
                <w:w w:val="99"/>
              </w:rPr>
              <w:t>3,074</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482</w:t>
            </w:r>
          </w:p>
        </w:tc>
        <w:tc>
          <w:tcPr>
            <w:tcW w:w="0" w:type="dxa"/>
            <w:vAlign w:val="bottom"/>
          </w:tcPr>
          <w:p>
            <w:pPr>
              <w:spacing w:after="0"/>
              <w:rPr>
                <w:sz w:val="1"/>
                <w:szCs w:val="1"/>
                <w:color w:val="auto"/>
              </w:rPr>
            </w:pPr>
          </w:p>
        </w:tc>
      </w:tr>
      <w:tr>
        <w:trPr>
          <w:trHeight w:val="203"/>
        </w:trPr>
        <w:tc>
          <w:tcPr>
            <w:tcW w:w="3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Shares/units vested in 2024</w:t>
            </w:r>
          </w:p>
        </w:tc>
        <w:tc>
          <w:tcPr>
            <w:tcW w:w="22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2,028</w:t>
            </w: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FF0FC"/>
          </w:tcPr>
          <w:p>
            <w:pPr>
              <w:jc w:val="center"/>
              <w:ind w:left="321"/>
              <w:spacing w:after="0"/>
              <w:rPr>
                <w:sz w:val="20"/>
                <w:szCs w:val="20"/>
                <w:color w:val="auto"/>
              </w:rPr>
            </w:pPr>
            <w:r>
              <w:rPr>
                <w:rFonts w:ascii="Times New Roman" w:cs="Times New Roman" w:eastAsia="Times New Roman" w:hAnsi="Times New Roman"/>
                <w:sz w:val="16"/>
                <w:szCs w:val="16"/>
                <w:color w:val="auto"/>
                <w:w w:val="99"/>
              </w:rPr>
              <w:t>2,263</w:t>
            </w:r>
          </w:p>
        </w:tc>
        <w:tc>
          <w:tcPr>
            <w:tcW w:w="220" w:type="dxa"/>
            <w:vAlign w:val="bottom"/>
            <w:tcBorders>
              <w:right w:val="single" w:sz="8" w:color="CFF0FC"/>
            </w:tcBorders>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Shares/units vested in 2023</w:t>
            </w: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3,485</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center"/>
              <w:ind w:left="321"/>
              <w:spacing w:after="0"/>
              <w:rPr>
                <w:sz w:val="20"/>
                <w:szCs w:val="20"/>
                <w:color w:val="auto"/>
              </w:rPr>
            </w:pPr>
            <w:r>
              <w:rPr>
                <w:rFonts w:ascii="Times New Roman" w:cs="Times New Roman" w:eastAsia="Times New Roman" w:hAnsi="Times New Roman"/>
                <w:sz w:val="16"/>
                <w:szCs w:val="16"/>
                <w:color w:val="auto"/>
                <w:w w:val="99"/>
              </w:rPr>
              <w:t>1,343</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-2395855</wp:posOffset>
            </wp:positionV>
            <wp:extent cx="768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-2395855</wp:posOffset>
            </wp:positionV>
            <wp:extent cx="768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-2395855</wp:posOffset>
            </wp:positionV>
            <wp:extent cx="768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-2395855</wp:posOffset>
            </wp:positionV>
            <wp:extent cx="768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-2395855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-2395855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-2395855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-2395855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-1744345</wp:posOffset>
            </wp:positionV>
            <wp:extent cx="768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-1744345</wp:posOffset>
            </wp:positionV>
            <wp:extent cx="768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-1744345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-1744345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_____________________________</w:t>
      </w:r>
    </w:p>
    <w:p>
      <w:pPr>
        <w:ind w:left="520" w:hanging="512"/>
        <w:spacing w:after="0" w:line="224" w:lineRule="auto"/>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grant any restricted stock or performance based restricted stock awards during 2025, 2024 or 2023.</w:t>
      </w:r>
    </w:p>
    <w:p>
      <w:pPr>
        <w:ind w:left="520" w:right="540" w:hanging="512"/>
        <w:spacing w:after="0" w:line="221" w:lineRule="auto"/>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change of control event occurring during 2021 such shares of performance-based restricted stock were subject only to the time-based vesting conditions set forth in the applicable award agreement and the 2016 Plan.</w:t>
      </w:r>
    </w:p>
    <w:p>
      <w:pPr>
        <w:ind w:left="520" w:hanging="512"/>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total fair value of units or shares vested based on closing market prices on the vesting dates.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333"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The payout on our 2025 PBRSU grants, which vest in three years, is based on our total shareholder return (“TSR”) relative to a peer group. The vesting criteria is measured annually (with a minimum threshold, target and a maximum ceiling) with a final adjustment in the third year. Each annual measurement results in a number of shares that are earned (i.e., “banked”) for the year, with the potential for an upward final adjustment based on the relative three-year cumulative TSR or downward final adjustment due to a vesting cap at target when the cumulative absolute TSR is negative. These awards granted require the grantee to be continuously employed through the end of the term for vesting purposes. The 2024 and 2023 PBRSUs were granted with similar vesting provisions as the 2025 PBRSU grants.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our service condition awards are based on the market price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estimate the fair value of our market condition awards using a Monte Carlo simulation with the following assumptions:</w:t>
      </w:r>
    </w:p>
    <w:p>
      <w:pPr>
        <w:spacing w:after="0" w:line="27"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stock price on the day preceding the grant;</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prediction time horizon, the vesting term of the grant;</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three-year Treasury yield curve rate on the grant date;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standard deviation of historical daily returns for the length of the vesting term of the grant.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Valuation Date</w:t>
            </w: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Valuation assumptions of market condition PBRSUs</w:t>
            </w:r>
          </w:p>
        </w:tc>
        <w:tc>
          <w:tcPr>
            <w:tcW w:w="120" w:type="dxa"/>
            <w:vAlign w:val="bottom"/>
          </w:tcPr>
          <w:p>
            <w:pPr>
              <w:spacing w:after="0"/>
              <w:rPr>
                <w:sz w:val="12"/>
                <w:szCs w:val="12"/>
                <w:color w:val="auto"/>
              </w:rPr>
            </w:pPr>
          </w:p>
        </w:tc>
        <w:tc>
          <w:tcPr>
            <w:tcW w:w="154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January 16, 2025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January 17, 2024</w:t>
            </w:r>
          </w:p>
        </w:tc>
        <w:tc>
          <w:tcPr>
            <w:tcW w:w="140" w:type="dxa"/>
            <w:vAlign w:val="bottom"/>
          </w:tcPr>
          <w:p>
            <w:pPr>
              <w:spacing w:after="0"/>
              <w:rPr>
                <w:sz w:val="12"/>
                <w:szCs w:val="12"/>
                <w:color w:val="auto"/>
              </w:rPr>
            </w:pPr>
          </w:p>
        </w:tc>
        <w:tc>
          <w:tcPr>
            <w:tcW w:w="130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January 25, 2023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6200" w:type="dxa"/>
            <w:vAlign w:val="bottom"/>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4.20%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4.03%</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58.41%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69.39%</w:t>
            </w: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95.06%</w:t>
            </w: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Simulation period</w:t>
            </w:r>
          </w:p>
        </w:tc>
        <w:tc>
          <w:tcPr>
            <w:tcW w:w="1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2.95 years</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2.95 years</w:t>
            </w: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2.93 years</w:t>
            </w:r>
          </w:p>
        </w:tc>
        <w:tc>
          <w:tcPr>
            <w:tcW w:w="0" w:type="dxa"/>
            <w:vAlign w:val="bottom"/>
          </w:tcPr>
          <w:p>
            <w:pPr>
              <w:spacing w:after="0"/>
              <w:rPr>
                <w:sz w:val="1"/>
                <w:szCs w:val="1"/>
                <w:color w:val="auto"/>
              </w:rPr>
            </w:pPr>
          </w:p>
        </w:tc>
      </w:tr>
      <w:tr>
        <w:trPr>
          <w:trHeight w:val="238"/>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Fair value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15.12</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11.85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20.62</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Stock Options </w:t>
      </w:r>
      <w:r>
        <w:rPr>
          <w:rFonts w:ascii="Times New Roman" w:cs="Times New Roman" w:eastAsia="Times New Roman" w:hAnsi="Times New Roman"/>
          <w:sz w:val="18"/>
          <w:szCs w:val="18"/>
          <w:color w:val="auto"/>
        </w:rPr>
        <w:t>– We have had no grants or stock-based compensation expense related to stock options during the past three years. We had 13,000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at a weighted average exercise price of $25.66, all of which expired out of the money in November 2024. As of December 31, 2025 there were no stock options outstanding.</w:t>
      </w:r>
    </w:p>
    <w:p>
      <w:pPr>
        <w:spacing w:after="0" w:line="63"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Expense </w:t>
      </w:r>
      <w:r>
        <w:rPr>
          <w:rFonts w:ascii="Times New Roman" w:cs="Times New Roman" w:eastAsia="Times New Roman" w:hAnsi="Times New Roman"/>
          <w:sz w:val="18"/>
          <w:szCs w:val="18"/>
          <w:color w:val="auto"/>
        </w:rPr>
        <w:t>– A summary of our stock-based compensation expense recognized and related income tax benefit is presented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w:t>
      </w:r>
    </w:p>
    <w:p>
      <w:pPr>
        <w:spacing w:after="0" w:line="44"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Stock Based Compensation</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 - Cost of sales</w:t>
            </w:r>
          </w:p>
        </w:tc>
        <w:tc>
          <w:tcPr>
            <w:tcW w:w="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732</w:t>
            </w:r>
          </w:p>
        </w:tc>
        <w:tc>
          <w:tcPr>
            <w:tcW w:w="1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1,046</w:t>
            </w: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198"/>
        </w:trPr>
        <w:tc>
          <w:tcPr>
            <w:tcW w:w="74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expense - Selling, general</w:t>
            </w:r>
          </w:p>
        </w:tc>
        <w:tc>
          <w:tcPr>
            <w:tcW w:w="7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6,639</w:t>
            </w: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and administrative expense</w:t>
            </w:r>
          </w:p>
        </w:tc>
        <w:tc>
          <w:tcPr>
            <w:tcW w:w="780" w:type="dxa"/>
            <w:vAlign w:val="bottom"/>
            <w:gridSpan w:val="2"/>
            <w:vMerge w:val="continue"/>
          </w:tcPr>
          <w:p>
            <w:pPr>
              <w:spacing w:after="0"/>
              <w:rPr>
                <w:sz w:val="20"/>
                <w:szCs w:val="20"/>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5,561</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4,508</w:t>
            </w: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(1,716)</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(1,548)</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As of December 31, 2025, unrecognized compensation cost related to outstanding awards was $8,489,000 with a weighted-average remaining vesting period of 1.4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Employee Savings and Stock Purchase Plans, Collective Bargaining Agreements and Executive Benefit Agreement</w:t>
      </w:r>
    </w:p>
    <w:p>
      <w:pPr>
        <w:spacing w:after="0" w:line="117"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Employee Savings Plans </w:t>
      </w:r>
      <w:r>
        <w:rPr>
          <w:rFonts w:ascii="Times New Roman" w:cs="Times New Roman" w:eastAsia="Times New Roman" w:hAnsi="Times New Roman"/>
          <w:sz w:val="18"/>
          <w:szCs w:val="18"/>
          <w:color w:val="auto"/>
        </w:rPr>
        <w:t>- We sponsor a savings plan under Section 401(k) of the Internal Revenue Code under which participation is available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substantially all full-time employees. For full-time employees not covered by a collective bargaining agreement, beginning in April 2023 we match </w:t>
      </w:r>
      <w:r>
        <w:rPr>
          <w:rFonts w:ascii="Times New Roman" w:cs="Times New Roman" w:eastAsia="Times New Roman" w:hAnsi="Times New Roman"/>
          <w:sz w:val="18"/>
          <w:szCs w:val="18"/>
          <w:color w:val="242424"/>
        </w:rPr>
        <w:t>dollar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for dollar </w:t>
      </w:r>
      <w:r>
        <w:rPr>
          <w:rFonts w:ascii="Times New Roman" w:cs="Times New Roman" w:eastAsia="Times New Roman" w:hAnsi="Times New Roman"/>
          <w:sz w:val="18"/>
          <w:szCs w:val="18"/>
          <w:color w:val="000000"/>
        </w:rPr>
        <w:t>of an employee’s active contribution,</w:t>
      </w:r>
      <w:r>
        <w:rPr>
          <w:rFonts w:ascii="Times New Roman" w:cs="Times New Roman" w:eastAsia="Times New Roman" w:hAnsi="Times New Roman"/>
          <w:sz w:val="18"/>
          <w:szCs w:val="18"/>
          <w:color w:val="242424"/>
        </w:rPr>
        <w:t xml:space="preserve"> up to a total of 5% of pre-tax earnings </w:t>
      </w:r>
      <w:r>
        <w:rPr>
          <w:rFonts w:ascii="Times New Roman" w:cs="Times New Roman" w:eastAsia="Times New Roman" w:hAnsi="Times New Roman"/>
          <w:sz w:val="18"/>
          <w:szCs w:val="18"/>
          <w:color w:val="000000"/>
        </w:rPr>
        <w:t>for substantially all full-time employees. Prior to this we matched</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50% of an employee’s contribution, up to 8%. For 2025, 2024 and 2023, the amounts contributed to this plan were approximately $2.4 million, $2.3 million, and $1.9 million, respectively.</w:t>
      </w:r>
    </w:p>
    <w:p>
      <w:pPr>
        <w:spacing w:after="0" w:line="7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Employee Stock Purchase Plan </w:t>
      </w:r>
      <w:r>
        <w:rPr>
          <w:rFonts w:ascii="Times New Roman" w:cs="Times New Roman" w:eastAsia="Times New Roman" w:hAnsi="Times New Roman"/>
          <w:sz w:val="18"/>
          <w:szCs w:val="18"/>
          <w:color w:val="auto"/>
        </w:rPr>
        <w:t>- Our 2022 Employee Stock Purchase Plan (“ESPP”), which provides for payroll deductions by employees to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LSB stock directly from the Company at a discount to market price. The maximum number of shares reserved and available for issuance under the ESPP shall not exceed 4,500,000 shares. As of December 31, 2025 there were approximately 4,392,000 shares available for subsequent issuance under the ESPP. Eligibility in the ESPP is limited to our employees who have been continuously employed for a period of at least 30 days as of the first day of an offering and satisfy other requirements set forth in the ESPP. The ESPP offering period under the ESPP will be 6 months in duration and commence on the first business day of January and July of each year. Participants in the ESPP are subject to individual limits on (a) percentage of eligible compensation allocated toward purchases; (b) number of shares purchased and (c) in the event the participant holds stock option awards, total fair market value of purchases. The purchase price of each share will be 90 percent of the closing price of a share of our common stock on the exercise date. Shares purchased by the participant are issued from our treasury stock. During 2025, we had two offerings and approximately 43,000 shares were issued from our treasury stock to participants at an average purchase price of $7.32 per share. During 2024, we had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33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two offerings and approximately 32,000 shares were issued from our treasury stock to participants at an average purchase price of $7.85 per share. During 2023, we had two offerings and approximately 24,000 shares were issued from our treasury stock to participants at an average purchase price of $9.59 per share.</w:t>
      </w:r>
    </w:p>
    <w:p>
      <w:pPr>
        <w:spacing w:after="0" w:line="64"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Collective Bargaining Agreements </w:t>
      </w:r>
      <w:r>
        <w:rPr>
          <w:rFonts w:ascii="Times New Roman" w:cs="Times New Roman" w:eastAsia="Times New Roman" w:hAnsi="Times New Roman"/>
          <w:sz w:val="18"/>
          <w:szCs w:val="18"/>
          <w:color w:val="auto"/>
        </w:rPr>
        <w:t>- As of December 31, 2025, we employed 513 persons, 144 of whom are represented by unions under collective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bargaining agreements. We have three 3-year union contracts of which one was ratified in 2024 and the remaining two were ratified in 2025.</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Related Party Transactions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December 31, 2025 TLB-LSB, LLC, which is an affiliate of Todd Boehly, beneficially owned approximately 15.3 million shares of our outstanding common stock, or approximately 21% of our outstanding common stock.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August 2025, we paid off our outstanding financing arrangement with an affiliate of Eldridge as discussed in Note 5 – Long-Term Debt.</w:t>
      </w:r>
    </w:p>
    <w:p>
      <w:pPr>
        <w:spacing w:after="0" w:line="1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the terms of the Board Representation and Standstill Agreement, as amended, our Board includes two directors that are employees of affiliates of Todd Boehly. During 2025, 2024 and 2023, we incurred director fees associated with these directors totaling approximately $0.4 million for each respective year.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2025, 2024 and 2023, we incurred director fees associated with Barry H. Golsen totaling approximately $0.2 million for each respective year.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Supplemental Cash Flow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provides additional information relating to cash flow activities: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payments (refunds) for:</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9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Interest on long-term debt and other, net of capitalized</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29,614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34,088</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Capitalized interest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1,025</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9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Property, plant and equipment acquired and not yet</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24,361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paid at end of period</w:t>
            </w:r>
          </w:p>
        </w:tc>
        <w:tc>
          <w:tcPr>
            <w:tcW w:w="28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26,758</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(gain) loss on extinguishment of debt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(3,013)</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(8,644)</w:t>
            </w:r>
          </w:p>
        </w:tc>
        <w:tc>
          <w:tcPr>
            <w:tcW w:w="0" w:type="dxa"/>
            <w:vAlign w:val="bottom"/>
          </w:tcPr>
          <w:p>
            <w:pPr>
              <w:spacing w:after="0"/>
              <w:rPr>
                <w:sz w:val="1"/>
                <w:szCs w:val="1"/>
                <w:color w:val="auto"/>
              </w:rPr>
            </w:pPr>
          </w:p>
        </w:tc>
      </w:tr>
      <w:tr>
        <w:trPr>
          <w:trHeight w:val="238"/>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associated with debt-related costs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Sales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Net Sales</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As discussed in Note 1 – Summary of Significant Accounting Policies, we primarily derive our revenues from the sales of various chemical products. The following table presents our net sales disaggregated by certain of our products, which disaggregation is consistent with other financial information utilized or provided outside of our consolidated financial statements: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sales:</w:t>
            </w:r>
          </w:p>
        </w:tc>
        <w:tc>
          <w:tcPr>
            <w:tcW w:w="2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920" w:type="dxa"/>
            <w:vAlign w:val="bottom"/>
            <w:vMerge w:val="continue"/>
          </w:tcPr>
          <w:p>
            <w:pPr>
              <w:spacing w:after="0"/>
              <w:rPr>
                <w:sz w:val="15"/>
                <w:szCs w:val="15"/>
                <w:color w:val="auto"/>
              </w:rPr>
            </w:pPr>
          </w:p>
        </w:tc>
        <w:tc>
          <w:tcPr>
            <w:tcW w:w="2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AN &amp; Nitric Acid</w:t>
            </w:r>
          </w:p>
        </w:tc>
        <w:tc>
          <w:tcPr>
            <w:tcW w:w="30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241,530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212,478</w:t>
            </w:r>
          </w:p>
        </w:tc>
        <w:tc>
          <w:tcPr>
            <w:tcW w:w="5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221,818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Urea ammonium nitrate (UAN)</w:t>
            </w:r>
          </w:p>
        </w:tc>
        <w:tc>
          <w:tcPr>
            <w:tcW w:w="2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191,055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Ammonia</w:t>
            </w:r>
          </w:p>
        </w:tc>
        <w:tc>
          <w:tcPr>
            <w:tcW w:w="2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146,621</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136,662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7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36,002</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33,825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net sales</w:t>
            </w:r>
          </w:p>
        </w:tc>
        <w:tc>
          <w:tcPr>
            <w:tcW w:w="27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615,208</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522,400</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593,709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3920" w:type="dxa"/>
            <w:vAlign w:val="bottom"/>
          </w:tcPr>
          <w:p>
            <w:pPr>
              <w:spacing w:after="0"/>
              <w:rPr>
                <w:sz w:val="24"/>
                <w:szCs w:val="24"/>
                <w:color w:val="auto"/>
              </w:rPr>
            </w:pPr>
          </w:p>
        </w:tc>
        <w:tc>
          <w:tcPr>
            <w:tcW w:w="300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F-23</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9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-933450</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-916940</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-933450</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-916940</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Although most of our contracts have an original expected duration of one year or less, for our contracts with a duration greater than one year at contract inception, the average remaining expected duration was approximately 37 months as of December 31, 2025.</w:t>
      </w:r>
    </w:p>
    <w:p>
      <w:pPr>
        <w:spacing w:after="0" w:line="5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Liabilities associated with contracts with customers (contract liabilities) primarily relate to deferred revenue and customer deposits associated with cash payments received in advance from customers for volume shortfall charges and product shipments. We had a minimal amount and approximately $1.1 million of contract liabilities as of December 31, 2025 and 2024, respectively, which are reflected as accrued liabilities in our consolidated balance sheets. During 2025 and 2024, deferred revenues of $1.1 million and $0.8 million, respectively, were recognized and included in the balance as of December 31, 2025 and 2024. Our contract assets consist of unconditional rights to payment from our customers, which are reflected as accounts receivable in our consolidated balance sheets.</w:t>
      </w:r>
    </w:p>
    <w:p>
      <w:pPr>
        <w:spacing w:after="0" w:line="79"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For most of our contracts with customers, the transaction price from the inception of a contract is constrained to a short period of time (generally one month) as these contracts contain terms with variable consideration related to both price and quantity. As of December 31, 2025, we have remaining performance obligations with certain customer contracts, excluding contracts with original durations of less than one year and contracts with variable consideration for which we have elected the practical expedient for consideration recognized in revenue as invoiced. The remaining performance obligations total approximately $139.7 million, of which approximately 65% of this amount relates to 2026 through 2028, approximately 19% relates to 2029 through 2030, with the remainder thereafter.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Leases</w:t>
      </w:r>
    </w:p>
    <w:p>
      <w:pPr>
        <w:spacing w:after="0" w:line="12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Our leasing activity primarily consists of leasing railcars and office space, which includes leasing the office space housing our headquarters in Oklahoma City, Oklahoma. We have in excess of 1,200 railcars under lease. Typically, the initial term of our railcar leases ranges from 2 years to 10 years, and the majority do not include any renewal options. Most of our railcar leases are operating leases with a limited number classified as finance leases.</w:t>
      </w:r>
    </w:p>
    <w:p>
      <w:pPr>
        <w:spacing w:after="0" w:line="6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From time to time, when we have excess freight capacity, we may sublease a portion of our railcars fleet on a short term basis to other parties. The income for these subleases is recorded as a component of “Other (income) expense, net” in our consolidated statements of operations.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10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r>
      <w:tr>
        <w:trPr>
          <w:trHeight w:val="196"/>
        </w:trPr>
        <w:tc>
          <w:tcPr>
            <w:tcW w:w="6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8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Components of lease expense:</w:t>
            </w: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16"/>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cost</w:t>
            </w:r>
          </w:p>
        </w:tc>
        <w:tc>
          <w:tcPr>
            <w:tcW w:w="1080" w:type="dxa"/>
            <w:vAlign w:val="bottom"/>
          </w:tcPr>
          <w:p>
            <w:pPr>
              <w:jc w:val="right"/>
              <w:ind w:right="9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b w:val="1"/>
                <w:bCs w:val="1"/>
                <w:color w:val="auto"/>
              </w:rPr>
              <w:t>11,807</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12,056</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11,071</w:t>
            </w:r>
          </w:p>
        </w:tc>
      </w:tr>
      <w:tr>
        <w:trPr>
          <w:trHeight w:val="216"/>
        </w:trPr>
        <w:tc>
          <w:tcPr>
            <w:tcW w:w="6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Short-term lease cost</w:t>
            </w:r>
          </w:p>
        </w:tc>
        <w:tc>
          <w:tcPr>
            <w:tcW w:w="10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b w:val="1"/>
                <w:bCs w:val="1"/>
                <w:color w:val="auto"/>
              </w:rPr>
              <w:t>5,926</w:t>
            </w: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7,537</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3,399</w:t>
            </w:r>
          </w:p>
        </w:tc>
      </w:tr>
      <w:tr>
        <w:trPr>
          <w:trHeight w:val="216"/>
        </w:trPr>
        <w:tc>
          <w:tcPr>
            <w:tcW w:w="628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Other cost </w:t>
            </w:r>
            <w:r>
              <w:rPr>
                <w:rFonts w:ascii="Times New Roman" w:cs="Times New Roman" w:eastAsia="Times New Roman" w:hAnsi="Times New Roman"/>
                <w:sz w:val="24"/>
                <w:szCs w:val="24"/>
                <w:color w:val="auto"/>
                <w:vertAlign w:val="superscript"/>
              </w:rPr>
              <w:t>(1)</w:t>
            </w:r>
          </w:p>
        </w:tc>
        <w:tc>
          <w:tcPr>
            <w:tcW w:w="1080" w:type="dxa"/>
            <w:vAlign w:val="bottom"/>
          </w:tcPr>
          <w:p>
            <w:pPr>
              <w:spacing w:after="0"/>
              <w:rPr>
                <w:sz w:val="18"/>
                <w:szCs w:val="18"/>
                <w:color w:val="auto"/>
              </w:rPr>
            </w:pPr>
          </w:p>
        </w:tc>
        <w:tc>
          <w:tcPr>
            <w:tcW w:w="8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b w:val="1"/>
                <w:bCs w:val="1"/>
                <w:color w:val="auto"/>
              </w:rPr>
              <w:t>1,363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391</w:t>
            </w:r>
          </w:p>
        </w:tc>
      </w:tr>
      <w:tr>
        <w:trPr>
          <w:trHeight w:val="216"/>
        </w:trPr>
        <w:tc>
          <w:tcPr>
            <w:tcW w:w="6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Sublease income</w:t>
            </w:r>
          </w:p>
        </w:tc>
        <w:tc>
          <w:tcPr>
            <w:tcW w:w="10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b w:val="1"/>
                <w:bCs w:val="1"/>
                <w:color w:val="auto"/>
              </w:rPr>
              <w:t>(154)</w:t>
            </w: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(853)</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(5,632)</w:t>
            </w:r>
          </w:p>
        </w:tc>
      </w:t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080" w:type="dxa"/>
            <w:vAlign w:val="bottom"/>
            <w:tcBorders>
              <w:top w:val="single" w:sz="8" w:color="auto"/>
              <w:bottom w:val="single" w:sz="8" w:color="auto"/>
            </w:tcBorders>
          </w:tcPr>
          <w:p>
            <w:pPr>
              <w:jc w:val="right"/>
              <w:ind w:right="9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18,942</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160" w:type="dxa"/>
            <w:vAlign w:val="bottom"/>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62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information related to leases:</w:t>
            </w:r>
          </w:p>
        </w:tc>
        <w:tc>
          <w:tcPr>
            <w:tcW w:w="10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16"/>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80" w:type="dxa"/>
            <w:vAlign w:val="bottom"/>
          </w:tcPr>
          <w:p>
            <w:pPr>
              <w:jc w:val="right"/>
              <w:ind w:right="9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b w:val="1"/>
                <w:bCs w:val="1"/>
                <w:color w:val="auto"/>
              </w:rPr>
              <w:t>11,430</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11,878</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10,948</w:t>
            </w:r>
          </w:p>
        </w:tc>
      </w:tr>
      <w:tr>
        <w:trPr>
          <w:trHeight w:val="216"/>
        </w:trPr>
        <w:tc>
          <w:tcPr>
            <w:tcW w:w="6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0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b w:val="1"/>
                <w:bCs w:val="1"/>
                <w:color w:val="auto"/>
              </w:rPr>
              <w:t>420</w:t>
            </w: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758</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w:t>
            </w:r>
          </w:p>
        </w:tc>
      </w:tr>
      <w:tr>
        <w:trPr>
          <w:trHeight w:val="20"/>
        </w:trPr>
        <w:tc>
          <w:tcPr>
            <w:tcW w:w="62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80" w:type="dxa"/>
            <w:vAlign w:val="bottom"/>
            <w:shd w:val="clear" w:color="auto" w:fill="CFF0FC"/>
          </w:tcPr>
          <w:p>
            <w:pPr>
              <w:jc w:val="right"/>
              <w:ind w:right="9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12,608</w:t>
            </w:r>
          </w:p>
        </w:tc>
        <w:tc>
          <w:tcPr>
            <w:tcW w:w="2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12,520</w:t>
            </w:r>
          </w:p>
        </w:tc>
        <w:tc>
          <w:tcPr>
            <w:tcW w:w="3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11,257</w:t>
            </w:r>
          </w:p>
        </w:tc>
      </w:tr>
      <w:tr>
        <w:trPr>
          <w:trHeight w:val="197"/>
        </w:trPr>
        <w:tc>
          <w:tcPr>
            <w:tcW w:w="6280" w:type="dxa"/>
            <w:vAlign w:val="bottom"/>
            <w:tcBorders>
              <w:top w:val="single" w:sz="8" w:color="CFF0FC"/>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r>
      <w:tr>
        <w:trPr>
          <w:trHeight w:val="25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080" w:type="dxa"/>
            <w:vAlign w:val="bottom"/>
            <w:shd w:val="clear" w:color="auto" w:fill="CFF0FC"/>
          </w:tcPr>
          <w:p>
            <w:pPr>
              <w:jc w:val="right"/>
              <w:ind w:right="9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b w:val="1"/>
                <w:bCs w:val="1"/>
                <w:color w:val="auto"/>
              </w:rPr>
              <w:t>25,492</w:t>
            </w:r>
          </w:p>
        </w:tc>
        <w:tc>
          <w:tcPr>
            <w:tcW w:w="3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13,636</w:t>
            </w:r>
          </w:p>
        </w:tc>
        <w:tc>
          <w:tcPr>
            <w:tcW w:w="3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11,969</w:t>
            </w:r>
          </w:p>
        </w:tc>
      </w:tr>
      <w:tr>
        <w:trPr>
          <w:trHeight w:val="196"/>
        </w:trPr>
        <w:tc>
          <w:tcPr>
            <w:tcW w:w="6280" w:type="dxa"/>
            <w:vAlign w:val="bottom"/>
            <w:tcBorders>
              <w:top w:val="single" w:sz="8" w:color="CFF0FC"/>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r>
      <w:tr>
        <w:trPr>
          <w:trHeight w:val="25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1080" w:type="dxa"/>
            <w:vAlign w:val="bottom"/>
            <w:shd w:val="clear" w:color="auto" w:fill="CFF0FC"/>
          </w:tcPr>
          <w:p>
            <w:pPr>
              <w:jc w:val="right"/>
              <w:ind w:right="9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b w:val="1"/>
                <w:bCs w:val="1"/>
                <w:color w:val="auto"/>
              </w:rPr>
              <w:t>3,097</w:t>
            </w:r>
          </w:p>
        </w:tc>
        <w:tc>
          <w:tcPr>
            <w:tcW w:w="3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3,371</w:t>
            </w:r>
          </w:p>
        </w:tc>
        <w:tc>
          <w:tcPr>
            <w:tcW w:w="3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r>
      <w:tr>
        <w:trPr>
          <w:trHeight w:val="196"/>
        </w:trPr>
        <w:tc>
          <w:tcPr>
            <w:tcW w:w="6280" w:type="dxa"/>
            <w:vAlign w:val="bottom"/>
            <w:tcBorders>
              <w:top w:val="single" w:sz="8" w:color="CFF0FC"/>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lease-related information:</w:t>
            </w: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leases (in years)</w:t>
            </w:r>
          </w:p>
        </w:tc>
        <w:tc>
          <w:tcPr>
            <w:tcW w:w="1080" w:type="dxa"/>
            <w:vAlign w:val="bottom"/>
          </w:tcPr>
          <w:p>
            <w:pPr>
              <w:spacing w:after="0"/>
              <w:rPr>
                <w:sz w:val="18"/>
                <w:szCs w:val="18"/>
                <w:color w:val="auto"/>
              </w:rPr>
            </w:pPr>
          </w:p>
        </w:tc>
        <w:tc>
          <w:tcPr>
            <w:tcW w:w="8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b w:val="1"/>
                <w:bCs w:val="1"/>
                <w:color w:val="auto"/>
              </w:rPr>
              <w:t>6.5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 finance leases (in years)</w:t>
            </w:r>
          </w:p>
        </w:tc>
        <w:tc>
          <w:tcPr>
            <w:tcW w:w="10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b w:val="1"/>
                <w:bCs w:val="1"/>
                <w:color w:val="auto"/>
              </w:rPr>
              <w:t>7.9</w:t>
            </w: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080" w:type="dxa"/>
            <w:vAlign w:val="bottom"/>
          </w:tcPr>
          <w:p>
            <w:pPr>
              <w:spacing w:after="0"/>
              <w:rPr>
                <w:sz w:val="18"/>
                <w:szCs w:val="18"/>
                <w:color w:val="auto"/>
              </w:rPr>
            </w:pPr>
          </w:p>
        </w:tc>
        <w:tc>
          <w:tcPr>
            <w:tcW w:w="8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7.60%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8.26%</w:t>
            </w: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10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7.48%</w:t>
            </w: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7.54%</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-1447800</wp:posOffset>
            </wp:positionV>
            <wp:extent cx="12001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-1430655</wp:posOffset>
            </wp:positionV>
            <wp:extent cx="12001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-1447800</wp:posOffset>
            </wp:positionV>
            <wp:extent cx="10287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-1430655</wp:posOffset>
            </wp:positionV>
            <wp:extent cx="1028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-1447800</wp:posOffset>
            </wp:positionV>
            <wp:extent cx="10287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9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-1430655</wp:posOffset>
            </wp:positionV>
            <wp:extent cx="10287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-1148080</wp:posOffset>
            </wp:positionV>
            <wp:extent cx="12001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-1130935</wp:posOffset>
            </wp:positionV>
            <wp:extent cx="12001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-1148080</wp:posOffset>
            </wp:positionV>
            <wp:extent cx="10287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-1130935</wp:posOffset>
            </wp:positionV>
            <wp:extent cx="10287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-1148080</wp:posOffset>
            </wp:positionV>
            <wp:extent cx="10287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-1130935</wp:posOffset>
            </wp:positionV>
            <wp:extent cx="10287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-847725</wp:posOffset>
            </wp:positionV>
            <wp:extent cx="12001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-830580</wp:posOffset>
            </wp:positionV>
            <wp:extent cx="12001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0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-847725</wp:posOffset>
            </wp:positionV>
            <wp:extent cx="1028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0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-830580</wp:posOffset>
            </wp:positionV>
            <wp:extent cx="10287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-847725</wp:posOffset>
            </wp:positionV>
            <wp:extent cx="10287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-830580</wp:posOffset>
            </wp:positionV>
            <wp:extent cx="10287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13"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variable lease costs, finance lease interest and amortization costs.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331"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color w:val="auto"/>
        </w:rPr>
        <w:t xml:space="preserve">As of December 31, 2025, future minimum lease payments due under Accounting Standards Codification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are summarized by fiscal year in the table below:</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00" w:type="dxa"/>
            <w:vAlign w:val="bottom"/>
          </w:tcPr>
          <w:p>
            <w:pPr>
              <w:spacing w:after="0"/>
              <w:rPr>
                <w:sz w:val="15"/>
                <w:szCs w:val="15"/>
                <w:color w:val="auto"/>
              </w:rPr>
            </w:pPr>
          </w:p>
        </w:tc>
      </w:tr>
      <w:tr>
        <w:trPr>
          <w:trHeight w:val="183"/>
        </w:trPr>
        <w:tc>
          <w:tcPr>
            <w:tcW w:w="49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80" w:type="dxa"/>
            <w:vAlign w:val="bottom"/>
            <w:gridSpan w:val="5"/>
          </w:tcPr>
          <w:p>
            <w:pPr>
              <w:jc w:val="right"/>
              <w:ind w:right="136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11,073</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1,193</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9,850</w:t>
            </w: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1,126</w:t>
            </w: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8,515</w:t>
            </w:r>
          </w:p>
        </w:tc>
        <w:tc>
          <w:tcPr>
            <w:tcW w:w="2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1,049</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7,359</w:t>
            </w: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1,014</w:t>
            </w: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2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6,704</w:t>
            </w:r>
          </w:p>
        </w:tc>
        <w:tc>
          <w:tcPr>
            <w:tcW w:w="2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961</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13,925</w:t>
            </w: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2,879</w:t>
            </w:r>
          </w:p>
        </w:tc>
      </w:tr>
      <w:tr>
        <w:trPr>
          <w:trHeight w:val="20"/>
        </w:trPr>
        <w:tc>
          <w:tcPr>
            <w:tcW w:w="49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57,426</w:t>
            </w:r>
          </w:p>
        </w:tc>
        <w:tc>
          <w:tcPr>
            <w:tcW w:w="2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8,222</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(11,782)</w:t>
            </w:r>
          </w:p>
        </w:tc>
        <w:tc>
          <w:tcPr>
            <w:tcW w:w="20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(1,989)</w:t>
            </w:r>
          </w:p>
        </w:tc>
      </w:tr>
      <w:tr>
        <w:trPr>
          <w:trHeight w:val="20"/>
        </w:trPr>
        <w:tc>
          <w:tcPr>
            <w:tcW w:w="49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7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45,644</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6,233</w:t>
            </w:r>
          </w:p>
        </w:tc>
      </w:tr>
      <w:tr>
        <w:trPr>
          <w:trHeight w:val="20"/>
        </w:trPr>
        <w:tc>
          <w:tcPr>
            <w:tcW w:w="4980" w:type="dxa"/>
            <w:vAlign w:val="bottom"/>
            <w:tcBorders>
              <w:top w:val="single" w:sz="8" w:color="CFF0FC"/>
            </w:tcBorders>
            <w:shd w:val="clear" w:color="auto" w:fill="CFF0FC"/>
          </w:tcPr>
          <w:p>
            <w:pPr>
              <w:spacing w:after="0" w:line="20" w:lineRule="exact"/>
              <w:rPr>
                <w:sz w:val="1"/>
                <w:szCs w:val="1"/>
                <w:color w:val="auto"/>
              </w:rPr>
            </w:pPr>
          </w:p>
        </w:tc>
        <w:tc>
          <w:tcPr>
            <w:tcW w:w="27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are engaged in the manufacture and sale of nitrogen based chemical products. We manufacture and distribute products in four facilities; three of which we own and one of which we operate on behalf of a third party. Please see “Nature of business” in Note 1-Summary of Significant Accounting Policies for a description of our products and customers.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managed on a consolidated basis with a single reportable segment, chemical manufacturing, which is not an aggregation of individual operating segments. Our segment determination is based primarily on our approach in allocating resources, which is driven by the objective of maximizing profit to the consolidated entity. We do not have business activities outside of our single reportable segment. Hence, we manage our entire company on the same basis as our single reportable segment.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determined that the chief operating decision maker (“CODM”) function is held by our Chief Executive Officer, Mark Behrman, and our Chief Financial Officer, Cheryl Maguire.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measure of segment profit that is most consistent with U.S. GAAP measurement principles is consolidated net income, which our CODM uses to assess performance and allocate resources. The accounting policies for our single reportable segment are the same as those for the Company as a whole, which are described in “Note 1 – Summary of Significant Accounting Policies”.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CODM uses the segment profit measure to assess actual versus forecasted performance, determine incentive compensation, evaluate growth opportunities and to make decisions such as whether and when to invest profits back into the business.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reported segment revenue, measures of a segment’s profit or loss, significant segment expenses, and measure of a segment's assets: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6620" w:type="dxa"/>
            <w:vAlign w:val="bottom"/>
          </w:tcPr>
          <w:p>
            <w:pPr>
              <w:spacing w:after="0"/>
              <w:rPr>
                <w:sz w:val="10"/>
                <w:szCs w:val="10"/>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615,208</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jc w:val="right"/>
              <w:ind w:right="112"/>
              <w:spacing w:after="0" w:line="124"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522,400</w:t>
            </w:r>
          </w:p>
        </w:tc>
        <w:tc>
          <w:tcPr>
            <w:tcW w:w="10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Cost of sales excluding depreciation, amortization</w:t>
            </w:r>
          </w:p>
        </w:tc>
        <w:tc>
          <w:tcPr>
            <w:tcW w:w="30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423,125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turnaround expense</w:t>
            </w:r>
          </w:p>
        </w:tc>
        <w:tc>
          <w:tcPr>
            <w:tcW w:w="3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81,623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74,260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Turnaround expense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cost of sales</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510,906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474,603</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507,449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Wages and benefits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25,627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23,191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selling general and administrative</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41,507</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41,767</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36,580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Loss (gain) on extinguishments of debt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(3,013)</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(8,644)</w:t>
            </w: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from asset write-down and disposals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7,936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(6,684)</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segment items (a)</w:t>
            </w: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(6,897)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(11,075)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(20,321)</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Segment net income (loss)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24,613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(19,353)</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Reconciliation of profit or loss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Adjustments and reconciling items</w:t>
            </w:r>
          </w:p>
        </w:tc>
        <w:tc>
          <w:tcPr>
            <w:tcW w:w="3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6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Consolidated net income (loss)</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24,613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(19,353)</w:t>
            </w:r>
          </w:p>
        </w:tc>
        <w:tc>
          <w:tcPr>
            <w:tcW w:w="100" w:type="dxa"/>
            <w:vAlign w:val="bottom"/>
          </w:tcPr>
          <w:p>
            <w:pPr>
              <w:spacing w:after="0"/>
              <w:rPr>
                <w:sz w:val="20"/>
                <w:szCs w:val="20"/>
                <w:color w:val="auto"/>
              </w:rPr>
            </w:pPr>
          </w:p>
        </w:tc>
        <w:tc>
          <w:tcPr>
            <w:tcW w:w="46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-1985010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-1985010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-1985010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-1419225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-1419225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-1419225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-579120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-579120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-579120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625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2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For the periods presented, amount consisted primarily of interest and sublease income.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measure of our chemical business assets is reported on the balance sheet as total consolidated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our long-lived assets are located in the United States and substantially all net sales are to customers in the United States.</w:t>
      </w:r>
    </w:p>
    <w:p>
      <w:pPr>
        <w:spacing w:after="0" w:line="14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each of 2025, 2024 and 2023 we had one customer whose net sales accounted for more than 10% of our total net sales. Net sales to this customer were 12%, 16% and 14% of total net sales, in 2025, 2024 and 2023, respectively.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II - Valuation and Qualifying Accounts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2024, and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Charges to</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(Recovery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Write-</w:t>
            </w:r>
          </w:p>
        </w:tc>
        <w:tc>
          <w:tcPr>
            <w:tcW w:w="140" w:type="dxa"/>
            <w:vAlign w:val="bottom"/>
          </w:tcPr>
          <w:p>
            <w:pPr>
              <w:spacing w:after="0"/>
              <w:rPr>
                <w:sz w:val="12"/>
                <w:szCs w:val="12"/>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5700" w:type="dxa"/>
            <w:vAlign w:val="bottom"/>
            <w:vMerge w:val="restart"/>
          </w:tcPr>
          <w:p>
            <w:pPr>
              <w:jc w:val="right"/>
              <w:ind w:right="2315"/>
              <w:spacing w:after="0"/>
              <w:rPr>
                <w:sz w:val="20"/>
                <w:szCs w:val="20"/>
                <w:color w:val="auto"/>
              </w:rPr>
            </w:pPr>
            <w:r>
              <w:rPr>
                <w:rFonts w:ascii="Times New Roman" w:cs="Times New Roman" w:eastAsia="Times New Roman" w:hAnsi="Times New Roman"/>
                <w:sz w:val="14"/>
                <w:szCs w:val="14"/>
                <w:b w:val="1"/>
                <w:bCs w:val="1"/>
                <w:color w:val="auto"/>
              </w:rPr>
              <w:t>Description (1)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offs/Costs</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Incurred</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End of Year</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380" w:type="dxa"/>
            <w:vAlign w:val="bottom"/>
            <w:gridSpan w:val="4"/>
          </w:tcPr>
          <w:p>
            <w:pPr>
              <w:jc w:val="center"/>
              <w:ind w:right="697"/>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 allowance for doubtful accounts: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jc w:val="right"/>
              <w:ind w:right="5135"/>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tcPr>
          <w:p>
            <w:pPr>
              <w:jc w:val="right"/>
              <w:ind w:right="5135"/>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tcPr>
          <w:p>
            <w:pPr>
              <w:jc w:val="right"/>
              <w:ind w:right="5135"/>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 valuation allowance: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700" w:type="dxa"/>
            <w:vAlign w:val="bottom"/>
            <w:shd w:val="clear" w:color="auto" w:fill="CFF0FC"/>
          </w:tcPr>
          <w:p>
            <w:pPr>
              <w:jc w:val="right"/>
              <w:ind w:right="5135"/>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14,238</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2,876</w:t>
            </w:r>
          </w:p>
        </w:tc>
        <w:tc>
          <w:tcPr>
            <w:tcW w:w="2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2,777</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14,337</w:t>
            </w:r>
          </w:p>
        </w:tc>
        <w:tc>
          <w:tcPr>
            <w:tcW w:w="0" w:type="dxa"/>
            <w:vAlign w:val="bottom"/>
          </w:tcPr>
          <w:p>
            <w:pPr>
              <w:spacing w:after="0"/>
              <w:rPr>
                <w:sz w:val="1"/>
                <w:szCs w:val="1"/>
                <w:color w:val="auto"/>
              </w:rPr>
            </w:pPr>
          </w:p>
        </w:tc>
      </w:tr>
      <w:tr>
        <w:trPr>
          <w:trHeight w:val="197"/>
        </w:trPr>
        <w:tc>
          <w:tcPr>
            <w:tcW w:w="57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700" w:type="dxa"/>
            <w:vAlign w:val="bottom"/>
            <w:shd w:val="clear" w:color="auto" w:fill="CFF0FC"/>
          </w:tcPr>
          <w:p>
            <w:pPr>
              <w:jc w:val="right"/>
              <w:ind w:right="5135"/>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15,175</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(754)</w:t>
            </w:r>
          </w:p>
        </w:tc>
        <w:tc>
          <w:tcPr>
            <w:tcW w:w="2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14,238</w:t>
            </w:r>
          </w:p>
        </w:tc>
        <w:tc>
          <w:tcPr>
            <w:tcW w:w="0" w:type="dxa"/>
            <w:vAlign w:val="bottom"/>
          </w:tcPr>
          <w:p>
            <w:pPr>
              <w:spacing w:after="0"/>
              <w:rPr>
                <w:sz w:val="1"/>
                <w:szCs w:val="1"/>
                <w:color w:val="auto"/>
              </w:rPr>
            </w:pPr>
          </w:p>
        </w:tc>
      </w:tr>
      <w:tr>
        <w:trPr>
          <w:trHeight w:val="196"/>
        </w:trPr>
        <w:tc>
          <w:tcPr>
            <w:tcW w:w="57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700" w:type="dxa"/>
            <w:vAlign w:val="bottom"/>
            <w:shd w:val="clear" w:color="auto" w:fill="CFF0FC"/>
          </w:tcPr>
          <w:p>
            <w:pPr>
              <w:jc w:val="right"/>
              <w:ind w:right="5135"/>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14,916</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274</w:t>
            </w:r>
          </w:p>
        </w:tc>
        <w:tc>
          <w:tcPr>
            <w:tcW w:w="2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15,175</w:t>
            </w:r>
          </w:p>
        </w:tc>
        <w:tc>
          <w:tcPr>
            <w:tcW w:w="0" w:type="dxa"/>
            <w:vAlign w:val="bottom"/>
          </w:tcPr>
          <w:p>
            <w:pPr>
              <w:spacing w:after="0"/>
              <w:rPr>
                <w:sz w:val="1"/>
                <w:szCs w:val="1"/>
                <w:color w:val="auto"/>
              </w:rPr>
            </w:pPr>
          </w:p>
        </w:tc>
      </w:tr>
      <w:tr>
        <w:trPr>
          <w:trHeight w:val="106"/>
        </w:trPr>
        <w:tc>
          <w:tcPr>
            <w:tcW w:w="5700" w:type="dxa"/>
            <w:vAlign w:val="bottom"/>
            <w:tcBorders>
              <w:top w:val="single" w:sz="8" w:color="CFF0FC"/>
            </w:tcBorders>
          </w:tcPr>
          <w:p>
            <w:pPr>
              <w:spacing w:after="0" w:line="106" w:lineRule="exact"/>
              <w:rPr>
                <w:sz w:val="20"/>
                <w:szCs w:val="20"/>
                <w:color w:val="auto"/>
              </w:rPr>
            </w:pPr>
            <w:r>
              <w:rPr>
                <w:rFonts w:ascii="Times New Roman" w:cs="Times New Roman" w:eastAsia="Times New Roman" w:hAnsi="Times New Roman"/>
                <w:sz w:val="11"/>
                <w:szCs w:val="11"/>
                <w:color w:val="auto"/>
              </w:rPr>
              <w:t>_____________________________</w:t>
            </w:r>
          </w:p>
        </w:tc>
        <w:tc>
          <w:tcPr>
            <w:tcW w:w="12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26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-704850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-687705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-704850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-687705</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-704850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-687705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-704850</wp:posOffset>
            </wp:positionV>
            <wp:extent cx="7747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-687705</wp:posOffset>
            </wp:positionV>
            <wp:extent cx="7747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-405130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-387985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-405130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-387985</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-405130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-387985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-405130</wp:posOffset>
            </wp:positionV>
            <wp:extent cx="7747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-387985</wp:posOffset>
            </wp:positionV>
            <wp:extent cx="7747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-104775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-87630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-104775</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-87630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-104775</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-87630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-104775</wp:posOffset>
            </wp:positionV>
            <wp:extent cx="7747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-87630</wp:posOffset>
            </wp:positionV>
            <wp:extent cx="7747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ind w:left="520" w:hanging="512"/>
        <w:spacing w:after="0"/>
        <w:tabs>
          <w:tab w:leader="none" w:pos="5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Reduction in the consolidated balance sheet from the related assets to which the reserve applies.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valuation and qualifying accounts are detailed in our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20"/>
          <w:szCs w:val="20"/>
          <w:color w:val="auto"/>
        </w:rPr>
        <w:t>Exhibit 3(ii).1</w:t>
      </w: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SECOND AMENDED AND RESTATED BYLAWS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amended through December 17,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Offices</w:t>
      </w:r>
    </w:p>
    <w:p>
      <w:pPr>
        <w:spacing w:after="0" w:line="225" w:lineRule="exact"/>
        <w:rPr>
          <w:sz w:val="20"/>
          <w:szCs w:val="20"/>
          <w:color w:val="auto"/>
        </w:rPr>
      </w:pPr>
    </w:p>
    <w:p>
      <w:pPr>
        <w:jc w:val="both"/>
        <w:ind w:right="140" w:firstLine="45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The principal office of the Corporation shall be in Oklahoma City, County of Oklahoma, State of Oklahoma, and the Corporation may also have offices at such other places as the Board of Directors may from time to time appoint or at such other places as the business of the Corporation requires.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Seal</w:t>
      </w:r>
    </w:p>
    <w:p>
      <w:pPr>
        <w:spacing w:after="0" w:line="225" w:lineRule="exact"/>
        <w:rPr>
          <w:sz w:val="20"/>
          <w:szCs w:val="20"/>
          <w:color w:val="auto"/>
        </w:rPr>
      </w:pPr>
    </w:p>
    <w:p>
      <w:pPr>
        <w:ind w:right="20" w:firstLine="45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The corporate seal shall be in such form as the Board of Directors may from time to time prescribe. Said seal may be used by causing it, or a facsimile thereof, to be impressed or affixed or reproduced or otherwise.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Stockholders; Business to be Conducted at Annual or Special Meeting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of Stockholders; and Stockholder Access to Corporation’s Proxy Statement</w:t>
      </w:r>
    </w:p>
    <w:p>
      <w:pPr>
        <w:spacing w:after="0" w:line="225" w:lineRule="exact"/>
        <w:rPr>
          <w:sz w:val="20"/>
          <w:szCs w:val="20"/>
          <w:color w:val="auto"/>
        </w:rPr>
      </w:pPr>
    </w:p>
    <w:p>
      <w:pPr>
        <w:ind w:right="940" w:firstLine="458"/>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Place</w:t>
      </w:r>
      <w:r>
        <w:rPr>
          <w:rFonts w:ascii="Times New Roman" w:cs="Times New Roman" w:eastAsia="Times New Roman" w:hAnsi="Times New Roman"/>
          <w:sz w:val="18"/>
          <w:szCs w:val="18"/>
          <w:color w:val="auto"/>
        </w:rPr>
        <w:t>. All meetings of the stockholders shall be held in Oklahoma City, Oklahoma, or at such other place as the directors may designate.</w:t>
      </w:r>
    </w:p>
    <w:p>
      <w:pPr>
        <w:spacing w:after="0" w:line="162" w:lineRule="exact"/>
        <w:rPr>
          <w:sz w:val="20"/>
          <w:szCs w:val="20"/>
          <w:color w:val="auto"/>
        </w:rPr>
      </w:pPr>
    </w:p>
    <w:p>
      <w:pPr>
        <w:ind w:right="120" w:firstLine="458"/>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An annual meeting of stockholders shall be held each calendar year on such date and at such time as shall be designated from time to time by the Board of Directors and stated in the notice of the meeting or in a duly executed waiver of notice of such meeting. At such meeting, the stockholders shall elect directors and transact such other business as may properly be brought before the meeting.</w:t>
      </w:r>
    </w:p>
    <w:p>
      <w:pPr>
        <w:spacing w:after="0" w:line="176" w:lineRule="exact"/>
        <w:rPr>
          <w:sz w:val="20"/>
          <w:szCs w:val="20"/>
          <w:color w:val="auto"/>
        </w:rPr>
      </w:pPr>
    </w:p>
    <w:p>
      <w:pPr>
        <w:ind w:right="20" w:firstLine="458"/>
        <w:spacing w:after="0" w:line="25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The holders of record of a majority of the stock issued and outstanding, and entitled to vote thereat, present in person, or represented by proxy, shall be requisite and shall constitute a quorum at all meetings of the stockholders for the transaction of business, except as otherwise provided by law, by the Certificate of Incorporation or by these Bylaws, but in the absence of a quorum the holders of record, present in person or represented by proxy at such meeting shall have power to adjourn the meeting from time to time, without notice other than announcement at the meeting, until the requisite amount of voting stock shall be present. At such adjourned meeting at which the requisite amount of voting stock shall be represented, any business may be transacted which might have been transacted at the meeting as originally notified.</w:t>
      </w:r>
    </w:p>
    <w:p>
      <w:pPr>
        <w:spacing w:after="0" w:line="187" w:lineRule="exact"/>
        <w:rPr>
          <w:sz w:val="20"/>
          <w:szCs w:val="20"/>
          <w:color w:val="auto"/>
        </w:rPr>
      </w:pPr>
    </w:p>
    <w:p>
      <w:pPr>
        <w:ind w:right="140" w:firstLine="458"/>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Except as otherwise provided by the laws of the State of Delaware or the Certificate of Incorporation of the Corporation or these Bylaws:</w:t>
      </w:r>
    </w:p>
    <w:p>
      <w:pPr>
        <w:spacing w:after="0" w:line="162" w:lineRule="exact"/>
        <w:rPr>
          <w:sz w:val="20"/>
          <w:szCs w:val="20"/>
          <w:color w:val="auto"/>
        </w:rPr>
      </w:pPr>
    </w:p>
    <w:p>
      <w:pPr>
        <w:ind w:right="720" w:firstLine="457"/>
        <w:spacing w:after="0" w:line="282" w:lineRule="auto"/>
        <w:tabs>
          <w:tab w:leader="none" w:pos="99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every meeting of the stockholders every shareholder having the right to vote shall be entitled to one vote for each share of capital stock having voting rights held by him.</w:t>
      </w:r>
    </w:p>
    <w:p>
      <w:pPr>
        <w:spacing w:after="0" w:line="161" w:lineRule="exact"/>
        <w:rPr>
          <w:rFonts w:ascii="Times New Roman" w:cs="Times New Roman" w:eastAsia="Times New Roman" w:hAnsi="Times New Roman"/>
          <w:sz w:val="18"/>
          <w:szCs w:val="18"/>
          <w:color w:val="auto"/>
        </w:rPr>
      </w:pPr>
    </w:p>
    <w:p>
      <w:pPr>
        <w:ind w:right="320" w:firstLine="457"/>
        <w:spacing w:after="0" w:line="266" w:lineRule="auto"/>
        <w:tabs>
          <w:tab w:leader="none" w:pos="10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entitled to vote at a meeting of stockholders or to express consent or dissent to corporate action in writing without a meeting may authorize another person or persons to act for him by proxy, but no such proxy shall be voted or acted upon after three years from its date, unless the proxy provides for a longer period.</w:t>
      </w:r>
    </w:p>
    <w:p>
      <w:pPr>
        <w:spacing w:after="0" w:line="175" w:lineRule="exact"/>
        <w:rPr>
          <w:rFonts w:ascii="Times New Roman" w:cs="Times New Roman" w:eastAsia="Times New Roman" w:hAnsi="Times New Roman"/>
          <w:sz w:val="18"/>
          <w:szCs w:val="18"/>
          <w:color w:val="auto"/>
        </w:rPr>
      </w:pPr>
    </w:p>
    <w:p>
      <w:pPr>
        <w:ind w:left="720" w:hanging="263"/>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matter properly presented to any meeting shall be decided by a majority of the votes cast on the matter.</w:t>
      </w:r>
    </w:p>
    <w:p>
      <w:pPr>
        <w:spacing w:after="0" w:line="225" w:lineRule="exact"/>
        <w:rPr>
          <w:rFonts w:ascii="Times New Roman" w:cs="Times New Roman" w:eastAsia="Times New Roman" w:hAnsi="Times New Roman"/>
          <w:sz w:val="18"/>
          <w:szCs w:val="18"/>
          <w:color w:val="auto"/>
        </w:rPr>
      </w:pPr>
    </w:p>
    <w:p>
      <w:pPr>
        <w:ind w:right="180" w:firstLine="457"/>
        <w:spacing w:after="0" w:line="266" w:lineRule="auto"/>
        <w:tabs>
          <w:tab w:leader="none" w:pos="101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 and the vote on any other matter presented to a meeting need not be by written ballots, but written ballots may be used if ordered by the chairman of the meeting or if so requested by any stockholder present or represented by proxy at the meeting entitled to vote in such election or on such matter, as the case may be.</w:t>
      </w:r>
    </w:p>
    <w:p>
      <w:pPr>
        <w:spacing w:after="0" w:line="176" w:lineRule="exact"/>
        <w:rPr>
          <w:sz w:val="20"/>
          <w:szCs w:val="20"/>
          <w:color w:val="auto"/>
        </w:rPr>
      </w:pPr>
    </w:p>
    <w:p>
      <w:pPr>
        <w:jc w:val="both"/>
        <w:ind w:right="320" w:firstLine="458"/>
        <w:spacing w:after="0" w:line="26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Notice of Meeting</w:t>
      </w:r>
      <w:r>
        <w:rPr>
          <w:rFonts w:ascii="Times New Roman" w:cs="Times New Roman" w:eastAsia="Times New Roman" w:hAnsi="Times New Roman"/>
          <w:sz w:val="18"/>
          <w:szCs w:val="18"/>
          <w:color w:val="auto"/>
        </w:rPr>
        <w:t>. For each meeting of stockholders written notice shall be given stating the place, date and hour, and, in the case of a special meeting, the purpose or purposes for which the meeting is called and, if the list of stockholders required by Section 6 is not to be at the place of said meeting at least 10 days prior to the meeting, the place where said list will be. Except as otherwise provided by Delaware law, the written notice of any meeting shall be given not less than 10 nor more than 60 days before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8" w:name="page79"/>
    <w:bookmarkEnd w:id="78"/>
    <w:p>
      <w:pPr>
        <w:ind w:right="120"/>
        <w:spacing w:after="0" w:line="282" w:lineRule="auto"/>
        <w:rPr>
          <w:sz w:val="20"/>
          <w:szCs w:val="20"/>
          <w:color w:val="auto"/>
        </w:rPr>
      </w:pPr>
      <w:r>
        <w:rPr>
          <w:rFonts w:ascii="Times New Roman" w:cs="Times New Roman" w:eastAsia="Times New Roman" w:hAnsi="Times New Roman"/>
          <w:sz w:val="18"/>
          <w:szCs w:val="18"/>
          <w:color w:val="auto"/>
        </w:rPr>
        <w:t>date of the meeting to each stockholder entitled to vote at such meeting. If mailed, notice shall be deemed to be given when deposited in the United States mail, postage prepaid, directed to the stockholder at his address as it appears on the records of the Corporation.</w:t>
      </w:r>
    </w:p>
    <w:p>
      <w:pPr>
        <w:spacing w:after="0" w:line="162" w:lineRule="exact"/>
        <w:rPr>
          <w:sz w:val="20"/>
          <w:szCs w:val="20"/>
          <w:color w:val="auto"/>
        </w:rPr>
      </w:pPr>
    </w:p>
    <w:p>
      <w:pPr>
        <w:ind w:right="20" w:firstLine="458"/>
        <w:spacing w:after="0" w:line="25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List of Stockholders Entitled to Vote</w:t>
      </w:r>
      <w:r>
        <w:rPr>
          <w:rFonts w:ascii="Times New Roman" w:cs="Times New Roman" w:eastAsia="Times New Roman" w:hAnsi="Times New Roman"/>
          <w:sz w:val="18"/>
          <w:szCs w:val="18"/>
          <w:color w:val="auto"/>
        </w:rPr>
        <w:t>. At least 10 days before every meeting of stockholders a complete list of the stockholders entitled to vote at the meeting, arranged in alphabetical order, and showing the address of each stockholder and the number of shares registered in the name of each stockholder, shall be prepared and shall be open to the examination of any stockholder for any purpose germane to the meeting, during ordinary business hours, for a period of at least 10 days prior to the meeting, either at a place within the city where the meeting is to be held, which place shall be specified in the notice of the meeting, or, if not so specified, at the place where the meeting is to be held. Such list shall be produced and kept at the time and place of the meeting during the whole time thereof, and may be inspected by any stockholder who is present.</w:t>
      </w:r>
    </w:p>
    <w:p>
      <w:pPr>
        <w:spacing w:after="0" w:line="187" w:lineRule="exact"/>
        <w:rPr>
          <w:sz w:val="20"/>
          <w:szCs w:val="20"/>
          <w:color w:val="auto"/>
        </w:rPr>
      </w:pPr>
    </w:p>
    <w:p>
      <w:pPr>
        <w:ind w:right="100" w:firstLine="458"/>
        <w:spacing w:after="0" w:line="25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A special meeting of stockholders may be called at any time by the Chairman or by a majority of the directors then in office, and shall be called by the Chairman upon receipt of a written request to do so specifying the matter or matters, appropriate for action at such meeting, proposed to be presented at the meeting and signed by holders of record of two-thirds of the shares of stock that would be entitled to be voted on such matter or matters if the meeting was held on the day such request is received and the record date for such meeting was the close of business on the preceding day. Any such meeting shall be held at such time and at such place, within or without the State of Delaware, as shall be determined by the body or person calling such meeting and as shall be stated in the notice of such meeting.”</w:t>
      </w:r>
    </w:p>
    <w:p>
      <w:pPr>
        <w:spacing w:after="0" w:line="187" w:lineRule="exact"/>
        <w:rPr>
          <w:sz w:val="20"/>
          <w:szCs w:val="20"/>
          <w:color w:val="auto"/>
        </w:rPr>
      </w:pPr>
    </w:p>
    <w:p>
      <w:pPr>
        <w:ind w:firstLine="458"/>
        <w:spacing w:after="0" w:line="255"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Chairman and Secretary at Meeting</w:t>
      </w:r>
      <w:r>
        <w:rPr>
          <w:rFonts w:ascii="Times New Roman" w:cs="Times New Roman" w:eastAsia="Times New Roman" w:hAnsi="Times New Roman"/>
          <w:sz w:val="18"/>
          <w:szCs w:val="18"/>
          <w:color w:val="auto"/>
        </w:rPr>
        <w:t>. At each meeting of stockholders, the Chairman of the Board of Directors or, in the absence or inability to serve by the Chairman of the Board of Directors, the Vice Chairman of the Board of Directors or, in the absence or inability to serve by both the Chairman of the Board of Directors and the Vice Chairman of the Board of Directors, the President or, in the absence or inability to serve by the Chairman of the Board of Directors, Vice Chairman of the Board of Directors and the President, the person designated in writing by the President or, if no person is so designated, then a person designated by the Board of Directors shall preside as Chairman of the meeting; if no person is so designated, then the Board of Directors shall choose a Chairman by plurality vote. The Secretary or in his absence a person designated by the Chairman of the meeting shall act as Secretary of the meeting.</w:t>
      </w:r>
    </w:p>
    <w:p>
      <w:pPr>
        <w:spacing w:after="0" w:line="189" w:lineRule="exact"/>
        <w:rPr>
          <w:sz w:val="20"/>
          <w:szCs w:val="20"/>
          <w:color w:val="auto"/>
        </w:rPr>
      </w:pPr>
    </w:p>
    <w:p>
      <w:pPr>
        <w:ind w:right="40" w:firstLine="458"/>
        <w:spacing w:after="0" w:line="258"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Adjourned Meetings</w:t>
      </w:r>
      <w:r>
        <w:rPr>
          <w:rFonts w:ascii="Times New Roman" w:cs="Times New Roman" w:eastAsia="Times New Roman" w:hAnsi="Times New Roman"/>
          <w:sz w:val="18"/>
          <w:szCs w:val="18"/>
          <w:color w:val="auto"/>
        </w:rPr>
        <w:t>. A meeting of stockholders may be adjourned to another time or place as provided in Sections 3 or 4(d) of this Article III. Unless the Board of Directors fixes a new record date, stockholders of record for an adjourned meeting shall be as originally determined for the meeting from which the adjournment was taken. If the adjournment is for more than 30 days, or if after the adjournment, a new record date is fixed for the adjourned meeting, a notice of the adjourned meeting shall be given to each stockholder of record entitled to vote. At the adjourned meeting any business may be transacted that might have been transacted at the meeting as originally called.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Consent of Stockholders in Lieu of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58"/>
        <w:spacing w:after="0" w:line="258"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Action by Written Consent</w:t>
      </w:r>
      <w:r>
        <w:rPr>
          <w:rFonts w:ascii="Times New Roman" w:cs="Times New Roman" w:eastAsia="Times New Roman" w:hAnsi="Times New Roman"/>
          <w:sz w:val="18"/>
          <w:szCs w:val="18"/>
          <w:color w:val="auto"/>
        </w:rPr>
        <w:t>. Any action which is required to be or may be taken at any annual or special meeting of stockholders of the Corporation may be taken without a meeting, without prior notice and without a vote, if consents in writing, setting forth the action so taken, shall have been signed by the holders of outstanding stock having not less than the minimum number of votes that would be necessary to authorize or to take such action at a meeting at which all shares entitled to vote thereon were present and voted; provided however, that prompt notice of the taking of the corporate action without a meeting and by less than unanimous written consent shall be given to those stockholders who have not consented in writing.</w:t>
      </w:r>
    </w:p>
    <w:p>
      <w:pPr>
        <w:spacing w:after="0" w:line="183" w:lineRule="exact"/>
        <w:rPr>
          <w:sz w:val="20"/>
          <w:szCs w:val="20"/>
          <w:color w:val="auto"/>
        </w:rPr>
      </w:pPr>
    </w:p>
    <w:p>
      <w:pPr>
        <w:ind w:right="20" w:firstLine="458"/>
        <w:spacing w:after="0" w:line="269" w:lineRule="auto"/>
        <w:rPr>
          <w:sz w:val="20"/>
          <w:szCs w:val="20"/>
          <w:color w:val="auto"/>
        </w:rPr>
      </w:pPr>
      <w:r>
        <w:rPr>
          <w:rFonts w:ascii="Times New Roman" w:cs="Times New Roman" w:eastAsia="Times New Roman" w:hAnsi="Times New Roman"/>
          <w:sz w:val="17"/>
          <w:szCs w:val="17"/>
          <w:color w:val="auto"/>
        </w:rPr>
        <w:t xml:space="preserve">10.2 </w:t>
      </w:r>
      <w:r>
        <w:rPr>
          <w:rFonts w:ascii="Times New Roman" w:cs="Times New Roman" w:eastAsia="Times New Roman" w:hAnsi="Times New Roman"/>
          <w:sz w:val="17"/>
          <w:szCs w:val="17"/>
          <w:u w:val="single" w:color="auto"/>
          <w:color w:val="auto"/>
        </w:rPr>
        <w:t>Determination of Record Date of Action by Written Consent</w:t>
      </w:r>
      <w:r>
        <w:rPr>
          <w:rFonts w:ascii="Times New Roman" w:cs="Times New Roman" w:eastAsia="Times New Roman" w:hAnsi="Times New Roman"/>
          <w:sz w:val="17"/>
          <w:szCs w:val="17"/>
          <w:color w:val="auto"/>
        </w:rPr>
        <w:t>. In order to inform the Corporation’s stockholders and the investing public in advance that a record date for action by consent will occur and to comply with the procedures contained in the New York Stock Exchange (or such other exchange on which the Corporation’s securities are listed for trading) policies and rules, the record date for determining stockholders entitled to express consent to corporate action in writing without a meeting is fixed by the Board of Directors of the Corporation pursuant to Section 213 of the Delaware General Corporation Law as follows: The Board of Directors shall set as the record date the 10th day after (i) any stockholder of record seeking to have the stockholders authorize or take corporate action by written consent without a meeting shall, by written notice to the Secretary which may be given by telex or telecopy, advise the Corporation of the corporate action proposed for which consents will be sought and request from the Board of Directors a record date unless a later date is specified by such stockholder, or (ii) the Board of Directors determines that the Corporation should seek corporate action by written consent, unless a later record date is specified in the resolution of the Board of Directors containing such determination. In the event that the record date set as provided falls on a Saturday, Sunday or legal holiday, the record date shall be the first day next following such date that is not a Saturday, Sunday or legal holiday. Any record date determined pursuant to this Subsection 10.2 shall be announced by a press release prior to the opening of trading on the New York Stock Exchange (or such other exchange on which the Corporation’s securities are listed for trading) on the next trading day after a request for a record date pursuant to clause (i) above is received by the Secretary or a Board of Directors’ determination pursuant to clause (ii)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79" w:name="page80"/>
    <w:bookmarkEnd w:id="79"/>
    <w:p>
      <w:pPr>
        <w:ind w:firstLine="458"/>
        <w:spacing w:after="0" w:line="255"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Duration and Revocation of Consents</w:t>
      </w:r>
      <w:r>
        <w:rPr>
          <w:rFonts w:ascii="Times New Roman" w:cs="Times New Roman" w:eastAsia="Times New Roman" w:hAnsi="Times New Roman"/>
          <w:sz w:val="18"/>
          <w:szCs w:val="18"/>
          <w:color w:val="auto"/>
        </w:rPr>
        <w:t>. In order that the Corporation’s stockholders shall have an opportunity to receive and consider the information germane to an informed judgment as to whether to give a written consent and in accordance with the procedures contained in the New York Stock Exchange (or such other exchange on which the Corporation’s securities are listed for trading) policies and rules, the stockholders of the Corporation shall be given at least 20 days from the record date to give or revoke written consents. Consents to corporate action shall be valid for a maximum of 60 days after the record date. Consents may be revoked by written notice (i) to the Corporation, (ii) to the stockholder or stockholders soliciting consents or soliciting revocations in opposition to action by consent proposed by the Corporation (the “Soliciting Stockholders”), or (iii) to a proxy solicitor or other agent designated by the Corporation of the Soliciting Stockholder(s).</w:t>
      </w:r>
    </w:p>
    <w:p>
      <w:pPr>
        <w:spacing w:after="0" w:line="189" w:lineRule="exact"/>
        <w:rPr>
          <w:sz w:val="20"/>
          <w:szCs w:val="20"/>
          <w:color w:val="auto"/>
        </w:rPr>
      </w:pPr>
    </w:p>
    <w:p>
      <w:pPr>
        <w:ind w:right="20" w:firstLine="458"/>
        <w:spacing w:after="0" w:line="255"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Retention and Duties of Inspectors of Election</w:t>
      </w:r>
      <w:r>
        <w:rPr>
          <w:rFonts w:ascii="Times New Roman" w:cs="Times New Roman" w:eastAsia="Times New Roman" w:hAnsi="Times New Roman"/>
          <w:sz w:val="18"/>
          <w:szCs w:val="18"/>
          <w:color w:val="auto"/>
        </w:rPr>
        <w:t>. Within two business days after receipt of a request by a stockholder for the setting of a record date or a determination by the Board of Directors that the Corporation should seek corporate action by written consent, as the case may be, the Secretary of the Corporation shall engage nationally recognized independent inspectors of elections for the purpose of performing a ministerial review of the validity of the consents and revocations. The inspectors shall review all consents and revocations, determine whether the requisite number of valid and unrevoked consents has been obtained to authorize or take the action specified in the consents, and forthwith certify such determination for entry in the records of the Corporation kept for the purpose of recording the proceedings of meetings of stockholders. The cost of retaining inspectors of elections shall be borne by the party proposing the action by consent.</w:t>
      </w:r>
    </w:p>
    <w:p>
      <w:pPr>
        <w:spacing w:after="0" w:line="189" w:lineRule="exact"/>
        <w:rPr>
          <w:sz w:val="20"/>
          <w:szCs w:val="20"/>
          <w:color w:val="auto"/>
        </w:rPr>
      </w:pPr>
    </w:p>
    <w:p>
      <w:pPr>
        <w:ind w:right="540" w:firstLine="458"/>
        <w:spacing w:after="0" w:line="256"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Procedures for Counting and Challenging Consents</w:t>
      </w:r>
      <w:r>
        <w:rPr>
          <w:rFonts w:ascii="Times New Roman" w:cs="Times New Roman" w:eastAsia="Times New Roman" w:hAnsi="Times New Roman"/>
          <w:sz w:val="18"/>
          <w:szCs w:val="18"/>
          <w:color w:val="auto"/>
        </w:rPr>
        <w:t>. Consents and revocations shall be delivered to the inspectors upon receipt by the Corporation, the Soliciting Stockholders or their proxy solicitors or other designated agents. As soon as consents and revocations are received, the inspectors shall review the consents and revocations and shall maintain a count of the number of valid and unrevoked consents. The inspectors shall keep such count confidential and shall not reveal the count to the Corporation, the Soliciting Stockholders or their representatives. As soon as practicable after the earlier of (i) 60 days after the record date for the consents or (ii) a request therefore by the Corporation or the Soliciting Stockholders (whichever is soliciting consents) made after expiration of the period for giving or revoking consents under</w:t>
      </w:r>
    </w:p>
    <w:p>
      <w:pPr>
        <w:spacing w:after="0" w:line="187"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Subsection 10.3 above, notice of which request shall be given to the party opposing the solicitation of consents, which request shall state that the Corporation or Soliciting Stockholder(s) (as the case may be) in good faith believe that it or they have received the requisite number of valid and unrevoked consents to authorize or take the action specified in the consents, the inspectors shall issue a preliminary report to the Corporation and the Soliciting Stockholders stating:</w:t>
      </w:r>
    </w:p>
    <w:p>
      <w:pPr>
        <w:spacing w:after="0" w:line="180" w:lineRule="exact"/>
        <w:rPr>
          <w:sz w:val="20"/>
          <w:szCs w:val="20"/>
          <w:color w:val="auto"/>
        </w:rPr>
      </w:pPr>
    </w:p>
    <w:p>
      <w:pPr>
        <w:ind w:left="1020" w:hanging="56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valid consents;</w:t>
      </w:r>
    </w:p>
    <w:p>
      <w:pPr>
        <w:spacing w:after="0" w:line="225" w:lineRule="exact"/>
        <w:rPr>
          <w:rFonts w:ascii="Times New Roman" w:cs="Times New Roman" w:eastAsia="Times New Roman" w:hAnsi="Times New Roman"/>
          <w:sz w:val="18"/>
          <w:szCs w:val="18"/>
          <w:color w:val="auto"/>
        </w:rPr>
      </w:pPr>
    </w:p>
    <w:p>
      <w:pPr>
        <w:ind w:left="1020" w:hanging="56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valid revocations;</w:t>
      </w:r>
    </w:p>
    <w:p>
      <w:pPr>
        <w:spacing w:after="0" w:line="225" w:lineRule="exact"/>
        <w:rPr>
          <w:rFonts w:ascii="Times New Roman" w:cs="Times New Roman" w:eastAsia="Times New Roman" w:hAnsi="Times New Roman"/>
          <w:sz w:val="18"/>
          <w:szCs w:val="18"/>
          <w:color w:val="auto"/>
        </w:rPr>
      </w:pPr>
    </w:p>
    <w:p>
      <w:pPr>
        <w:ind w:left="1020" w:hanging="56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valid and unrevoked consents;</w:t>
      </w:r>
    </w:p>
    <w:p>
      <w:pPr>
        <w:spacing w:after="0" w:line="225" w:lineRule="exact"/>
        <w:rPr>
          <w:rFonts w:ascii="Times New Roman" w:cs="Times New Roman" w:eastAsia="Times New Roman" w:hAnsi="Times New Roman"/>
          <w:sz w:val="18"/>
          <w:szCs w:val="18"/>
          <w:color w:val="auto"/>
        </w:rPr>
      </w:pPr>
    </w:p>
    <w:p>
      <w:pPr>
        <w:ind w:left="1020" w:hanging="56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invalid consents;</w:t>
      </w:r>
    </w:p>
    <w:p>
      <w:pPr>
        <w:spacing w:after="0" w:line="225" w:lineRule="exact"/>
        <w:rPr>
          <w:rFonts w:ascii="Times New Roman" w:cs="Times New Roman" w:eastAsia="Times New Roman" w:hAnsi="Times New Roman"/>
          <w:sz w:val="18"/>
          <w:szCs w:val="18"/>
          <w:color w:val="auto"/>
        </w:rPr>
      </w:pPr>
    </w:p>
    <w:p>
      <w:pPr>
        <w:ind w:left="1020" w:hanging="56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invalid revocations;</w:t>
      </w:r>
    </w:p>
    <w:p>
      <w:pPr>
        <w:spacing w:after="0" w:line="225" w:lineRule="exact"/>
        <w:rPr>
          <w:rFonts w:ascii="Times New Roman" w:cs="Times New Roman" w:eastAsia="Times New Roman" w:hAnsi="Times New Roman"/>
          <w:sz w:val="18"/>
          <w:szCs w:val="18"/>
          <w:color w:val="auto"/>
        </w:rPr>
      </w:pPr>
    </w:p>
    <w:p>
      <w:pPr>
        <w:ind w:left="1020" w:right="160" w:hanging="56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based on their preliminary count, the requisite number of valid and unrevoked consents has been obtained to authorize or take the action specified in the consents.</w:t>
      </w:r>
    </w:p>
    <w:p>
      <w:pPr>
        <w:spacing w:after="0" w:line="162" w:lineRule="exact"/>
        <w:rPr>
          <w:sz w:val="20"/>
          <w:szCs w:val="20"/>
          <w:color w:val="auto"/>
        </w:rPr>
      </w:pPr>
    </w:p>
    <w:p>
      <w:pPr>
        <w:ind w:right="20" w:firstLine="458"/>
        <w:spacing w:after="0" w:line="253" w:lineRule="auto"/>
        <w:rPr>
          <w:sz w:val="20"/>
          <w:szCs w:val="20"/>
          <w:color w:val="auto"/>
        </w:rPr>
      </w:pPr>
      <w:r>
        <w:rPr>
          <w:rFonts w:ascii="Times New Roman" w:cs="Times New Roman" w:eastAsia="Times New Roman" w:hAnsi="Times New Roman"/>
          <w:sz w:val="18"/>
          <w:szCs w:val="18"/>
          <w:color w:val="auto"/>
        </w:rPr>
        <w:t>Unless the Corporation and the Soliciting Stockholder(s) shall agree to a shorter or longer period, the Corporation and the Soliciting Stockholder(s) shall have 48 hours to review the consents and revocations and to advise the inspectors and the opposing party in writing as to whether they intend to challenge the preliminary report of the inspectors. If no written notice of an intention to challenge the preliminary report is received within 48 hours after the inspector’s issuance of the preliminary report, the inspectors shall issue to the Corporation and the Soliciting Stockholder(s) their final report containing the information from the inspectors’ determination with respect to whether the requisite number of valid and unrevoked consents was obtained to authorize and take the action specified in the consents. If the Corporation or the Soliciting Stockholder(s) issue written notice of an intention to challenge the inspectors’ preliminary report within 48 hours after the issuance of that report, a challenge session shall be scheduled by the inspectors as promptly as practicable. A transcript of the challenge session shall be recorded by a certified court reporter. Following completion of the challenge session, the inspectors shall as promptly as practicable issue their final report to the Corporation and the Soliciting Stockholder(s) containing the information included in the preliminary report, plus all changes in the vote totals as a result of the challenges and a certification of whether the requisite number of valid and unrevoked consents was obtained to authorize or take the action specified in the consents.</w:t>
      </w:r>
    </w:p>
    <w:p>
      <w:pPr>
        <w:spacing w:after="0" w:line="192" w:lineRule="exact"/>
        <w:rPr>
          <w:sz w:val="20"/>
          <w:szCs w:val="20"/>
          <w:color w:val="auto"/>
        </w:rPr>
      </w:pPr>
    </w:p>
    <w:p>
      <w:pPr>
        <w:ind w:right="320" w:firstLine="458"/>
        <w:spacing w:after="0" w:line="282"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Notice of Results</w:t>
      </w:r>
      <w:r>
        <w:rPr>
          <w:rFonts w:ascii="Times New Roman" w:cs="Times New Roman" w:eastAsia="Times New Roman" w:hAnsi="Times New Roman"/>
          <w:sz w:val="18"/>
          <w:szCs w:val="18"/>
          <w:color w:val="auto"/>
        </w:rPr>
        <w:t>. The Corporation shall give prompt notice to the stockholders of the results of any consent solicitation or the taking of the corporate action without a meeting and by less than unanimous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80" w:name="page81"/>
    <w:bookmarkEnd w:id="80"/>
    <w:p>
      <w:pPr>
        <w:ind w:left="20" w:right="160" w:firstLine="458"/>
        <w:spacing w:after="0" w:line="253"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Fixing of Record Date</w:t>
      </w:r>
      <w:r>
        <w:rPr>
          <w:rFonts w:ascii="Times New Roman" w:cs="Times New Roman" w:eastAsia="Times New Roman" w:hAnsi="Times New Roman"/>
          <w:sz w:val="18"/>
          <w:szCs w:val="18"/>
          <w:color w:val="auto"/>
        </w:rPr>
        <w:t>. In order that the Corporation may determine the stockholders entitled to notice of or to vote at any meeting of stockholders or any adjournment thereof, or to express consent to corporate action in writing without a meeting, or entitled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60 nor less than 10 days before the date of such meeting, nor more than 60 days prior to any other action. If no record date is fixed,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the record date for determining stockholders entitled to express consent to corporate action in writing without a meeting, when no prior action by the Board of Directors is necessary, shall be the day on which the first written consent is expressed; and the record date for determining stockholders for any other purpose shall be at the close of business on the day on which the Board of Directors adopts the resolution relating thereto.</w:t>
      </w:r>
    </w:p>
    <w:p>
      <w:pPr>
        <w:spacing w:after="0" w:line="194" w:lineRule="exact"/>
        <w:rPr>
          <w:sz w:val="20"/>
          <w:szCs w:val="20"/>
          <w:color w:val="auto"/>
        </w:rPr>
      </w:pPr>
    </w:p>
    <w:p>
      <w:pPr>
        <w:ind w:left="20" w:right="280" w:firstLine="458"/>
        <w:spacing w:after="0" w:line="276"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u w:val="single" w:color="auto"/>
          <w:color w:val="auto"/>
        </w:rPr>
        <w:t>Business to be Conducted at the Annual or Special Meeting of the Stockholders; Notice of Proposals</w:t>
      </w:r>
      <w:r>
        <w:rPr>
          <w:rFonts w:ascii="Times New Roman" w:cs="Times New Roman" w:eastAsia="Times New Roman" w:hAnsi="Times New Roman"/>
          <w:sz w:val="17"/>
          <w:szCs w:val="17"/>
          <w:color w:val="auto"/>
        </w:rPr>
        <w:t>. At any annual meeting of the stockholders, only such business shall be conducted as shall have been brought before the meeting (i) by or at the direction of the Board of Directors, or</w:t>
      </w:r>
    </w:p>
    <w:p>
      <w:pPr>
        <w:spacing w:after="0" w:line="1" w:lineRule="exact"/>
        <w:rPr>
          <w:sz w:val="20"/>
          <w:szCs w:val="20"/>
          <w:color w:val="auto"/>
        </w:rPr>
      </w:pPr>
    </w:p>
    <w:p>
      <w:pPr>
        <w:ind w:firstLine="8"/>
        <w:spacing w:after="0" w:line="253" w:lineRule="auto"/>
        <w:tabs>
          <w:tab w:leader="none" w:pos="50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stockholder of the Corporation who is entitled to vote with respect thereto and who: (a) was a stockholder of record (and, with respect to any beneficial owner, if different, on whose behalf such business as proposed, only if such beneficial owner was the beneficial owner of shares of the Corporation) both at the time of giving notice provided for in this Section 12 and at the time of the meeting; and (b) complies with the notice procedures set forth in this Section 12.</w:t>
      </w:r>
    </w:p>
    <w:p>
      <w:pPr>
        <w:spacing w:after="0" w:line="189" w:lineRule="exact"/>
        <w:rPr>
          <w:sz w:val="20"/>
          <w:szCs w:val="20"/>
          <w:color w:val="auto"/>
        </w:rPr>
      </w:pPr>
    </w:p>
    <w:p>
      <w:pPr>
        <w:ind w:left="20" w:right="200" w:firstLine="458"/>
        <w:spacing w:after="0" w:line="261" w:lineRule="auto"/>
        <w:rPr>
          <w:sz w:val="20"/>
          <w:szCs w:val="20"/>
          <w:color w:val="auto"/>
        </w:rPr>
      </w:pPr>
      <w:r>
        <w:rPr>
          <w:rFonts w:ascii="Times New Roman" w:cs="Times New Roman" w:eastAsia="Times New Roman" w:hAnsi="Times New Roman"/>
          <w:sz w:val="18"/>
          <w:szCs w:val="18"/>
          <w:color w:val="auto"/>
        </w:rPr>
        <w:t>Except for proposals properly made in accordance with Rule 14a-8 under the Securities Exchange Act of 1934, as amended, and the rules and regulations thereunder (as so amended and inclusive of such rules as regulations, the “Exchange Act”) and included in the notice of the meeting given by or at the direction of the Board of Directors, the foregoing clause (ii) will be the exclusive means for a stockholder to propose business to be brought before the annual meeting of stockholders.</w:t>
      </w:r>
    </w:p>
    <w:p>
      <w:pPr>
        <w:spacing w:after="0" w:line="180" w:lineRule="exact"/>
        <w:rPr>
          <w:sz w:val="20"/>
          <w:szCs w:val="20"/>
          <w:color w:val="auto"/>
        </w:rPr>
      </w:pPr>
    </w:p>
    <w:p>
      <w:pPr>
        <w:ind w:left="20" w:right="80" w:firstLine="458"/>
        <w:spacing w:after="0" w:line="255" w:lineRule="auto"/>
        <w:rPr>
          <w:sz w:val="20"/>
          <w:szCs w:val="20"/>
          <w:color w:val="auto"/>
        </w:rPr>
      </w:pPr>
      <w:r>
        <w:rPr>
          <w:rFonts w:ascii="Times New Roman" w:cs="Times New Roman" w:eastAsia="Times New Roman" w:hAnsi="Times New Roman"/>
          <w:sz w:val="18"/>
          <w:szCs w:val="18"/>
          <w:color w:val="auto"/>
        </w:rPr>
        <w:t>For business to be properly brought before the annual meeting by a stockholder, the Proposing Person (as defined below) must have given timely notice thereof in writing to the Secretary of the Corporation. The Proposing Person’s notice will be timely if delivered or mailed to and received at the principal executive offices at the Corporation not less than 120 nor more than 150 days before the date on which the Corporation first mailed its proxy materials for the prior year’s annual meeting of stockholders; provided however, that if the date of the annual meeting is more than 30 days before or more than 60 days after such date, notice by the stockholder timely must be so delivered, or mailed and received not later than the 90th day prior to such annual meeting, or if later, the 10th day following the date on which the public disclosure of the date of such annual meeting was such made. Any adjournment of an annual meeting or the announcement hereof will not commence a new time period for giving the notice described above.</w:t>
      </w:r>
    </w:p>
    <w:p>
      <w:pPr>
        <w:spacing w:after="0" w:line="189" w:lineRule="exact"/>
        <w:rPr>
          <w:sz w:val="20"/>
          <w:szCs w:val="20"/>
          <w:color w:val="auto"/>
        </w:rPr>
      </w:pPr>
    </w:p>
    <w:p>
      <w:pPr>
        <w:ind w:right="320" w:firstLine="458"/>
        <w:spacing w:after="0" w:line="282" w:lineRule="auto"/>
        <w:rPr>
          <w:sz w:val="20"/>
          <w:szCs w:val="20"/>
          <w:color w:val="auto"/>
        </w:rPr>
      </w:pPr>
      <w:r>
        <w:rPr>
          <w:rFonts w:ascii="Times New Roman" w:cs="Times New Roman" w:eastAsia="Times New Roman" w:hAnsi="Times New Roman"/>
          <w:sz w:val="18"/>
          <w:szCs w:val="18"/>
          <w:color w:val="auto"/>
        </w:rPr>
        <w:t>The Proposing Person’s notice to the Secretary shall set forth as to each matter such stockholder proposes to bring before the annual meeting, the following:</w:t>
      </w:r>
    </w:p>
    <w:p>
      <w:pPr>
        <w:spacing w:after="0" w:line="162" w:lineRule="exact"/>
        <w:rPr>
          <w:sz w:val="20"/>
          <w:szCs w:val="20"/>
          <w:color w:val="auto"/>
        </w:rPr>
      </w:pPr>
    </w:p>
    <w:p>
      <w:pPr>
        <w:ind w:left="1020" w:hanging="56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as they appear on the Corporation books, of the stockholder proposing such business;</w:t>
      </w:r>
    </w:p>
    <w:p>
      <w:pPr>
        <w:spacing w:after="0" w:line="225" w:lineRule="exact"/>
        <w:rPr>
          <w:rFonts w:ascii="Times New Roman" w:cs="Times New Roman" w:eastAsia="Times New Roman" w:hAnsi="Times New Roman"/>
          <w:sz w:val="18"/>
          <w:szCs w:val="18"/>
          <w:color w:val="auto"/>
        </w:rPr>
      </w:pPr>
    </w:p>
    <w:p>
      <w:pPr>
        <w:ind w:left="1000" w:right="100" w:hanging="543"/>
        <w:spacing w:after="0" w:line="261"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the Corporation’s securities that are, directly or indirectly, owned of record or beneficially owned (within the meaning of Rule 13d-3 under the Exchange Act) by the Proposing Person, except the Proposing Person will be deemed to beneficially own any shares or class or series of the Corporation’s securities which the Proposing Person has a right to acquire beneficially ownership at any time in the future (collectively, the “Stockholder Information”);</w:t>
      </w:r>
    </w:p>
    <w:p>
      <w:pPr>
        <w:spacing w:after="0" w:line="179" w:lineRule="exact"/>
        <w:rPr>
          <w:rFonts w:ascii="Times New Roman" w:cs="Times New Roman" w:eastAsia="Times New Roman" w:hAnsi="Times New Roman"/>
          <w:sz w:val="18"/>
          <w:szCs w:val="18"/>
          <w:color w:val="auto"/>
        </w:rPr>
      </w:pPr>
    </w:p>
    <w:p>
      <w:pPr>
        <w:ind w:left="1000" w:right="40" w:hanging="543"/>
        <w:spacing w:after="0" w:line="261"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item of business that the stockholder proposes to bring before the annual meeting, (A) a reasonably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w:t>
      </w:r>
    </w:p>
    <w:p>
      <w:pPr>
        <w:spacing w:after="0" w:line="179" w:lineRule="exact"/>
        <w:rPr>
          <w:rFonts w:ascii="Times New Roman" w:cs="Times New Roman" w:eastAsia="Times New Roman" w:hAnsi="Times New Roman"/>
          <w:sz w:val="18"/>
          <w:szCs w:val="18"/>
          <w:color w:val="auto"/>
        </w:rPr>
      </w:pPr>
    </w:p>
    <w:p>
      <w:pPr>
        <w:jc w:val="both"/>
        <w:ind w:left="1000" w:right="140" w:hanging="543"/>
        <w:spacing w:after="0" w:line="261"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reasonably detailed description of all agreements, arrangements and understandings, oral or in writing (x) between or among any of the Proposing Persons or (y) between or among any Proposing Person and any other record or beneficial holder of the shares of any class or series of the Corporation (including their names) in connection with the proposal of such business by such stockholder or (z) between or among any Proposing Person and any other persons or entities (including their names) acting in concert with the Proposing Person.</w:t>
      </w:r>
    </w:p>
    <w:p>
      <w:pPr>
        <w:spacing w:after="0" w:line="180" w:lineRule="exact"/>
        <w:rPr>
          <w:sz w:val="20"/>
          <w:szCs w:val="20"/>
          <w:color w:val="auto"/>
        </w:rPr>
      </w:pPr>
    </w:p>
    <w:p>
      <w:pPr>
        <w:ind w:right="120" w:firstLine="458"/>
        <w:spacing w:after="0" w:line="282" w:lineRule="auto"/>
        <w:rPr>
          <w:sz w:val="20"/>
          <w:szCs w:val="20"/>
          <w:color w:val="auto"/>
        </w:rPr>
      </w:pPr>
      <w:r>
        <w:rPr>
          <w:rFonts w:ascii="Times New Roman" w:cs="Times New Roman" w:eastAsia="Times New Roman" w:hAnsi="Times New Roman"/>
          <w:sz w:val="18"/>
          <w:szCs w:val="18"/>
          <w:color w:val="auto"/>
        </w:rPr>
        <w:t>For purposes of this Section 12, the term “Proposing Person” shall mean (i) the stockholder providing the notice of business proposed to be brought before an annual meeting, (ii) the beneficial owner or beneficial owners, if different, on whose behalf the notice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81" w:name="page82"/>
    <w:bookmarkEnd w:id="81"/>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of the business proposed to be brought before the annual meeting is made, and (iii) any affiliate or associate (each within the meaning of Rule 12b-2 under the Exchange Act for purposes of these Bylaws) of such stockholder or beneficial owner; and (iv) any material interest of such stockholder with respect to such business.</w:t>
      </w:r>
    </w:p>
    <w:p>
      <w:pPr>
        <w:spacing w:after="0" w:line="176" w:lineRule="exact"/>
        <w:rPr>
          <w:sz w:val="20"/>
          <w:szCs w:val="20"/>
          <w:color w:val="auto"/>
        </w:rPr>
      </w:pPr>
    </w:p>
    <w:p>
      <w:pPr>
        <w:ind w:firstLine="458"/>
        <w:spacing w:after="0" w:line="256" w:lineRule="auto"/>
        <w:rPr>
          <w:sz w:val="20"/>
          <w:szCs w:val="20"/>
          <w:color w:val="auto"/>
        </w:rPr>
      </w:pPr>
      <w:r>
        <w:rPr>
          <w:rFonts w:ascii="Times New Roman" w:cs="Times New Roman" w:eastAsia="Times New Roman" w:hAnsi="Times New Roman"/>
          <w:sz w:val="18"/>
          <w:szCs w:val="18"/>
          <w:color w:val="auto"/>
        </w:rPr>
        <w:t>Notwithstanding anything in these Bylaws to the contrary, no business (other than nominations of directors, which must be made in compliance with, and shall be exclusively governed by, Article III, Section 13 of these Bylaws) shall be brought before or conducted at the annual meeting except in accordance with the provisions of this Section 12. The officer of the Corporation or other person presiding over the annual meeting shall, if the facts so warrant, determine and declare to the meeting that business was not properly brought before the meeting in accordance with the provisions of this Section 12 and, if he should so determine, he shall so declare to the meeting and any such business so determined to be not properly brought before the meeting shall not be transacted.</w:t>
      </w:r>
    </w:p>
    <w:p>
      <w:pPr>
        <w:spacing w:after="0" w:line="187" w:lineRule="exact"/>
        <w:rPr>
          <w:sz w:val="20"/>
          <w:szCs w:val="20"/>
          <w:color w:val="auto"/>
        </w:rPr>
      </w:pPr>
    </w:p>
    <w:p>
      <w:pPr>
        <w:ind w:right="80" w:firstLine="458"/>
        <w:spacing w:after="0" w:line="255" w:lineRule="auto"/>
        <w:rPr>
          <w:sz w:val="20"/>
          <w:szCs w:val="20"/>
          <w:color w:val="auto"/>
        </w:rPr>
      </w:pPr>
      <w:r>
        <w:rPr>
          <w:rFonts w:ascii="Times New Roman" w:cs="Times New Roman" w:eastAsia="Times New Roman" w:hAnsi="Times New Roman"/>
          <w:sz w:val="18"/>
          <w:szCs w:val="18"/>
          <w:color w:val="auto"/>
        </w:rPr>
        <w:t>A stockholder providing notice of business proposed to be brought before an annual meeting shall further update and supplement such notice, as needed, so that the information provided or required to be provided in such notice pursuant to this Section 12 shall be true and correct as of the record date for the meeting and as of the date that is 10 business days prior to the meeting or any adjournment or postponement thereof, and such update and supplement shall be delivered to, or mailed and received by, the Secretary of the Corporation at the principal executive offices of the Corporation not later than five business days after the record date for the meeting (in the case of the update and supplement required to be made as of the record date), and not later than eight business days prior to the date for the meeting (in the case of the update and supplement required to be made as of 10 business days prior to the meeting or any adjournment or postponement thereof).</w:t>
      </w:r>
    </w:p>
    <w:p>
      <w:pPr>
        <w:spacing w:after="0" w:line="189" w:lineRule="exact"/>
        <w:rPr>
          <w:sz w:val="20"/>
          <w:szCs w:val="20"/>
          <w:color w:val="auto"/>
        </w:rPr>
      </w:pPr>
    </w:p>
    <w:p>
      <w:pPr>
        <w:ind w:right="120" w:firstLine="458"/>
        <w:spacing w:after="0" w:line="274" w:lineRule="auto"/>
        <w:rPr>
          <w:sz w:val="20"/>
          <w:szCs w:val="20"/>
          <w:color w:val="auto"/>
        </w:rPr>
      </w:pPr>
      <w:r>
        <w:rPr>
          <w:rFonts w:ascii="Times New Roman" w:cs="Times New Roman" w:eastAsia="Times New Roman" w:hAnsi="Times New Roman"/>
          <w:sz w:val="17"/>
          <w:szCs w:val="17"/>
          <w:color w:val="auto"/>
        </w:rPr>
        <w:t>This Section 12 is expressly intended to apply to any business proposed to be brought before an annual meeting of stockholders; except this Section 12 shall not apply to any proposal made pursuant to Rule 14a-8 of the Exchange Act, or to the nomination of persons for election to the Corporation’s Board of Directors at a meeting of stockholders at which directors are to be elected which shall be governed by Article III, Section 13 of these Bylaws. In addition to the requirements of this Section 12 with respect to any business proposed to be brought before an annual meeting, each Proposing Person shall comply with all applicable requirements of the Exchange Act with respect to any such business. Nothing in this Section 12 shall be deemed to affect the rights of stockholders to request inclusion of proposals in the Corporation’s proxy statement pursuant to Rule 14a-8 under the Exchange Act.</w:t>
      </w:r>
    </w:p>
    <w:p>
      <w:pPr>
        <w:spacing w:after="0" w:line="173" w:lineRule="exact"/>
        <w:rPr>
          <w:sz w:val="20"/>
          <w:szCs w:val="20"/>
          <w:color w:val="auto"/>
        </w:rPr>
      </w:pPr>
    </w:p>
    <w:p>
      <w:pPr>
        <w:ind w:right="440" w:firstLine="458"/>
        <w:spacing w:after="0" w:line="282" w:lineRule="auto"/>
        <w:rPr>
          <w:sz w:val="20"/>
          <w:szCs w:val="20"/>
          <w:color w:val="auto"/>
        </w:rPr>
      </w:pPr>
      <w:r>
        <w:rPr>
          <w:rFonts w:ascii="Times New Roman" w:cs="Times New Roman" w:eastAsia="Times New Roman" w:hAnsi="Times New Roman"/>
          <w:sz w:val="18"/>
          <w:szCs w:val="18"/>
          <w:color w:val="auto"/>
        </w:rPr>
        <w:t>For purposes of these Bylaws, “public disclosure” shall mean disclosure in a press release reported by a national news service or in a document publicly filed by the Corporation with the Securities and Exchange Commission pursuant to Sections 13, 14 or 15(d) of the Exchange Act.</w:t>
      </w:r>
    </w:p>
    <w:p>
      <w:pPr>
        <w:spacing w:after="0" w:line="162" w:lineRule="exact"/>
        <w:rPr>
          <w:sz w:val="20"/>
          <w:szCs w:val="20"/>
          <w:color w:val="auto"/>
        </w:rPr>
      </w:pPr>
    </w:p>
    <w:p>
      <w:pPr>
        <w:ind w:right="600" w:firstLine="458"/>
        <w:spacing w:after="0" w:line="266" w:lineRule="auto"/>
        <w:rPr>
          <w:sz w:val="20"/>
          <w:szCs w:val="20"/>
          <w:color w:val="auto"/>
        </w:rPr>
      </w:pPr>
      <w:r>
        <w:rPr>
          <w:rFonts w:ascii="Times New Roman" w:cs="Times New Roman" w:eastAsia="Times New Roman" w:hAnsi="Times New Roman"/>
          <w:sz w:val="18"/>
          <w:szCs w:val="18"/>
          <w:color w:val="auto"/>
        </w:rPr>
        <w:t>The officer of the Corporation or other person presiding at the meeting shall, if the facts so warrant, determine that business was not properly brought before the meeting in accordance with the procedures set forth in this Section 12, and, if he or she should so determine, he or she shall so declare to the meeting and any such business not properly brought before the meeting shall not be transacted.</w:t>
      </w:r>
    </w:p>
    <w:p>
      <w:pPr>
        <w:spacing w:after="0" w:line="176" w:lineRule="exact"/>
        <w:rPr>
          <w:sz w:val="20"/>
          <w:szCs w:val="20"/>
          <w:color w:val="auto"/>
        </w:rPr>
      </w:pPr>
    </w:p>
    <w:p>
      <w:pPr>
        <w:ind w:right="660" w:firstLine="458"/>
        <w:spacing w:after="0" w:line="282" w:lineRule="auto"/>
        <w:rPr>
          <w:sz w:val="20"/>
          <w:szCs w:val="20"/>
          <w:color w:val="auto"/>
        </w:rPr>
      </w:pPr>
      <w:r>
        <w:rPr>
          <w:rFonts w:ascii="Times New Roman" w:cs="Times New Roman" w:eastAsia="Times New Roman" w:hAnsi="Times New Roman"/>
          <w:sz w:val="18"/>
          <w:szCs w:val="18"/>
          <w:color w:val="auto"/>
        </w:rPr>
        <w:t>At any special meeting of the stockholders, only such business shall be conducted as shall have been brought before the meeting by or at the direction of the Board of Directors.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Election to the Board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58"/>
        <w:spacing w:after="0" w:line="266" w:lineRule="auto"/>
        <w:rPr>
          <w:sz w:val="20"/>
          <w:szCs w:val="20"/>
          <w:color w:val="auto"/>
        </w:rPr>
      </w:pPr>
      <w:r>
        <w:rPr>
          <w:rFonts w:ascii="Times New Roman" w:cs="Times New Roman" w:eastAsia="Times New Roman" w:hAnsi="Times New Roman"/>
          <w:sz w:val="18"/>
          <w:szCs w:val="18"/>
          <w:color w:val="auto"/>
        </w:rPr>
        <w:t>13.1 Only persons who are nominated in accordance with the procedures set forth in these Bylaws shall be eligible for election as directors of the Corporation. Nominations of persons for election to the Board of Directors of the Corporation may be made at a meeting of stockholders at which directors are to be elected only:</w:t>
      </w:r>
    </w:p>
    <w:p>
      <w:pPr>
        <w:spacing w:after="0" w:line="176" w:lineRule="exact"/>
        <w:rPr>
          <w:sz w:val="20"/>
          <w:szCs w:val="20"/>
          <w:color w:val="auto"/>
        </w:rPr>
      </w:pPr>
    </w:p>
    <w:p>
      <w:pPr>
        <w:ind w:left="1020" w:hanging="56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 at the direction of the Board of Directors; or</w:t>
      </w:r>
    </w:p>
    <w:p>
      <w:pPr>
        <w:spacing w:after="0" w:line="225" w:lineRule="exact"/>
        <w:rPr>
          <w:rFonts w:ascii="Times New Roman" w:cs="Times New Roman" w:eastAsia="Times New Roman" w:hAnsi="Times New Roman"/>
          <w:sz w:val="18"/>
          <w:szCs w:val="18"/>
          <w:color w:val="auto"/>
        </w:rPr>
      </w:pPr>
    </w:p>
    <w:p>
      <w:pPr>
        <w:ind w:left="1000" w:right="240" w:hanging="543"/>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stockholder of the Corporation entitled to vote for the election of directors at the meeting who complies with the notice procedures set forth in Subsection 13.2 below.</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foregoing clause (ii) will be the exclusive means by which a stockholder may nominate a person for election to the Board of Directors.</w:t>
      </w:r>
    </w:p>
    <w:p>
      <w:pPr>
        <w:spacing w:after="0" w:line="225" w:lineRule="exact"/>
        <w:rPr>
          <w:sz w:val="20"/>
          <w:szCs w:val="20"/>
          <w:color w:val="auto"/>
        </w:rPr>
      </w:pPr>
    </w:p>
    <w:p>
      <w:pPr>
        <w:ind w:right="60" w:firstLine="458"/>
        <w:spacing w:after="0" w:line="256" w:lineRule="auto"/>
        <w:rPr>
          <w:sz w:val="20"/>
          <w:szCs w:val="20"/>
          <w:color w:val="auto"/>
        </w:rPr>
      </w:pPr>
      <w:r>
        <w:rPr>
          <w:rFonts w:ascii="Times New Roman" w:cs="Times New Roman" w:eastAsia="Times New Roman" w:hAnsi="Times New Roman"/>
          <w:sz w:val="18"/>
          <w:szCs w:val="18"/>
          <w:color w:val="auto"/>
        </w:rPr>
        <w:t>13.2 Nominations of election as a director of the Corporation, other than those made by or at the direction of the Board of Directors, shall be made by timely notice in writing to the Secretary of the Corporation. To be timely, a stockholder’s notice shall be delivered or mailed to and received at the principal executive offices of the Corporation not less than 120 nor more than 150 days prior to the anniversary date of the Corporation’s immediately preceding annual meeting of stockholders; provided, however, that in the event the date of the annual meeting is more than 30 days before or more than 60 days after such date, notice by the stockholder to be timely must be so delivered, or mailed and received not later than the 90th day prior to such annual meeting, or if later, the 10th day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82" w:name="page83"/>
    <w:bookmarkEnd w:id="82"/>
    <w:p>
      <w:pPr>
        <w:ind w:right="400"/>
        <w:spacing w:after="0" w:line="282" w:lineRule="auto"/>
        <w:rPr>
          <w:sz w:val="20"/>
          <w:szCs w:val="20"/>
          <w:color w:val="auto"/>
        </w:rPr>
      </w:pPr>
      <w:r>
        <w:rPr>
          <w:rFonts w:ascii="Times New Roman" w:cs="Times New Roman" w:eastAsia="Times New Roman" w:hAnsi="Times New Roman"/>
          <w:sz w:val="18"/>
          <w:szCs w:val="18"/>
          <w:color w:val="auto"/>
        </w:rPr>
        <w:t>the date on which the public disclosure of the date of such annual meeting was so made. Any adjournment of an annual meeting or the announcement hereof will not commence a new time period for giving the timely notice described above. Such stockholder’s notice shall set forth:</w:t>
      </w:r>
    </w:p>
    <w:p>
      <w:pPr>
        <w:spacing w:after="0" w:line="162" w:lineRule="exact"/>
        <w:rPr>
          <w:sz w:val="20"/>
          <w:szCs w:val="20"/>
          <w:color w:val="auto"/>
        </w:rPr>
      </w:pPr>
    </w:p>
    <w:p>
      <w:pPr>
        <w:ind w:left="1020" w:right="160" w:hanging="563"/>
        <w:spacing w:after="0" w:line="258"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such stockholder proposes to nominate for election or reelection as a director, (x) all information relating to such person that is required to be disclosed in solicitations of proxies for election of directors, or is otherwise required, in each case pursuant to Regulation 14A under the Securities Exchange Act of 1934, as amended (including such person’s written consent to being named in the proxy statement as a nominee and to serving as a director if elected, and (y) a representation that such a person shall also provide any other information reasonably requested by the Corporation within 10 business days after such request); and</w:t>
      </w:r>
    </w:p>
    <w:p>
      <w:pPr>
        <w:spacing w:after="0" w:line="183" w:lineRule="exact"/>
        <w:rPr>
          <w:rFonts w:ascii="Times New Roman" w:cs="Times New Roman" w:eastAsia="Times New Roman" w:hAnsi="Times New Roman"/>
          <w:sz w:val="18"/>
          <w:szCs w:val="18"/>
          <w:color w:val="auto"/>
        </w:rPr>
      </w:pPr>
    </w:p>
    <w:p>
      <w:pPr>
        <w:ind w:left="1020" w:hanging="56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stockholder giving the notice (x) the name and address, as they appear on the Corporation’s books, of such stockholder, and</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(y) the class and number of shares of the Corporation’s voting capital stock that are beneficially owned by such stockholder.</w:t>
      </w:r>
    </w:p>
    <w:p>
      <w:pPr>
        <w:spacing w:after="0" w:line="225" w:lineRule="exact"/>
        <w:rPr>
          <w:sz w:val="20"/>
          <w:szCs w:val="20"/>
          <w:color w:val="auto"/>
        </w:rPr>
      </w:pPr>
    </w:p>
    <w:p>
      <w:pPr>
        <w:ind w:right="180" w:firstLine="458"/>
        <w:spacing w:after="0" w:line="261" w:lineRule="auto"/>
        <w:rPr>
          <w:sz w:val="20"/>
          <w:szCs w:val="20"/>
          <w:color w:val="auto"/>
        </w:rPr>
      </w:pPr>
      <w:r>
        <w:rPr>
          <w:rFonts w:ascii="Times New Roman" w:cs="Times New Roman" w:eastAsia="Times New Roman" w:hAnsi="Times New Roman"/>
          <w:sz w:val="18"/>
          <w:szCs w:val="18"/>
          <w:color w:val="auto"/>
        </w:rPr>
        <w:t>At the request of the Board of Directors, any person nominated by the Board of Directors for election as a director shall furnish to the Secretary of the Corporation that information required to be set forth in a stockholder’s notice of nomination which pertains to the nominee.</w:t>
      </w:r>
    </w:p>
    <w:p>
      <w:pPr>
        <w:ind w:firstLine="458"/>
        <w:spacing w:after="0" w:line="255" w:lineRule="auto"/>
        <w:rPr>
          <w:sz w:val="20"/>
          <w:szCs w:val="20"/>
          <w:color w:val="auto"/>
        </w:rPr>
      </w:pPr>
      <w:r>
        <w:rPr>
          <w:rFonts w:ascii="Times New Roman" w:cs="Times New Roman" w:eastAsia="Times New Roman" w:hAnsi="Times New Roman"/>
          <w:sz w:val="18"/>
          <w:szCs w:val="18"/>
          <w:color w:val="auto"/>
        </w:rPr>
        <w:t>No person shall be eligible for election as a director of the Corporation unless nominated in accordance with the provisions of this Section 13, and, if the stockholder desires or requests access to the Corporation’s Proxy Statement with respect to the election of a director, Article III, Section 14 of these Bylaws.</w:t>
      </w:r>
    </w:p>
    <w:p>
      <w:pPr>
        <w:spacing w:after="0" w:line="186" w:lineRule="exact"/>
        <w:rPr>
          <w:sz w:val="20"/>
          <w:szCs w:val="20"/>
          <w:color w:val="auto"/>
        </w:rPr>
      </w:pPr>
    </w:p>
    <w:p>
      <w:pPr>
        <w:ind w:right="260" w:firstLine="458"/>
        <w:spacing w:after="0" w:line="266" w:lineRule="auto"/>
        <w:rPr>
          <w:sz w:val="20"/>
          <w:szCs w:val="20"/>
          <w:color w:val="auto"/>
        </w:rPr>
      </w:pPr>
      <w:r>
        <w:rPr>
          <w:rFonts w:ascii="Times New Roman" w:cs="Times New Roman" w:eastAsia="Times New Roman" w:hAnsi="Times New Roman"/>
          <w:sz w:val="18"/>
          <w:szCs w:val="18"/>
          <w:color w:val="auto"/>
        </w:rPr>
        <w:t>The officer of the Corporation or other person presiding at the meeting shall, if the facts so warrant, determine that a nomination was not made in accordance with such provisions and, if he or she should so determine, he or she shall so declare to the meeting and the defective nomination shall be disregarded.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Stockholder Access to Corporation’s Proxy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57"/>
        <w:spacing w:after="0" w:line="224" w:lineRule="exact"/>
        <w:tabs>
          <w:tab w:leader="none" w:pos="101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the Corporation solicits proxies with respect to an election of directors at an annual meeting (an “Election”), it shall include in its proxy statement and on its proxy card, in addition to individuals nominated by the Board of Directors, up to the Permitted Number of individuals nominated in compliance with these Bylaws by one or more Eligible Stockholders. Any Eligible Stockholder seeking to have its nominee included in the Corporation’s proxy statement and on the Corporation’s proxy card shall comply with all provisions of these Bylaws otherwise applicable to shareholder nominations and furnish to the Secretary of the Corporation, no later than the last day on which stockholder nominations for consideration in the Election may be made under Article III, Section 13.2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of these Bylaws (the “Advance Notice Date”),</w:t>
      </w:r>
    </w:p>
    <w:p>
      <w:pPr>
        <w:spacing w:after="0" w:line="171" w:lineRule="exact"/>
        <w:rPr>
          <w:rFonts w:ascii="Times New Roman" w:cs="Times New Roman" w:eastAsia="Times New Roman" w:hAnsi="Times New Roman"/>
          <w:sz w:val="18"/>
          <w:szCs w:val="18"/>
          <w:color w:val="auto"/>
        </w:rPr>
      </w:pPr>
    </w:p>
    <w:p>
      <w:pPr>
        <w:ind w:left="1500" w:hanging="458"/>
        <w:spacing w:after="0"/>
        <w:tabs>
          <w:tab w:leader="none" w:pos="1500" w:val="left"/>
        </w:tabs>
        <w:numPr>
          <w:ilvl w:val="3"/>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Sections 13.2 of these Bylaws,</w:t>
      </w:r>
    </w:p>
    <w:p>
      <w:pPr>
        <w:spacing w:after="0" w:line="225" w:lineRule="exact"/>
        <w:rPr>
          <w:rFonts w:ascii="Times New Roman" w:cs="Times New Roman" w:eastAsia="Times New Roman" w:hAnsi="Times New Roman"/>
          <w:sz w:val="18"/>
          <w:szCs w:val="18"/>
          <w:color w:val="auto"/>
        </w:rPr>
      </w:pPr>
    </w:p>
    <w:p>
      <w:pPr>
        <w:ind w:left="1500" w:hanging="458"/>
        <w:spacing w:after="0"/>
        <w:tabs>
          <w:tab w:leader="none" w:pos="1500" w:val="left"/>
        </w:tabs>
        <w:numPr>
          <w:ilvl w:val="3"/>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written undertakings described in subsections (d) and (e) below, and</w:t>
      </w:r>
    </w:p>
    <w:p>
      <w:pPr>
        <w:spacing w:after="0" w:line="225" w:lineRule="exact"/>
        <w:rPr>
          <w:rFonts w:ascii="Times New Roman" w:cs="Times New Roman" w:eastAsia="Times New Roman" w:hAnsi="Times New Roman"/>
          <w:sz w:val="18"/>
          <w:szCs w:val="18"/>
          <w:color w:val="auto"/>
        </w:rPr>
      </w:pPr>
    </w:p>
    <w:p>
      <w:pPr>
        <w:ind w:left="1480" w:right="220" w:hanging="438"/>
        <w:spacing w:after="0" w:line="266" w:lineRule="auto"/>
        <w:tabs>
          <w:tab w:leader="none" w:pos="1480" w:val="left"/>
        </w:tabs>
        <w:numPr>
          <w:ilvl w:val="3"/>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accompanying statement from the Eligible Stockholder to be included in the Corporation’s proxy statement, which statement in order to be so included shall not exceed 500 words and must fully comply with Section 14 of the Exchange Act and the rules and regulations promulgated thereunder, including without limitation Rule 14a-9.</w:t>
      </w:r>
    </w:p>
    <w:p>
      <w:pPr>
        <w:spacing w:after="0" w:line="175" w:lineRule="exact"/>
        <w:rPr>
          <w:rFonts w:ascii="Times New Roman" w:cs="Times New Roman" w:eastAsia="Times New Roman" w:hAnsi="Times New Roman"/>
          <w:sz w:val="18"/>
          <w:szCs w:val="18"/>
          <w:color w:val="auto"/>
        </w:rPr>
      </w:pPr>
    </w:p>
    <w:p>
      <w:pPr>
        <w:ind w:left="740" w:hanging="267"/>
        <w:spacing w:after="0"/>
        <w:tabs>
          <w:tab w:leader="none" w:pos="74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w:t>
      </w:r>
    </w:p>
    <w:p>
      <w:pPr>
        <w:spacing w:after="0" w:line="223" w:lineRule="exact"/>
        <w:rPr>
          <w:rFonts w:ascii="Times New Roman" w:cs="Times New Roman" w:eastAsia="Times New Roman" w:hAnsi="Times New Roman"/>
          <w:sz w:val="18"/>
          <w:szCs w:val="18"/>
          <w:color w:val="auto"/>
        </w:rPr>
      </w:pPr>
    </w:p>
    <w:p>
      <w:pPr>
        <w:ind w:left="1500" w:right="20" w:hanging="458"/>
        <w:spacing w:after="0" w:line="254" w:lineRule="auto"/>
        <w:tabs>
          <w:tab w:leader="none" w:pos="1500" w:val="left"/>
        </w:tabs>
        <w:numPr>
          <w:ilvl w:val="3"/>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“Permitted Number” means one seat on the Corporation’s Board of Directors to be filled in the Election;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Permitted Number shall be reduced, but not below zero, by the sum of (i) number of such director candidates for which the Corporation shall have received from Eligible Stockholders by the Advance Notice Date one or more valid stockholder notices nominating director candidates, and (ii) the number of directors in office and serving in the class of directors to be considered at the Election for whom access to the Corporation’s proxy materials was provided pursuant to this Section (“Access Director”), other than any who has served as a director continuously for at least six years. In no event will the number of nominees nominated by an Eligible Stockholder for which access to the Corporation’s proxy materials may be provided in the Election plus the number of Access Directors serving on the Board at the time of the Election exceed 25% of the total number of directors that shall constitute the whole board.</w:t>
      </w:r>
    </w:p>
    <w:p>
      <w:pPr>
        <w:spacing w:after="0" w:line="190" w:lineRule="exact"/>
        <w:rPr>
          <w:rFonts w:ascii="Times New Roman" w:cs="Times New Roman" w:eastAsia="Times New Roman" w:hAnsi="Times New Roman"/>
          <w:sz w:val="18"/>
          <w:szCs w:val="18"/>
          <w:color w:val="auto"/>
        </w:rPr>
      </w:pPr>
    </w:p>
    <w:p>
      <w:pPr>
        <w:jc w:val="both"/>
        <w:ind w:left="1480" w:hanging="438"/>
        <w:spacing w:after="0" w:line="266" w:lineRule="auto"/>
        <w:tabs>
          <w:tab w:leader="none" w:pos="1480" w:val="left"/>
        </w:tabs>
        <w:numPr>
          <w:ilvl w:val="3"/>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“Eligible Stockholder” means a stockholder of the Corporation that, together with its Affiliates, has continuously held Beneficial Ownership and Economic Interest of not less than the Required Interest for at least one year preceding the Advance Notice Date, and that complies with all applicable provisions of these Bylaws.</w:t>
      </w:r>
    </w:p>
    <w:p>
      <w:pPr>
        <w:spacing w:after="0" w:line="175"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means the power to vote or direct the voting of, or to dispose or direct the disposition of, the securities in question.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83" w:name="page84"/>
    <w:bookmarkEnd w:id="83"/>
    <w:p>
      <w:pPr>
        <w:ind w:left="460" w:right="740" w:hanging="452"/>
        <w:spacing w:after="0" w:line="282"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Interest” in a security means having or sharing the opportunity, directly or indirectly, to profit or share in any profit (or loss) derived from a transaction in the security, including through options, swaps or other derivative securities or synthetic arrangements.</w:t>
      </w:r>
    </w:p>
    <w:p>
      <w:pPr>
        <w:spacing w:after="0" w:line="161" w:lineRule="exact"/>
        <w:rPr>
          <w:rFonts w:ascii="Times New Roman" w:cs="Times New Roman" w:eastAsia="Times New Roman" w:hAnsi="Times New Roman"/>
          <w:sz w:val="18"/>
          <w:szCs w:val="18"/>
          <w:color w:val="auto"/>
        </w:rPr>
      </w:pPr>
    </w:p>
    <w:p>
      <w:pPr>
        <w:ind w:left="460" w:right="100" w:hanging="452"/>
        <w:spacing w:after="0" w:line="256"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with respect to a nominee for director pursuant to this Section 14 shall mean (a) that the nominee would be considered an independent director in accordance with the listing standards of the principal U.S. securities market in which the common stock of the Corporation trades or, if no such listing standards are applicable at the time, in accordance with the standards used by the Board of Directors or a duly authorized committee thereof in determining and disclosing the independence of the Corporation’s directors in accordance with the rules of the SEC and (b) the nominee is not an employee or officer of, or consultant to, the Eligible Stockholder or any of its Affiliates and has no other material association, by agreement, understanding or familial or other relationship, with the Eligible Stockholder or any of its Affiliates.</w:t>
      </w:r>
    </w:p>
    <w:p>
      <w:pPr>
        <w:spacing w:after="0" w:line="187" w:lineRule="exact"/>
        <w:rPr>
          <w:rFonts w:ascii="Times New Roman" w:cs="Times New Roman" w:eastAsia="Times New Roman" w:hAnsi="Times New Roman"/>
          <w:sz w:val="18"/>
          <w:szCs w:val="18"/>
          <w:color w:val="auto"/>
        </w:rPr>
      </w:pPr>
    </w:p>
    <w:p>
      <w:pPr>
        <w:jc w:val="both"/>
        <w:ind w:left="460" w:right="160" w:hanging="452"/>
        <w:spacing w:after="0" w:line="261"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“Disqualified Repeat Nominee” in respect of an election shall mean an individual as to whom access to the Corporation’s proxy materials for the immediately preceding election was provided and who (i) withdrew from or became ineligible or unavailable for election at the meeting, or (ii) received at such meeting votes in favor of his or her election representing less than 50% of the total votes cast for or withheld from his or her election.</w:t>
      </w:r>
    </w:p>
    <w:p>
      <w:pPr>
        <w:spacing w:after="0" w:line="179" w:lineRule="exact"/>
        <w:rPr>
          <w:rFonts w:ascii="Times New Roman" w:cs="Times New Roman" w:eastAsia="Times New Roman" w:hAnsi="Times New Roman"/>
          <w:sz w:val="18"/>
          <w:szCs w:val="18"/>
          <w:color w:val="auto"/>
        </w:rPr>
      </w:pPr>
    </w:p>
    <w:p>
      <w:pPr>
        <w:jc w:val="both"/>
        <w:ind w:left="460" w:right="120" w:hanging="452"/>
        <w:spacing w:after="0" w:line="266"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Interest” means 5% of the voting power of the outstanding voting securities of the Corporation entitled to vote in the Election, based upon the number of outstanding voting securities of the Corporation most recently disclosed prior to the Advance Notice Date by the Corporation in a filing with the Securities and Exchange Commission.</w:t>
      </w:r>
    </w:p>
    <w:p>
      <w:pPr>
        <w:spacing w:after="0" w:line="175" w:lineRule="exact"/>
        <w:rPr>
          <w:rFonts w:ascii="Times New Roman" w:cs="Times New Roman" w:eastAsia="Times New Roman" w:hAnsi="Times New Roman"/>
          <w:sz w:val="18"/>
          <w:szCs w:val="18"/>
          <w:color w:val="auto"/>
        </w:rPr>
      </w:pPr>
    </w:p>
    <w:p>
      <w:pPr>
        <w:ind w:left="460" w:right="100" w:hanging="452"/>
        <w:spacing w:after="0" w:line="261"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of a specified person means a person that, directly or indirectly, through one or more intermediaries, controls, is controlled by or is under common control with, the specified person, and, with respect to any investment company (as defined in the Investment Company Act of 1940, whether or not exempt from registration thereunder), shall also include all other investment companies managed by the same investment adviser or any of its Affiliates.</w:t>
      </w:r>
    </w:p>
    <w:p>
      <w:pPr>
        <w:spacing w:after="0" w:line="179" w:lineRule="exact"/>
        <w:rPr>
          <w:rFonts w:ascii="Times New Roman" w:cs="Times New Roman" w:eastAsia="Times New Roman" w:hAnsi="Times New Roman"/>
          <w:sz w:val="18"/>
          <w:szCs w:val="18"/>
          <w:color w:val="auto"/>
        </w:rPr>
      </w:pPr>
    </w:p>
    <w:p>
      <w:pPr>
        <w:ind w:right="460" w:firstLine="457"/>
        <w:spacing w:after="0" w:line="277" w:lineRule="auto"/>
        <w:tabs>
          <w:tab w:leader="none" w:pos="1011"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following sentence and any undertaking previously provided by an Eligible Stockholder pursuant to Section 14(d) below, each Eligible Stockholder, together with its Affiliates, may nominate one, and not more than one, individual under this Section for inclusion in the Corporation’s proxy statement and on its proxy card. If the Corporation shall receive more than the Permitted Number of proposed nominations from Eligible Stockholders in compliance with these Bylaws, then the nominee nominated by the Eligible Stockholder possessing the largest Beneficial Ownership of voting securities of the Corporation as of the Advance Notice Date shall be the only nominee for purposes of this Section 14.</w:t>
      </w:r>
    </w:p>
    <w:p>
      <w:pPr>
        <w:spacing w:after="0" w:line="167" w:lineRule="exact"/>
        <w:rPr>
          <w:rFonts w:ascii="Times New Roman" w:cs="Times New Roman" w:eastAsia="Times New Roman" w:hAnsi="Times New Roman"/>
          <w:sz w:val="17"/>
          <w:szCs w:val="17"/>
          <w:color w:val="auto"/>
        </w:rPr>
      </w:pPr>
    </w:p>
    <w:p>
      <w:pPr>
        <w:jc w:val="both"/>
        <w:ind w:firstLine="457"/>
        <w:spacing w:after="0" w:line="266" w:lineRule="auto"/>
        <w:tabs>
          <w:tab w:leader="none" w:pos="101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Eligible Stockholder nominating an individual for director in accordance with this Section shall execute and deliver to the Corporation no later than the Advance Notice Date an undertaking, in a form to be provided by the Secretary of the Corporation, that it will, and will cause its Affiliates to,</w:t>
      </w:r>
    </w:p>
    <w:p>
      <w:pPr>
        <w:spacing w:after="0" w:line="175" w:lineRule="exact"/>
        <w:rPr>
          <w:rFonts w:ascii="Times New Roman" w:cs="Times New Roman" w:eastAsia="Times New Roman" w:hAnsi="Times New Roman"/>
          <w:sz w:val="18"/>
          <w:szCs w:val="18"/>
          <w:color w:val="auto"/>
        </w:rPr>
      </w:pPr>
    </w:p>
    <w:p>
      <w:pPr>
        <w:ind w:left="1420" w:right="160" w:hanging="453"/>
        <w:spacing w:after="0" w:line="270" w:lineRule="auto"/>
        <w:tabs>
          <w:tab w:leader="none" w:pos="1420" w:val="left"/>
        </w:tabs>
        <w:numPr>
          <w:ilvl w:val="2"/>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sell or otherwise dispose of its Beneficial Ownership and Economic Interest of voting securities of the Corporation so as to reduce the Beneficial Ownership and Economic Interest held by such Eligible Stockholder, together with its Affiliates, below the Required Interest on or prior to the date of the Election (and representing that they have no present intention of reducing, within one year following the Election, their aggregate Beneficial Ownership and Economic Interest below the greater of (x) the Required Interest and</w:t>
      </w:r>
    </w:p>
    <w:p>
      <w:pPr>
        <w:spacing w:after="0" w:line="2" w:lineRule="exact"/>
        <w:rPr>
          <w:rFonts w:ascii="Times New Roman" w:cs="Times New Roman" w:eastAsia="Times New Roman" w:hAnsi="Times New Roman"/>
          <w:sz w:val="17"/>
          <w:szCs w:val="17"/>
          <w:color w:val="auto"/>
        </w:rPr>
      </w:pPr>
    </w:p>
    <w:p>
      <w:pPr>
        <w:ind w:left="1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(y) 75% of their aggregate Beneficial and Economic Interest as of the Advance Notice Date),</w:t>
      </w:r>
    </w:p>
    <w:p>
      <w:pPr>
        <w:spacing w:after="0" w:line="207" w:lineRule="exact"/>
        <w:rPr>
          <w:sz w:val="20"/>
          <w:szCs w:val="20"/>
          <w:color w:val="auto"/>
        </w:rPr>
      </w:pPr>
    </w:p>
    <w:p>
      <w:pPr>
        <w:ind w:left="1420" w:right="340" w:hanging="453"/>
        <w:spacing w:after="0" w:line="266" w:lineRule="auto"/>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provisions of the Corporation’s Certificate of Incorporation and Bylaws and all laws and regulations relating to the accompanying statement submitted by the Eligible Stockholder and any solicitation or communications with stockholders of the Corporation in connection with such nomination,</w:t>
      </w:r>
    </w:p>
    <w:p>
      <w:pPr>
        <w:spacing w:after="0" w:line="175" w:lineRule="exact"/>
        <w:rPr>
          <w:rFonts w:ascii="Times New Roman" w:cs="Times New Roman" w:eastAsia="Times New Roman" w:hAnsi="Times New Roman"/>
          <w:sz w:val="18"/>
          <w:szCs w:val="18"/>
          <w:color w:val="auto"/>
        </w:rPr>
      </w:pPr>
    </w:p>
    <w:p>
      <w:pPr>
        <w:ind w:left="1420" w:right="360" w:hanging="453"/>
        <w:spacing w:after="0" w:line="258" w:lineRule="auto"/>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 the Corporation and its agents and representatives in respect of any and all liabilities that may arise out of the accompanying statement submitted by the Eligible Stockholder or any solicitation or communications with stockholders of the Corporation by such Eligible Stockholder, its Affiliates or their respective agents or representatives in connection with such nomination, including as a result of any violation of law or regulation by such Eligible Stockholder, its Affiliates or their respective agents or representatives in connection therewith,</w:t>
      </w:r>
    </w:p>
    <w:p>
      <w:pPr>
        <w:spacing w:after="0" w:line="183" w:lineRule="exact"/>
        <w:rPr>
          <w:rFonts w:ascii="Times New Roman" w:cs="Times New Roman" w:eastAsia="Times New Roman" w:hAnsi="Times New Roman"/>
          <w:sz w:val="18"/>
          <w:szCs w:val="18"/>
          <w:color w:val="auto"/>
        </w:rPr>
      </w:pPr>
    </w:p>
    <w:p>
      <w:pPr>
        <w:ind w:left="1420" w:right="140" w:hanging="453"/>
        <w:spacing w:after="0" w:line="282" w:lineRule="auto"/>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use any proxy card other than the Corporation’s proxy card in soliciting stockholders in connection with the matters to be voted on at the meeting at which the Election is held,</w:t>
      </w:r>
    </w:p>
    <w:p>
      <w:pPr>
        <w:spacing w:after="0" w:line="161" w:lineRule="exact"/>
        <w:rPr>
          <w:rFonts w:ascii="Times New Roman" w:cs="Times New Roman" w:eastAsia="Times New Roman" w:hAnsi="Times New Roman"/>
          <w:sz w:val="18"/>
          <w:szCs w:val="18"/>
          <w:color w:val="auto"/>
        </w:rPr>
      </w:pPr>
    </w:p>
    <w:p>
      <w:pPr>
        <w:ind w:left="1420" w:right="380" w:hanging="453"/>
        <w:spacing w:after="0" w:line="282" w:lineRule="auto"/>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all solicitation materials used by it or on its behalf with the Securities and Exchange Commission under cover of Schedule 14A promulgated under the Exchange Act, and</w:t>
      </w:r>
    </w:p>
    <w:p>
      <w:pPr>
        <w:spacing w:after="0" w:line="161" w:lineRule="exact"/>
        <w:rPr>
          <w:rFonts w:ascii="Times New Roman" w:cs="Times New Roman" w:eastAsia="Times New Roman" w:hAnsi="Times New Roman"/>
          <w:sz w:val="18"/>
          <w:szCs w:val="18"/>
          <w:color w:val="auto"/>
        </w:rPr>
      </w:pPr>
    </w:p>
    <w:p>
      <w:pPr>
        <w:jc w:val="both"/>
        <w:ind w:left="1500" w:right="260" w:hanging="458"/>
        <w:spacing w:after="0" w:line="266" w:lineRule="auto"/>
        <w:tabs>
          <w:tab w:leader="none" w:pos="15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one year from the date of the Election, not (x) nominate any individual to be a director of the Corporation or conduct any solicitation with respect to an election for directors of the Corporation other than with respect to the Election and in accordance with this Section, or (y) acquire or propose to acquire Beneficial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4" w:name="page85"/>
    <w:bookmarkEnd w:id="84"/>
    <w:p>
      <w:pPr>
        <w:ind w:left="1500" w:right="20"/>
        <w:spacing w:after="0" w:line="255" w:lineRule="auto"/>
        <w:rPr>
          <w:sz w:val="20"/>
          <w:szCs w:val="20"/>
          <w:color w:val="auto"/>
        </w:rPr>
      </w:pPr>
      <w:r>
        <w:rPr>
          <w:rFonts w:ascii="Times New Roman" w:cs="Times New Roman" w:eastAsia="Times New Roman" w:hAnsi="Times New Roman"/>
          <w:sz w:val="18"/>
          <w:szCs w:val="18"/>
          <w:color w:val="auto"/>
        </w:rPr>
        <w:t>of or an Economic Interest in any voting securities of the Corporation such that such Eligible Stockholder, together with its Affiliates, would have aggregate Beneficial Ownership of, and/or an Economic Interest in, more than the greater of (I) 10% of the voting power of the outstanding voting securities of the Corporation or (II) an additional 5% of the voting power of the Corporation’s outstanding voting securities in excess of the aggregate Beneficial Ownership and Economic Interest held by such Eligible Stockholder, together with its Affiliates, as of the Advance Notice Date (the “Aggregate Beneficial Ownership”); provided that the Aggregate Beneficial Ownership shall not equal or exceed the amount that would equal or exceed the beneficial ownership threshold necessary to trigger the Corporation preferred share rights plan as may be in effect during such time.</w:t>
      </w:r>
    </w:p>
    <w:p>
      <w:pPr>
        <w:spacing w:after="0" w:line="189" w:lineRule="exact"/>
        <w:rPr>
          <w:sz w:val="20"/>
          <w:szCs w:val="20"/>
          <w:color w:val="auto"/>
        </w:rPr>
      </w:pPr>
    </w:p>
    <w:p>
      <w:pPr>
        <w:jc w:val="both"/>
        <w:ind w:right="140" w:firstLine="457"/>
        <w:spacing w:after="0" w:line="312" w:lineRule="auto"/>
        <w:tabs>
          <w:tab w:leader="none" w:pos="1013"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Eligible Stockholder nominating an individual for director in accordance with this Section shall also deliver to the Corporation no later than the Advance Notice Date a signed undertaking of its nominee agreeing that he or she will tender his or her resignation from the Board of Directors if</w:t>
      </w:r>
    </w:p>
    <w:p>
      <w:pPr>
        <w:spacing w:after="0" w:line="139" w:lineRule="exact"/>
        <w:rPr>
          <w:rFonts w:ascii="Times New Roman" w:cs="Times New Roman" w:eastAsia="Times New Roman" w:hAnsi="Times New Roman"/>
          <w:sz w:val="17"/>
          <w:szCs w:val="17"/>
          <w:color w:val="auto"/>
        </w:rPr>
      </w:pPr>
    </w:p>
    <w:p>
      <w:pPr>
        <w:ind w:left="1480" w:right="240" w:hanging="438"/>
        <w:spacing w:after="0" w:line="282" w:lineRule="auto"/>
        <w:tabs>
          <w:tab w:leader="none" w:pos="14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information provided to the Corporation by the Eligible Stockholder or the nominee pursuant to this Bylaw is determined to be inaccurate in any material respect, or</w:t>
      </w:r>
    </w:p>
    <w:p>
      <w:pPr>
        <w:spacing w:after="0" w:line="161" w:lineRule="exact"/>
        <w:rPr>
          <w:rFonts w:ascii="Times New Roman" w:cs="Times New Roman" w:eastAsia="Times New Roman" w:hAnsi="Times New Roman"/>
          <w:sz w:val="18"/>
          <w:szCs w:val="18"/>
          <w:color w:val="auto"/>
        </w:rPr>
      </w:pPr>
    </w:p>
    <w:p>
      <w:pPr>
        <w:ind w:left="1500" w:hanging="458"/>
        <w:spacing w:after="0"/>
        <w:tabs>
          <w:tab w:leader="none" w:pos="15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Stockholder or any of its Affiliates shall breach their obligations under the undertakings described in subsection</w:t>
      </w:r>
    </w:p>
    <w:p>
      <w:pPr>
        <w:spacing w:after="0" w:line="225"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above in any material respect.</w:t>
      </w:r>
    </w:p>
    <w:p>
      <w:pPr>
        <w:spacing w:after="0" w:line="225" w:lineRule="exact"/>
        <w:rPr>
          <w:rFonts w:ascii="Times New Roman" w:cs="Times New Roman" w:eastAsia="Times New Roman" w:hAnsi="Times New Roman"/>
          <w:sz w:val="18"/>
          <w:szCs w:val="18"/>
          <w:color w:val="auto"/>
        </w:rPr>
      </w:pPr>
    </w:p>
    <w:p>
      <w:pPr>
        <w:ind w:right="500" w:firstLine="457"/>
        <w:spacing w:after="0" w:line="266" w:lineRule="auto"/>
        <w:tabs>
          <w:tab w:leader="none" w:pos="99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Governance Committee shall consider a nomination pursuant to this Section 14, and shall determine if the Access Nominee is Independent and may, in its discretion, make a recommendation to the Board of Directors as to whether the Access Nominee should be nominated by the Board of Directors for election at the Annual Meeting of Stockholders.</w:t>
      </w:r>
    </w:p>
    <w:p>
      <w:pPr>
        <w:spacing w:after="0" w:line="176" w:lineRule="exact"/>
        <w:rPr>
          <w:sz w:val="20"/>
          <w:szCs w:val="20"/>
          <w:color w:val="auto"/>
        </w:rPr>
      </w:pPr>
    </w:p>
    <w:p>
      <w:pPr>
        <w:jc w:val="both"/>
        <w:ind w:right="80" w:firstLine="458"/>
        <w:spacing w:after="0" w:line="261" w:lineRule="auto"/>
        <w:rPr>
          <w:sz w:val="20"/>
          <w:szCs w:val="20"/>
          <w:color w:val="auto"/>
        </w:rPr>
      </w:pPr>
      <w:r>
        <w:rPr>
          <w:rFonts w:ascii="Times New Roman" w:cs="Times New Roman" w:eastAsia="Times New Roman" w:hAnsi="Times New Roman"/>
          <w:sz w:val="18"/>
          <w:szCs w:val="18"/>
          <w:color w:val="auto"/>
        </w:rPr>
        <w:t>If the Board of Directors nominates an Access Nominee as part of the Board’s slate of nominees, the Notice of Access will be deemed withdrawn and the former Access Nominee shall be presented to the stockholders in the same manner as any other nominee of the Board of Directors. If the Board of Directors does not so nominate the Access Nominee, access to the Corporation’s proxy materials shall be provided in accordance with the terms and subject to the conditions of this Section.</w:t>
      </w:r>
    </w:p>
    <w:p>
      <w:pPr>
        <w:spacing w:after="0" w:line="180" w:lineRule="exact"/>
        <w:rPr>
          <w:sz w:val="20"/>
          <w:szCs w:val="20"/>
          <w:color w:val="auto"/>
        </w:rPr>
      </w:pPr>
    </w:p>
    <w:p>
      <w:pPr>
        <w:jc w:val="both"/>
        <w:ind w:right="140" w:firstLine="458"/>
        <w:spacing w:after="0" w:line="266" w:lineRule="auto"/>
        <w:rPr>
          <w:sz w:val="20"/>
          <w:szCs w:val="20"/>
          <w:color w:val="auto"/>
        </w:rPr>
      </w:pPr>
      <w:r>
        <w:rPr>
          <w:rFonts w:ascii="Times New Roman" w:cs="Times New Roman" w:eastAsia="Times New Roman" w:hAnsi="Times New Roman"/>
          <w:sz w:val="18"/>
          <w:szCs w:val="18"/>
          <w:color w:val="auto"/>
        </w:rPr>
        <w:t>The Board of Directors or a committee thereof may adopt such rules or guidelines for applying the provisions of this Section as it determines are appropriate. These may include timing and other such adjustments as may be appropriate in the event an Access Nominee for whom Notice of Access has been provided becomes unavailable or unwilling to serve or becomes ineligible.</w:t>
      </w:r>
    </w:p>
    <w:p>
      <w:pPr>
        <w:spacing w:after="0" w:line="176" w:lineRule="exact"/>
        <w:rPr>
          <w:sz w:val="20"/>
          <w:szCs w:val="20"/>
          <w:color w:val="auto"/>
        </w:rPr>
      </w:pPr>
    </w:p>
    <w:p>
      <w:pPr>
        <w:ind w:right="180" w:firstLine="457"/>
        <w:spacing w:after="0" w:line="282" w:lineRule="auto"/>
        <w:tabs>
          <w:tab w:leader="none" w:pos="101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shall provide the exclusive method for stockholders to include nominees for director in the Corporation’s proxy statement and on the Corporation’s proxy card.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Directors</w:t>
      </w:r>
    </w:p>
    <w:p>
      <w:pPr>
        <w:spacing w:after="0" w:line="225" w:lineRule="exact"/>
        <w:rPr>
          <w:sz w:val="20"/>
          <w:szCs w:val="20"/>
          <w:color w:val="auto"/>
        </w:rPr>
      </w:pPr>
    </w:p>
    <w:p>
      <w:pPr>
        <w:ind w:right="380" w:firstLine="458"/>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Number, Term, Qualifications and Vacancies</w:t>
      </w:r>
      <w:r>
        <w:rPr>
          <w:rFonts w:ascii="Times New Roman" w:cs="Times New Roman" w:eastAsia="Times New Roman" w:hAnsi="Times New Roman"/>
          <w:sz w:val="18"/>
          <w:szCs w:val="18"/>
          <w:color w:val="auto"/>
        </w:rPr>
        <w:t>. The property, business and affairs of the Corporation shall be managed by or under the direction of its Board of Directors.</w:t>
      </w:r>
    </w:p>
    <w:p>
      <w:pPr>
        <w:spacing w:after="0" w:line="162" w:lineRule="exact"/>
        <w:rPr>
          <w:sz w:val="20"/>
          <w:szCs w:val="20"/>
          <w:color w:val="auto"/>
        </w:rPr>
      </w:pPr>
    </w:p>
    <w:p>
      <w:pPr>
        <w:ind w:right="80" w:firstLine="458"/>
        <w:spacing w:after="0" w:line="258" w:lineRule="auto"/>
        <w:rPr>
          <w:sz w:val="20"/>
          <w:szCs w:val="20"/>
          <w:color w:val="auto"/>
        </w:rPr>
      </w:pPr>
      <w:r>
        <w:rPr>
          <w:rFonts w:ascii="Times New Roman" w:cs="Times New Roman" w:eastAsia="Times New Roman" w:hAnsi="Times New Roman"/>
          <w:sz w:val="18"/>
          <w:szCs w:val="18"/>
          <w:color w:val="auto"/>
        </w:rPr>
        <w:t>The number of directors that shall constitute the whole Board of Directors may be fixed from time to time pursuant to a resolution adopted by a vote of two-thirds of the entire Board of Directors and may consist of no fewer than three nor more than fourteen members. The directors shall be divided into three classes. Each class shall consist, as nearly as possible, of one-third of the whole number of the Board of Directors. At each annual election of the successors to the class of directors whose terms have expired in that year shall be elected to hold office for a term of three years. Each director elected shall hold office until his successor is elected and qualified or until his earlier resignation or removal. Directors and officers need not be stockholders.</w:t>
      </w:r>
    </w:p>
    <w:p>
      <w:pPr>
        <w:spacing w:after="0" w:line="183" w:lineRule="exact"/>
        <w:rPr>
          <w:sz w:val="20"/>
          <w:szCs w:val="20"/>
          <w:color w:val="auto"/>
        </w:rPr>
      </w:pPr>
    </w:p>
    <w:p>
      <w:pPr>
        <w:ind w:right="380" w:firstLine="458"/>
        <w:spacing w:after="0" w:line="261" w:lineRule="auto"/>
        <w:rPr>
          <w:sz w:val="20"/>
          <w:szCs w:val="20"/>
          <w:color w:val="auto"/>
        </w:rPr>
      </w:pPr>
      <w:r>
        <w:rPr>
          <w:rFonts w:ascii="Times New Roman" w:cs="Times New Roman" w:eastAsia="Times New Roman" w:hAnsi="Times New Roman"/>
          <w:sz w:val="18"/>
          <w:szCs w:val="18"/>
          <w:color w:val="auto"/>
        </w:rPr>
        <w:t>Vacancies and newly created directorships resulting from any increase in the authorized number of directors shall be filled only by a majority of the directors then in office, although less than a quorum, or by the sole remaining director. Each director chosen to fill a vacancy or newly created directorship shall hold office until the next election of the class for which such directors shall have been chosen and until his successor is duly elected and qualified or until his earlier resignation or removal.</w:t>
      </w:r>
    </w:p>
    <w:p>
      <w:pPr>
        <w:spacing w:after="0" w:line="180" w:lineRule="exact"/>
        <w:rPr>
          <w:sz w:val="20"/>
          <w:szCs w:val="20"/>
          <w:color w:val="auto"/>
        </w:rPr>
      </w:pPr>
    </w:p>
    <w:p>
      <w:pPr>
        <w:ind w:right="40" w:firstLine="458"/>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Offices and Books</w:t>
      </w:r>
      <w:r>
        <w:rPr>
          <w:rFonts w:ascii="Times New Roman" w:cs="Times New Roman" w:eastAsia="Times New Roman" w:hAnsi="Times New Roman"/>
          <w:sz w:val="18"/>
          <w:szCs w:val="18"/>
          <w:color w:val="auto"/>
        </w:rPr>
        <w:t>. The directors may have one or more offices, and keep the books of the Corporation at the offices of the Corporation in Oklahoma City, Oklahoma, or at such other places as they may from time to time determine.</w:t>
      </w:r>
    </w:p>
    <w:p>
      <w:pPr>
        <w:spacing w:after="0" w:line="162" w:lineRule="exact"/>
        <w:rPr>
          <w:sz w:val="20"/>
          <w:szCs w:val="20"/>
          <w:color w:val="auto"/>
        </w:rPr>
      </w:pPr>
    </w:p>
    <w:p>
      <w:pPr>
        <w:ind w:firstLine="458"/>
        <w:spacing w:after="0" w:line="261"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Any director of the Corporation may resign at any time by giving written notice of such resignation to the Board of Directors, the Chairman of the Board of Directors, the President or the Secretary of the Corporation. Any such resignation shall take effect at the time specified therein or, if no time be specified, upon receipt thereof by the Board of Directors, or one of the above-named officers; and, unless specified therein, the acceptance of such resignation shall not be necessary to make it effective. When one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85" w:name="page86"/>
    <w:bookmarkEnd w:id="85"/>
    <w:p>
      <w:pPr>
        <w:ind w:right="120"/>
        <w:spacing w:after="0" w:line="266" w:lineRule="auto"/>
        <w:rPr>
          <w:sz w:val="20"/>
          <w:szCs w:val="20"/>
          <w:color w:val="auto"/>
        </w:rPr>
      </w:pPr>
      <w:r>
        <w:rPr>
          <w:rFonts w:ascii="Times New Roman" w:cs="Times New Roman" w:eastAsia="Times New Roman" w:hAnsi="Times New Roman"/>
          <w:sz w:val="18"/>
          <w:szCs w:val="18"/>
          <w:color w:val="auto"/>
        </w:rPr>
        <w:t>more directors shall resign from the Board of Directors, such vacancy shall be filled only by a majority of the directors then in office, although less than a quorum, or by the sole remaining director. Each director so chosen shall hold office until the next election of the class for which such director shall have been chosen and until his successor is duly elected and qualified or until his earlier resignation or removal.</w:t>
      </w:r>
    </w:p>
    <w:p>
      <w:pPr>
        <w:spacing w:after="0" w:line="176" w:lineRule="exact"/>
        <w:rPr>
          <w:sz w:val="20"/>
          <w:szCs w:val="20"/>
          <w:color w:val="auto"/>
        </w:rPr>
      </w:pPr>
    </w:p>
    <w:p>
      <w:pPr>
        <w:ind w:right="360" w:firstLine="458"/>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Any one or more directors may be removed only for cause by the vote or written consent of the holders of a majority of the issued and outstanding shares of stock of the Corporation entitled to vote for the election of all directors.</w:t>
      </w:r>
    </w:p>
    <w:p>
      <w:pPr>
        <w:spacing w:after="0" w:line="162" w:lineRule="exact"/>
        <w:rPr>
          <w:sz w:val="20"/>
          <w:szCs w:val="20"/>
          <w:color w:val="auto"/>
        </w:rPr>
      </w:pPr>
    </w:p>
    <w:p>
      <w:pPr>
        <w:ind w:right="320" w:firstLine="458"/>
        <w:spacing w:after="0" w:line="26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Regular and Annual Meetings; Notice</w:t>
      </w:r>
      <w:r>
        <w:rPr>
          <w:rFonts w:ascii="Times New Roman" w:cs="Times New Roman" w:eastAsia="Times New Roman" w:hAnsi="Times New Roman"/>
          <w:sz w:val="18"/>
          <w:szCs w:val="18"/>
          <w:color w:val="auto"/>
        </w:rPr>
        <w:t>. Regular meetings of the Board of Directors shall be held at such time and at such place, within or without the State of Delaware, as the Board of Directors may from time to time prescribe. No notice need be given of any regular meeting and a notice, if given, need not specify the purposes thereof. A meeting of the Board of Directors may be held without notice immediately after an annual meeting of stockholders at the same place as that at which such annual meeting of stockholders was held.</w:t>
      </w:r>
    </w:p>
    <w:p>
      <w:pPr>
        <w:spacing w:after="0" w:line="180" w:lineRule="exact"/>
        <w:rPr>
          <w:sz w:val="20"/>
          <w:szCs w:val="20"/>
          <w:color w:val="auto"/>
        </w:rPr>
      </w:pPr>
    </w:p>
    <w:p>
      <w:pPr>
        <w:ind w:right="340" w:firstLine="458"/>
        <w:spacing w:after="0" w:line="255"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Special Meetings; Notice</w:t>
      </w:r>
      <w:r>
        <w:rPr>
          <w:rFonts w:ascii="Times New Roman" w:cs="Times New Roman" w:eastAsia="Times New Roman" w:hAnsi="Times New Roman"/>
          <w:sz w:val="18"/>
          <w:szCs w:val="18"/>
          <w:color w:val="auto"/>
        </w:rPr>
        <w:t>. A special meeting of the Board of Directors may be called at any time by the Chairman or a majority of the directors then in office. Any such meeting shall be held at such time and at such place, within or without the State of Delaware, as shall be determined by the body or person calling such meeting. Notice of such meeting stating the time and place thereof shall be given (a) by deposit of the notice in the United States mail, first class, postage prepaid, at least three days before the day fixed for the meeting addressed to each director at his address as it appears on the Corporation’s records or at such other address as the director may have furnished the Corporation for that purpose, or (b) by delivery of the notice similarly addressed for dispatch by telegraph, cable or radio or by delivery of the notice by telephone or in person, in each case at least two days before the time fixed for the meeting.</w:t>
      </w:r>
    </w:p>
    <w:p>
      <w:pPr>
        <w:spacing w:after="0" w:line="189" w:lineRule="exact"/>
        <w:rPr>
          <w:sz w:val="20"/>
          <w:szCs w:val="20"/>
          <w:color w:val="auto"/>
        </w:rPr>
      </w:pPr>
    </w:p>
    <w:p>
      <w:pPr>
        <w:ind w:right="80" w:firstLine="458"/>
        <w:spacing w:after="0" w:line="261"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Presiding Officer and Secretary at Meetings</w:t>
      </w:r>
      <w:r>
        <w:rPr>
          <w:rFonts w:ascii="Times New Roman" w:cs="Times New Roman" w:eastAsia="Times New Roman" w:hAnsi="Times New Roman"/>
          <w:sz w:val="18"/>
          <w:szCs w:val="18"/>
          <w:color w:val="auto"/>
        </w:rPr>
        <w:t>. Each meeting of the Board of Directors shall be presided over by the Chairman of the Board of Directors or in his absence by the President or if neither is present by such member of the Board of Directors as shall be chosen by the meeting. The Secretary, or in his absence an Assistant Secretary, shall act as secretary of the meeting, or if no such officer is present, a secretary of the meeting shall be designated by the person presiding over the meeting.</w:t>
      </w:r>
    </w:p>
    <w:p>
      <w:pPr>
        <w:spacing w:after="0" w:line="180" w:lineRule="exact"/>
        <w:rPr>
          <w:sz w:val="20"/>
          <w:szCs w:val="20"/>
          <w:color w:val="auto"/>
        </w:rPr>
      </w:pPr>
    </w:p>
    <w:p>
      <w:pPr>
        <w:ind w:right="400" w:firstLine="458"/>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 majority of the whole Board of Directors shall constitute a quorum for the transaction of business, but in the absence of a quorum, a majority of those present (or if only one be present, then that one) may adjourn the meeting, without notice other than announcement at the meeting, until such time as a quorum is present. Except as otherwise required by the Certificate of Incorporation or these Bylaws, the vote of the majority of the directors present at a meeting at which a quorum is present shall be the act of the Board of Directors.</w:t>
      </w:r>
    </w:p>
    <w:p>
      <w:pPr>
        <w:spacing w:after="0" w:line="180" w:lineRule="exact"/>
        <w:rPr>
          <w:sz w:val="20"/>
          <w:szCs w:val="20"/>
          <w:color w:val="auto"/>
        </w:rPr>
      </w:pPr>
    </w:p>
    <w:p>
      <w:pPr>
        <w:ind w:right="300" w:firstLine="458"/>
        <w:spacing w:after="0" w:line="26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Meeting by Telephone</w:t>
      </w:r>
      <w:r>
        <w:rPr>
          <w:rFonts w:ascii="Times New Roman" w:cs="Times New Roman" w:eastAsia="Times New Roman" w:hAnsi="Times New Roman"/>
          <w:sz w:val="18"/>
          <w:szCs w:val="18"/>
          <w:color w:val="auto"/>
        </w:rPr>
        <w:t>. Members of the Board of Directors or of any committee thereof may participate in meetings of the Board of Directors or of such committee by means of conference telephone or similar communications equipment by means of which all persons participating in the meeting can hear each other, and such participation shall constitute presence in person at such meeting.</w:t>
      </w:r>
    </w:p>
    <w:p>
      <w:pPr>
        <w:spacing w:after="0" w:line="176" w:lineRule="exact"/>
        <w:rPr>
          <w:sz w:val="20"/>
          <w:szCs w:val="20"/>
          <w:color w:val="auto"/>
        </w:rPr>
      </w:pPr>
    </w:p>
    <w:p>
      <w:pPr>
        <w:ind w:right="140" w:firstLine="458"/>
        <w:spacing w:after="0" w:line="261"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Action Without Meeting</w:t>
      </w:r>
      <w:r>
        <w:rPr>
          <w:rFonts w:ascii="Times New Roman" w:cs="Times New Roman" w:eastAsia="Times New Roman" w:hAnsi="Times New Roman"/>
          <w:sz w:val="18"/>
          <w:szCs w:val="18"/>
          <w:color w:val="auto"/>
        </w:rPr>
        <w:t>. Unless otherwise restricted by the Certificate of Incorporation, any action required or permitted to be taken at any meeting of the Board of Directors or of any committee thereof may be taken without a meeting if all members of the Board of Directors or of such committee, as the case may be, consent thereto in writing and the writing or writings are filed with the minutes of proceedings of the Board of Directors or of such committee.</w:t>
      </w:r>
    </w:p>
    <w:p>
      <w:pPr>
        <w:spacing w:after="0" w:line="180" w:lineRule="exact"/>
        <w:rPr>
          <w:sz w:val="20"/>
          <w:szCs w:val="20"/>
          <w:color w:val="auto"/>
        </w:rPr>
      </w:pPr>
    </w:p>
    <w:p>
      <w:pPr>
        <w:ind w:firstLine="458"/>
        <w:spacing w:after="0" w:line="253"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Executive and Other Committees</w:t>
      </w:r>
      <w:r>
        <w:rPr>
          <w:rFonts w:ascii="Times New Roman" w:cs="Times New Roman" w:eastAsia="Times New Roman" w:hAnsi="Times New Roman"/>
          <w:sz w:val="18"/>
          <w:szCs w:val="18"/>
          <w:color w:val="auto"/>
        </w:rPr>
        <w:t>. The Board of Directors may, by resolution passed by a majority of the whole Board of Directors, designate an Executive Committee and one or more other committees, each such committee to consist of two or more directors as the Board of Directors may from time to time determine. Any such committee, to the extent provided in such resolution or resolutions,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in reference to amending the Certificate of Incorporation (except that a committee may, to the extent authorized in the resolution or resolutions providing for the issuance of shares of stock adopted by the Board of Directors, fix the designations and any of the preferences or rights of such shares relating to dividends, redemption, dissolution, any distribution of assets of the Corporation or the conversion into, or the exchange of such shares for, shares of any other class or classes or any other series of the same or any other class or classes of stock of the Corporation or fix the number of shares of any series of stock or authorize the increase or decrease of the shares of any series),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and unless the resolution shall expressly so provide, no such committee shall have the power or authority to declare a dividend or to authorize the issuance of stock.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86" w:name="page87"/>
    <w:bookmarkEnd w:id="86"/>
    <w:p>
      <w:pPr>
        <w:spacing w:after="0" w:line="256" w:lineRule="auto"/>
        <w:rPr>
          <w:sz w:val="20"/>
          <w:szCs w:val="20"/>
          <w:color w:val="auto"/>
        </w:rPr>
      </w:pPr>
      <w:r>
        <w:rPr>
          <w:rFonts w:ascii="Times New Roman" w:cs="Times New Roman" w:eastAsia="Times New Roman" w:hAnsi="Times New Roman"/>
          <w:sz w:val="18"/>
          <w:szCs w:val="18"/>
          <w:color w:val="auto"/>
        </w:rPr>
        <w:t>the absence or disqualification of a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 Each such committee other than the Executive Committee shall have such name as may be determined from time to time by the Board of Directors. Any committee of directors may be discharged or discontinued at any time, with or without cause, by a majority vote of the Board of Directors at any meeting at which there is a quorum present, likewise, any member of any committee of directors may be removed from committee membership, with or without cause, by a majority vote of the Board of Directors at any meeting at which there is a quorum present.</w:t>
      </w:r>
    </w:p>
    <w:p>
      <w:pPr>
        <w:spacing w:after="0" w:line="187" w:lineRule="exact"/>
        <w:rPr>
          <w:sz w:val="20"/>
          <w:szCs w:val="20"/>
          <w:color w:val="auto"/>
        </w:rPr>
      </w:pPr>
    </w:p>
    <w:p>
      <w:pPr>
        <w:ind w:right="60" w:firstLine="458"/>
        <w:spacing w:after="0" w:line="258"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Each director shall be entitled to reimbursement of his reasonable expenses incurred in attending meetings or otherwise in connection with his attention to the affairs of the Corporation. Each director who is not a salaried officer of the Corporation or of a subsidiary of the Corporation shall, as such director and as a member of any committee, be entitled to receive such amounts as may be fixed from time to time by the Board of Directors, in the form either of fees for attendance at meetings of the Board and of committees thereof, or of payment at the rate of a fixed sum per month, or both.</w:t>
      </w:r>
    </w:p>
    <w:p>
      <w:pPr>
        <w:spacing w:after="0" w:line="183" w:lineRule="exact"/>
        <w:rPr>
          <w:sz w:val="20"/>
          <w:szCs w:val="20"/>
          <w:color w:val="auto"/>
        </w:rPr>
      </w:pPr>
    </w:p>
    <w:p>
      <w:pPr>
        <w:ind w:right="140" w:firstLine="458"/>
        <w:spacing w:after="0" w:line="266"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Additional Powers</w:t>
      </w:r>
      <w:r>
        <w:rPr>
          <w:rFonts w:ascii="Times New Roman" w:cs="Times New Roman" w:eastAsia="Times New Roman" w:hAnsi="Times New Roman"/>
          <w:sz w:val="18"/>
          <w:szCs w:val="18"/>
          <w:color w:val="auto"/>
        </w:rPr>
        <w:t>. In addition to the powers and authorities by these Bylaws expressly conferred upon it, the Board of Directors may exercise all such powers of the Corporation and do all such lawful acts and things as are not by statute or by the Certificate of Incorporation, as from time to time amended, or by these Bylaws, as from time to time amended, directed or required to be exercised or done by the stockholders.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Officers</w:t>
      </w:r>
    </w:p>
    <w:p>
      <w:pPr>
        <w:spacing w:after="0" w:line="225" w:lineRule="exact"/>
        <w:rPr>
          <w:sz w:val="20"/>
          <w:szCs w:val="20"/>
          <w:color w:val="auto"/>
        </w:rPr>
      </w:pPr>
    </w:p>
    <w:p>
      <w:pPr>
        <w:ind w:right="300" w:firstLine="458"/>
        <w:spacing w:after="0" w:line="26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Designation</w:t>
      </w:r>
      <w:r>
        <w:rPr>
          <w:rFonts w:ascii="Times New Roman" w:cs="Times New Roman" w:eastAsia="Times New Roman" w:hAnsi="Times New Roman"/>
          <w:sz w:val="18"/>
          <w:szCs w:val="18"/>
          <w:color w:val="auto"/>
        </w:rPr>
        <w:t>. The Corporation shall have such officers with such titles and duties as set forth in these Bylaws or in any one or more resolutions of the Board of Directors adopted on or after the effective date of these Bylaws which are not inconsistent with these Bylaws and as may be necessary to enable the Corporation to sign instruments and stock certificates as required by law.</w:t>
      </w:r>
    </w:p>
    <w:p>
      <w:pPr>
        <w:spacing w:after="0" w:line="176" w:lineRule="exact"/>
        <w:rPr>
          <w:sz w:val="20"/>
          <w:szCs w:val="20"/>
          <w:color w:val="auto"/>
        </w:rPr>
      </w:pPr>
    </w:p>
    <w:p>
      <w:pPr>
        <w:ind w:right="300" w:firstLine="458"/>
        <w:spacing w:after="0" w:line="258"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Election; Qualification</w:t>
      </w:r>
      <w:r>
        <w:rPr>
          <w:rFonts w:ascii="Times New Roman" w:cs="Times New Roman" w:eastAsia="Times New Roman" w:hAnsi="Times New Roman"/>
          <w:sz w:val="18"/>
          <w:szCs w:val="18"/>
          <w:color w:val="auto"/>
        </w:rPr>
        <w:t>. The officers of the Corporation shall be a Chief Executive Officer, a President, one or more Vice Presidents, a Secretary and a Treasurer, each of whom shall be elected by the Board of Directors. The Board of Directors may also elect a Chairman of the Board of Directors, a Vice Chairman of the Board of Directors, a Controller, one or more Assistant Secretaries, one or more Assistant Treasurers, one or more Assistant Controllers, and such other officers as it may from time to time determine. The Chairman of the Board of Directors and Vice Chairman of the Board, if any, shall be elected from among the directors. Two or more offices may be held by the same person.</w:t>
      </w:r>
    </w:p>
    <w:p>
      <w:pPr>
        <w:spacing w:after="0" w:line="183" w:lineRule="exact"/>
        <w:rPr>
          <w:sz w:val="20"/>
          <w:szCs w:val="20"/>
          <w:color w:val="auto"/>
        </w:rPr>
      </w:pPr>
    </w:p>
    <w:p>
      <w:pPr>
        <w:ind w:right="160" w:firstLine="458"/>
        <w:spacing w:after="0" w:line="282"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Term of Office</w:t>
      </w:r>
      <w:r>
        <w:rPr>
          <w:rFonts w:ascii="Times New Roman" w:cs="Times New Roman" w:eastAsia="Times New Roman" w:hAnsi="Times New Roman"/>
          <w:sz w:val="18"/>
          <w:szCs w:val="18"/>
          <w:color w:val="auto"/>
        </w:rPr>
        <w:t>. Each officer shall hold office from the time of his election and qualification to the time at which his successor is elected and qualified, unless sooner he shall die or resign or shall be removed pursuant to Article V, Section 5.</w:t>
      </w:r>
    </w:p>
    <w:p>
      <w:pPr>
        <w:spacing w:after="0" w:line="162" w:lineRule="exact"/>
        <w:rPr>
          <w:sz w:val="20"/>
          <w:szCs w:val="20"/>
          <w:color w:val="auto"/>
        </w:rPr>
      </w:pPr>
    </w:p>
    <w:p>
      <w:pPr>
        <w:ind w:right="700" w:firstLine="458"/>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Any officer of the Corporation may resign at any time by giving written notice of such resignation to the Board of Directors, the President or the Secretary of the Corporation. Any such resignation shall take effect at the time specified therein or, if no time be specified, upon receipt thereof by the Board of Directors or one of the above-named officers; and, unless specified therein, the acceptance of such resignation shall not be necessary to make it effective.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Any officer may be removed at any time, with or without cause, by the vote of a majority of the whole Board of Directors.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Any vacancy however caused in any office of the Corporation may be filled by the Board of Directors.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The compensation of each officer shall be such as the Board of Directors may from time to time determine.</w:t>
      </w:r>
    </w:p>
    <w:p>
      <w:pPr>
        <w:spacing w:after="0" w:line="225" w:lineRule="exact"/>
        <w:rPr>
          <w:sz w:val="20"/>
          <w:szCs w:val="20"/>
          <w:color w:val="auto"/>
        </w:rPr>
      </w:pPr>
    </w:p>
    <w:p>
      <w:pPr>
        <w:ind w:right="340" w:firstLine="458"/>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Chairman of the Board of Directors and Vice Chairman of the Board of Directors</w:t>
      </w:r>
      <w:r>
        <w:rPr>
          <w:rFonts w:ascii="Times New Roman" w:cs="Times New Roman" w:eastAsia="Times New Roman" w:hAnsi="Times New Roman"/>
          <w:sz w:val="18"/>
          <w:szCs w:val="18"/>
          <w:color w:val="auto"/>
        </w:rPr>
        <w:t>. The Chairman of the Board of Directors and, in his absence or inability to serve, the Vice Chairman of the Board of Directors, if such offices be occupied, shall serve as Chairman of the meetings of the Board of Directors and shall further advise and consult with the Chief Executive Officer and the President concerning the business and affairs of the Corporation and shall also have such powers and duties as the Bylaws or the Board of Directors may from time to time prescribe.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87" w:name="page88"/>
    <w:bookmarkEnd w:id="87"/>
    <w:p>
      <w:pPr>
        <w:ind w:right="140" w:firstLine="458"/>
        <w:spacing w:after="0" w:line="26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Chief Executive Officer of the Corporation shall have general charge of the business and affairs of the Corporation and shall perform all such other duties as are incident to the chief executive officer, subject, however, to the right of the Board of Directors to confer specified powers on the Chief Executive Officer of the Corporation.</w:t>
      </w:r>
    </w:p>
    <w:p>
      <w:pPr>
        <w:spacing w:after="0" w:line="176" w:lineRule="exact"/>
        <w:rPr>
          <w:sz w:val="20"/>
          <w:szCs w:val="20"/>
          <w:color w:val="auto"/>
        </w:rPr>
      </w:pPr>
    </w:p>
    <w:p>
      <w:pPr>
        <w:ind w:right="380" w:firstLine="458"/>
        <w:spacing w:after="0" w:line="261"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In the absence of the Chief Executive Officer or his inability to same, the President shall serve as the Chief Executive Officer of the Corporation and shall have general charge of the business and affairs of the Corporation and shall perform all such other duties as are incident to the Chief Executive Officer, subject however to the right of the Chief Executive Officer or the Board of Directors to confer specified duties and/or powers on the President of the Corporation from time to time.</w:t>
      </w:r>
    </w:p>
    <w:p>
      <w:pPr>
        <w:spacing w:after="0" w:line="180" w:lineRule="exact"/>
        <w:rPr>
          <w:sz w:val="20"/>
          <w:szCs w:val="20"/>
          <w:color w:val="auto"/>
        </w:rPr>
      </w:pPr>
    </w:p>
    <w:p>
      <w:pPr>
        <w:ind w:right="240" w:firstLine="458"/>
        <w:spacing w:after="0" w:line="261"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Vice President</w:t>
      </w:r>
      <w:r>
        <w:rPr>
          <w:rFonts w:ascii="Times New Roman" w:cs="Times New Roman" w:eastAsia="Times New Roman" w:hAnsi="Times New Roman"/>
          <w:sz w:val="18"/>
          <w:szCs w:val="18"/>
          <w:color w:val="auto"/>
        </w:rPr>
        <w:t>. Each Vice President shall have such powers and duties as generally pertain to the office of Vice President and as the Board of Directors or the President may from time to time prescribe. During the absence of the President or his inability to act, the Vice President, or if there shall be more than one Vice President, then that one designated by the Board of Directors, shall exercise the powers and shall perform the duties of the President, subject to the direction of the Board of Directors.</w:t>
      </w:r>
    </w:p>
    <w:p>
      <w:pPr>
        <w:spacing w:after="0" w:line="180" w:lineRule="exact"/>
        <w:rPr>
          <w:sz w:val="20"/>
          <w:szCs w:val="20"/>
          <w:color w:val="auto"/>
        </w:rPr>
      </w:pPr>
    </w:p>
    <w:p>
      <w:pPr>
        <w:ind w:right="40" w:firstLine="458"/>
        <w:spacing w:after="0" w:line="261"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Secretary shall keep the minutes of all meetings of stockholders and of the Board of Directors. He shall be custodian of the corporate seal and shall affix it or cause it to be affixed to such instruments as he deems necessary or appropriate and attest the same and shall exercise the powers and shall perform the duties incident to the office of Secretary, and those that may otherwise from time to time be assigned to him subject to the direction of the Board of Directors.</w:t>
      </w:r>
    </w:p>
    <w:p>
      <w:pPr>
        <w:spacing w:after="0" w:line="180" w:lineRule="exact"/>
        <w:rPr>
          <w:sz w:val="20"/>
          <w:szCs w:val="20"/>
          <w:color w:val="auto"/>
        </w:rPr>
      </w:pPr>
    </w:p>
    <w:p>
      <w:pPr>
        <w:ind w:right="340" w:firstLine="458"/>
        <w:spacing w:after="0" w:line="266"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The Treasurer shall be the chief accounting officer of the Corporation (unless the Board of Directors appoints or has appointed another person to serve in the position of chief accounting officer) and shall have care of all funds and securities of the Corporation and shall exercise the powers and shall perform the duties incident to the office of Treasurer, subject to the direction of the Board of Directors.</w:t>
      </w:r>
    </w:p>
    <w:p>
      <w:pPr>
        <w:spacing w:after="0" w:line="176" w:lineRule="exact"/>
        <w:rPr>
          <w:sz w:val="20"/>
          <w:szCs w:val="20"/>
          <w:color w:val="auto"/>
        </w:rPr>
      </w:pPr>
    </w:p>
    <w:p>
      <w:pPr>
        <w:ind w:right="640" w:firstLine="458"/>
        <w:spacing w:after="0" w:line="282"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Other Officers</w:t>
      </w:r>
      <w:r>
        <w:rPr>
          <w:rFonts w:ascii="Times New Roman" w:cs="Times New Roman" w:eastAsia="Times New Roman" w:hAnsi="Times New Roman"/>
          <w:sz w:val="18"/>
          <w:szCs w:val="18"/>
          <w:color w:val="auto"/>
        </w:rPr>
        <w:t>. Each other officer of the Corporation shall exercise the powers and shall perform the duties incident to his office, subject to the direction of the Board of Directors.</w:t>
      </w:r>
    </w:p>
    <w:p>
      <w:pPr>
        <w:spacing w:after="0" w:line="1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u w:val="single" w:color="auto"/>
          <w:color w:val="auto"/>
        </w:rPr>
        <w:t>ARTICLE VI</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u w:val="single" w:color="auto"/>
          <w:color w:val="auto"/>
        </w:rPr>
        <w:t>Capital Stock</w:t>
      </w:r>
    </w:p>
    <w:p>
      <w:pPr>
        <w:spacing w:after="0" w:line="225" w:lineRule="exact"/>
        <w:rPr>
          <w:sz w:val="20"/>
          <w:szCs w:val="20"/>
          <w:color w:val="auto"/>
        </w:rPr>
      </w:pPr>
    </w:p>
    <w:p>
      <w:pPr>
        <w:ind w:firstLine="458"/>
        <w:spacing w:after="0" w:line="254"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Stock Certificates</w:t>
      </w:r>
      <w:r>
        <w:rPr>
          <w:rFonts w:ascii="Times New Roman" w:cs="Times New Roman" w:eastAsia="Times New Roman" w:hAnsi="Times New Roman"/>
          <w:sz w:val="18"/>
          <w:szCs w:val="18"/>
          <w:color w:val="auto"/>
        </w:rPr>
        <w:t>. The interest of each holder of stock of the Corporation shall be (a) evidenced by a certificate or certificates in such form as the Board of Directors may from time to time prescribe or (b) represented by uncertificated shares as issued by the Corporation. The issuance of shares in uncertificated form shall not affect shares already represented by a certificate until the certificate is surrendered to the Corporation. In the case of certificated shares, each certificate shall be signed by or, in the name of the Corporation by the Chairman of the Board of Directors, or the President or a Vice President, and by the Treasurer or an Assistant Treasurer, or the Secretary or an Assistant Secretary of the Corporation. If such certificate is countersigned (a) by a transfer agent other than the Corporation or its employee, or (b) by a registrar other than the Corporation or its employee, any other signature on the certificate may be facsimile. If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88" w:lineRule="exact"/>
        <w:rPr>
          <w:sz w:val="20"/>
          <w:szCs w:val="20"/>
          <w:color w:val="auto"/>
        </w:rPr>
      </w:pPr>
    </w:p>
    <w:p>
      <w:pPr>
        <w:ind w:right="420" w:firstLine="458"/>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Transfer of Stock</w:t>
      </w:r>
      <w:r>
        <w:rPr>
          <w:rFonts w:ascii="Times New Roman" w:cs="Times New Roman" w:eastAsia="Times New Roman" w:hAnsi="Times New Roman"/>
          <w:sz w:val="18"/>
          <w:szCs w:val="18"/>
          <w:color w:val="auto"/>
        </w:rPr>
        <w:t>. Shares of stock shall be transferable on the books of the Corporation pursuant to applicable law and such rules and regulations as the Board of Directors shall from time to time prescribe on or after the effective date of these Bylaws.</w:t>
      </w:r>
    </w:p>
    <w:p>
      <w:pPr>
        <w:spacing w:after="0" w:line="162" w:lineRule="exact"/>
        <w:rPr>
          <w:sz w:val="20"/>
          <w:szCs w:val="20"/>
          <w:color w:val="auto"/>
        </w:rPr>
      </w:pPr>
    </w:p>
    <w:p>
      <w:pPr>
        <w:ind w:right="40" w:firstLine="458"/>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Holders of Record</w:t>
      </w:r>
      <w:r>
        <w:rPr>
          <w:rFonts w:ascii="Times New Roman" w:cs="Times New Roman" w:eastAsia="Times New Roman" w:hAnsi="Times New Roman"/>
          <w:sz w:val="18"/>
          <w:szCs w:val="18"/>
          <w:color w:val="auto"/>
        </w:rPr>
        <w:t>. Prior to due presentment for registration or transfer or receipt of proper transfer instructions, the Corporation may treat the holder of record of a share of its stock as the complete owner thereof exclusively entitled to vote, to receive notifications and otherwise entitled to all the rights and powers of a complete owner thereof, notwithstanding notice to the contrary.</w:t>
      </w:r>
    </w:p>
    <w:p>
      <w:pPr>
        <w:spacing w:after="0" w:line="176" w:lineRule="exact"/>
        <w:rPr>
          <w:sz w:val="20"/>
          <w:szCs w:val="20"/>
          <w:color w:val="auto"/>
        </w:rPr>
      </w:pPr>
    </w:p>
    <w:p>
      <w:pPr>
        <w:ind w:right="80" w:firstLine="458"/>
        <w:spacing w:after="0" w:line="258"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Lost, Stolen, Destroyed, or Mutilated Certificates</w:t>
      </w:r>
      <w:r>
        <w:rPr>
          <w:rFonts w:ascii="Times New Roman" w:cs="Times New Roman" w:eastAsia="Times New Roman" w:hAnsi="Times New Roman"/>
          <w:sz w:val="18"/>
          <w:szCs w:val="18"/>
          <w:color w:val="auto"/>
        </w:rPr>
        <w:t>. The Corporation may issue a new certificate of stock or uncertificated shares to replace a certificate alleged to have been lost, stolen, destroyed or mutilated upon terms and conditions as the Board of Directors may from time to time prescribe, and the Board of Directors may, in its discretion, require the owner of the lost or destroyed certificate or his legal representative, to give the Corporation a bond, in such sum as it may direct, not exceeding double the value of the stock, to indemnify the Corporation against any claim that may be made against it on account of the alleged loss of any such certificate.</w:t>
      </w:r>
    </w:p>
    <w:p>
      <w:pPr>
        <w:spacing w:after="0" w:line="183" w:lineRule="exact"/>
        <w:rPr>
          <w:sz w:val="20"/>
          <w:szCs w:val="20"/>
          <w:color w:val="auto"/>
        </w:rPr>
      </w:pPr>
    </w:p>
    <w:p>
      <w:pPr>
        <w:ind w:firstLine="458"/>
        <w:spacing w:after="0" w:line="258"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Transfer Agent and Registrar</w:t>
      </w:r>
      <w:r>
        <w:rPr>
          <w:rFonts w:ascii="Times New Roman" w:cs="Times New Roman" w:eastAsia="Times New Roman" w:hAnsi="Times New Roman"/>
          <w:sz w:val="18"/>
          <w:szCs w:val="18"/>
          <w:color w:val="auto"/>
        </w:rPr>
        <w:t>. The Board of Directors may appoint one or more Transfer Agents and Registrars for the Common Stock and Preferred Stock of the Corporation. The Transfer Agent shall be in charge of the issue, transfer, and cancellation of shares of stock and shall maintain stock transfer books, which shall include a record of the stockholders, giving the names and addresses of all stockholders, and the number and class of shares held by each; prepare voting lists for meetings of stockholders; produce and keep open these lists at the meetings; and perform such other duties as may be delegated by the Board of Directors. Stockholders may give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8" w:name="page89"/>
    <w:bookmarkEnd w:id="88"/>
    <w:p>
      <w:pPr>
        <w:ind w:right="680"/>
        <w:spacing w:after="0" w:line="282" w:lineRule="auto"/>
        <w:rPr>
          <w:sz w:val="20"/>
          <w:szCs w:val="20"/>
          <w:color w:val="auto"/>
        </w:rPr>
      </w:pPr>
      <w:r>
        <w:rPr>
          <w:rFonts w:ascii="Times New Roman" w:cs="Times New Roman" w:eastAsia="Times New Roman" w:hAnsi="Times New Roman"/>
          <w:sz w:val="18"/>
          <w:szCs w:val="18"/>
          <w:color w:val="auto"/>
        </w:rPr>
        <w:t>notice of changes of their addresses to the Transfer Agent. The Registrar shall be in charge of preventing the over-issue of shares, shall register all certificated or uncertificated shares of stock, and perform such other duties as may be delegated by the Board of Directors.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ARTICLE VII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Checks</w:t>
      </w:r>
    </w:p>
    <w:p>
      <w:pPr>
        <w:spacing w:after="0" w:line="225" w:lineRule="exact"/>
        <w:rPr>
          <w:sz w:val="20"/>
          <w:szCs w:val="20"/>
          <w:color w:val="auto"/>
        </w:rPr>
      </w:pPr>
    </w:p>
    <w:p>
      <w:pPr>
        <w:ind w:right="720" w:firstLine="458"/>
        <w:spacing w:after="0" w:line="282" w:lineRule="auto"/>
        <w:rPr>
          <w:sz w:val="20"/>
          <w:szCs w:val="20"/>
          <w:color w:val="auto"/>
        </w:rPr>
      </w:pPr>
      <w:r>
        <w:rPr>
          <w:rFonts w:ascii="Times New Roman" w:cs="Times New Roman" w:eastAsia="Times New Roman" w:hAnsi="Times New Roman"/>
          <w:sz w:val="18"/>
          <w:szCs w:val="18"/>
          <w:color w:val="auto"/>
        </w:rPr>
        <w:t>Section 1. All checks or demands for money and notes of the Corporation shall be signed by such officer or officers or such other person or persons as the Board of Directors may from time to time designate.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ARTICLE VIII</w:t>
      </w:r>
    </w:p>
    <w:p>
      <w:pPr>
        <w:spacing w:after="0" w:line="2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u w:val="single" w:color="auto"/>
          <w:color w:val="auto"/>
        </w:rPr>
        <w:t>Fiscal Year</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1. The fiscal year shall begin the first day of January in each year.</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ARTICLE IX</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225" w:lineRule="exact"/>
        <w:rPr>
          <w:sz w:val="20"/>
          <w:szCs w:val="20"/>
          <w:color w:val="auto"/>
        </w:rPr>
      </w:pPr>
    </w:p>
    <w:p>
      <w:pPr>
        <w:ind w:right="380" w:firstLine="458"/>
        <w:spacing w:after="0" w:line="26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Declaration</w:t>
      </w:r>
      <w:r>
        <w:rPr>
          <w:rFonts w:ascii="Times New Roman" w:cs="Times New Roman" w:eastAsia="Times New Roman" w:hAnsi="Times New Roman"/>
          <w:sz w:val="18"/>
          <w:szCs w:val="18"/>
          <w:color w:val="auto"/>
        </w:rPr>
        <w:t>. Dividends upon the capital stock of the Corporation, subject to the provisions of the Certificate of Incorporation, may be declared by the Board of Directors at any regular or special meeting, pursuant to law. Dividends may be paid in cash, in property, or in shares of the capital stock of the Corporation.</w:t>
      </w:r>
    </w:p>
    <w:p>
      <w:pPr>
        <w:spacing w:after="0" w:line="176" w:lineRule="exact"/>
        <w:rPr>
          <w:sz w:val="20"/>
          <w:szCs w:val="20"/>
          <w:color w:val="auto"/>
        </w:rPr>
      </w:pPr>
    </w:p>
    <w:p>
      <w:pPr>
        <w:jc w:val="both"/>
        <w:ind w:right="200" w:firstLine="458"/>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Reserve Fund</w:t>
      </w:r>
      <w:r>
        <w:rPr>
          <w:rFonts w:ascii="Times New Roman" w:cs="Times New Roman" w:eastAsia="Times New Roman" w:hAnsi="Times New Roman"/>
          <w:sz w:val="18"/>
          <w:szCs w:val="18"/>
          <w:color w:val="auto"/>
        </w:rPr>
        <w:t>. The Board of Directors may set aside out of any funds of the Corporation available for dividends a reserve or reserves for any proper purposes and in such sum or sums as the directors from time to time, in their absolute discretion, believe to be proper, and the Board of Directors may abolish any such reserve.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ARTICLE X</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Notice</w:t>
      </w:r>
    </w:p>
    <w:p>
      <w:pPr>
        <w:spacing w:after="0" w:line="225" w:lineRule="exact"/>
        <w:rPr>
          <w:sz w:val="20"/>
          <w:szCs w:val="20"/>
          <w:color w:val="auto"/>
        </w:rPr>
      </w:pPr>
    </w:p>
    <w:p>
      <w:pPr>
        <w:ind w:firstLine="458"/>
        <w:spacing w:after="0" w:line="25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Whenever notice is required by the Certificate of Incorporation, the Bylaws, or as otherwise provided by law, a written waiver thereof, signed by the person entitled to notice, shall be deemed equivalent to notice, whether before or after the time required for such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w:t>
      </w:r>
    </w:p>
    <w:p>
      <w:pPr>
        <w:spacing w:after="0" w:line="187" w:lineRule="exact"/>
        <w:rPr>
          <w:sz w:val="20"/>
          <w:szCs w:val="20"/>
          <w:color w:val="auto"/>
        </w:rPr>
      </w:pPr>
    </w:p>
    <w:p>
      <w:pPr>
        <w:ind w:firstLine="458"/>
        <w:spacing w:after="0" w:line="258"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Mailing of Notice</w:t>
      </w:r>
      <w:r>
        <w:rPr>
          <w:rFonts w:ascii="Times New Roman" w:cs="Times New Roman" w:eastAsia="Times New Roman" w:hAnsi="Times New Roman"/>
          <w:sz w:val="18"/>
          <w:szCs w:val="18"/>
          <w:color w:val="auto"/>
        </w:rPr>
        <w:t>. Whenever under the provisions of these Bylaws notice is required to be given to any director, officer or shareholder and such notice is not waived as provided in Section 1 of this Article X, it shall not be construed to mean personal notice, but such notice may be given in writing, by mail, by depositing the same in the post office or letter box, in post- paid sealed wrapper, addressed to such shareholder, officer or director at such address as appears on the books of the Corporation, or, in default of other address, to such director, officer or shareholder at the General Post Office in Oklahoma City, Oklahoma, and such notice shall be deemed to be given at the time when the same shall be thus mailed.</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ARTICLE XI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Amendment of Bylaws</w:t>
      </w:r>
    </w:p>
    <w:p>
      <w:pPr>
        <w:spacing w:after="0" w:line="225" w:lineRule="exact"/>
        <w:rPr>
          <w:sz w:val="20"/>
          <w:szCs w:val="20"/>
          <w:color w:val="auto"/>
        </w:rPr>
      </w:pPr>
    </w:p>
    <w:p>
      <w:pPr>
        <w:ind w:left="20" w:right="240" w:firstLine="458"/>
        <w:spacing w:after="0" w:line="258"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These Bylaws may be made, amended, altered, added to, revised or repealed only by a vote of a majority of the directors then in office or by a vote of the holders of two-thirds of the issued and outstanding shares of stock of the Corporation entitled to vote for the election of directors; provided, however, that Article IV, Section 1 of these Bylaws and this Article XI, Section 1, may be amended, altered, added to, revised or repealed only by a vote of two-thirds of the entire Board of Directors or by a vote of two-thirds of the issued and outstanding shares of stock of the Corporation entitled to vote for the election of directors.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ARTICLE XII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Exclusive Jurisdiction for Certain Claims</w:t>
      </w:r>
    </w:p>
    <w:p>
      <w:pPr>
        <w:spacing w:after="0" w:line="225" w:lineRule="exact"/>
        <w:rPr>
          <w:sz w:val="20"/>
          <w:szCs w:val="20"/>
          <w:color w:val="auto"/>
        </w:rPr>
      </w:pPr>
    </w:p>
    <w:p>
      <w:pPr>
        <w:jc w:val="both"/>
        <w:ind w:left="20" w:right="20" w:firstLine="458"/>
        <w:spacing w:after="0" w:line="26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Exclusive Forum</w:t>
      </w:r>
      <w:r>
        <w:rPr>
          <w:rFonts w:ascii="Times New Roman" w:cs="Times New Roman" w:eastAsia="Times New Roman" w:hAnsi="Times New Roman"/>
          <w:sz w:val="18"/>
          <w:szCs w:val="18"/>
          <w:color w:val="auto"/>
        </w:rPr>
        <w:t>. Unless the Board of Directors or one of its committees otherwise approves the selection of an alternate forum, the Court of Chancery of the State of Delaware (or, if, and only if, the Court of Chancery of the State of Delaware dismisses a Covered Claim (as defined below) for lack of subject matter jurisdiction, any other state or federal court in the State of Delaware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407" w:gutter="0" w:footer="0" w:header="0"/>
        </w:sectPr>
      </w:pPr>
    </w:p>
    <w:bookmarkStart w:id="89" w:name="page90"/>
    <w:bookmarkEnd w:id="89"/>
    <w:p>
      <w:pPr>
        <w:ind w:left="20" w:right="260"/>
        <w:spacing w:after="0" w:line="282" w:lineRule="auto"/>
        <w:rPr>
          <w:sz w:val="20"/>
          <w:szCs w:val="20"/>
          <w:color w:val="auto"/>
        </w:rPr>
      </w:pPr>
      <w:r>
        <w:rPr>
          <w:rFonts w:ascii="Times New Roman" w:cs="Times New Roman" w:eastAsia="Times New Roman" w:hAnsi="Times New Roman"/>
          <w:sz w:val="18"/>
          <w:szCs w:val="18"/>
          <w:color w:val="auto"/>
        </w:rPr>
        <w:t>does have subject matter jurisdiction) shall, to the fullest extent permitted by applicable law, be the sole and exclusive forum for any (i) derivative claim brought in the right of the Corporation,</w:t>
      </w:r>
    </w:p>
    <w:p>
      <w:pPr>
        <w:spacing w:after="0" w:line="162" w:lineRule="exact"/>
        <w:rPr>
          <w:sz w:val="20"/>
          <w:szCs w:val="20"/>
          <w:color w:val="auto"/>
        </w:rPr>
      </w:pPr>
    </w:p>
    <w:p>
      <w:pPr>
        <w:ind w:right="160" w:firstLine="8"/>
        <w:spacing w:after="0" w:line="255" w:lineRule="auto"/>
        <w:tabs>
          <w:tab w:leader="none" w:pos="50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asserting a breach of a fiduciary duty to the Corporation or the Corporation’s stockholders owed by any current or former director, officer or other employee or stockholder of the Corporation, (iii) claim against the Corporation arising pursuant to any provision of the General Corporation Law of the State of Delaware, this Second Amended and Restated Bylaws, (iv) claim to interpret, apply, enforce or determine the validity of this Second Amended and Restated Bylaws, (v) claim against the Corporation governed by the internal affairs doctrine, or (vi) other claim, not subject to exclusive federal jurisdiction and not subject to paragraph (d) below, brought in any action asserting one or more of the claims specified in clauses (i) through (v) herein above (each a “</w:t>
      </w:r>
      <w:r>
        <w:rPr>
          <w:rFonts w:ascii="Times New Roman" w:cs="Times New Roman" w:eastAsia="Times New Roman" w:hAnsi="Times New Roman"/>
          <w:sz w:val="18"/>
          <w:szCs w:val="18"/>
          <w:u w:val="single" w:color="auto"/>
          <w:color w:val="auto"/>
        </w:rPr>
        <w:t>Covered Claim</w:t>
      </w:r>
      <w:r>
        <w:rPr>
          <w:rFonts w:ascii="Times New Roman" w:cs="Times New Roman" w:eastAsia="Times New Roman" w:hAnsi="Times New Roman"/>
          <w:sz w:val="18"/>
          <w:szCs w:val="18"/>
          <w:color w:val="auto"/>
        </w:rPr>
        <w:t xml:space="preserve">”); provided, however, that the provisions of this </w:t>
      </w:r>
      <w:r>
        <w:rPr>
          <w:rFonts w:ascii="Times New Roman" w:cs="Times New Roman" w:eastAsia="Times New Roman" w:hAnsi="Times New Roman"/>
          <w:sz w:val="18"/>
          <w:szCs w:val="18"/>
          <w:u w:val="single" w:color="auto"/>
          <w:color w:val="auto"/>
        </w:rPr>
        <w:t>Article XII(1)</w:t>
      </w:r>
      <w:r>
        <w:rPr>
          <w:rFonts w:ascii="Times New Roman" w:cs="Times New Roman" w:eastAsia="Times New Roman" w:hAnsi="Times New Roman"/>
          <w:sz w:val="18"/>
          <w:szCs w:val="18"/>
          <w:color w:val="auto"/>
        </w:rPr>
        <w:t xml:space="preserve"> will not apply to claims brought to enforce any liability or duty created by the Securities Exchange Act of 1934, as amended.</w:t>
      </w:r>
    </w:p>
    <w:p>
      <w:pPr>
        <w:spacing w:after="0" w:line="189" w:lineRule="exact"/>
        <w:rPr>
          <w:sz w:val="20"/>
          <w:szCs w:val="20"/>
          <w:color w:val="auto"/>
        </w:rPr>
      </w:pPr>
    </w:p>
    <w:p>
      <w:pPr>
        <w:ind w:left="20" w:firstLine="458"/>
        <w:spacing w:after="0" w:line="258"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Personal Jurisdiction</w:t>
      </w:r>
      <w:r>
        <w:rPr>
          <w:rFonts w:ascii="Times New Roman" w:cs="Times New Roman" w:eastAsia="Times New Roman" w:hAnsi="Times New Roman"/>
          <w:sz w:val="18"/>
          <w:szCs w:val="18"/>
          <w:color w:val="auto"/>
        </w:rPr>
        <w:t>. If any person or entity (a “</w:t>
      </w:r>
      <w:r>
        <w:rPr>
          <w:rFonts w:ascii="Times New Roman" w:cs="Times New Roman" w:eastAsia="Times New Roman" w:hAnsi="Times New Roman"/>
          <w:sz w:val="18"/>
          <w:szCs w:val="18"/>
          <w:u w:val="single" w:color="auto"/>
          <w:color w:val="auto"/>
        </w:rPr>
        <w:t>Claiming Party</w:t>
      </w:r>
      <w:r>
        <w:rPr>
          <w:rFonts w:ascii="Times New Roman" w:cs="Times New Roman" w:eastAsia="Times New Roman" w:hAnsi="Times New Roman"/>
          <w:sz w:val="18"/>
          <w:szCs w:val="18"/>
          <w:color w:val="auto"/>
        </w:rPr>
        <w:t xml:space="preserve">”) files an action asserting a Covered Claim in a court other than one determined in accordance with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above (each a “</w:t>
      </w:r>
      <w:r>
        <w:rPr>
          <w:rFonts w:ascii="Times New Roman" w:cs="Times New Roman" w:eastAsia="Times New Roman" w:hAnsi="Times New Roman"/>
          <w:sz w:val="18"/>
          <w:szCs w:val="18"/>
          <w:u w:val="single" w:color="auto"/>
          <w:color w:val="auto"/>
        </w:rPr>
        <w:t>Foreign Action</w:t>
      </w:r>
      <w:r>
        <w:rPr>
          <w:rFonts w:ascii="Times New Roman" w:cs="Times New Roman" w:eastAsia="Times New Roman" w:hAnsi="Times New Roman"/>
          <w:sz w:val="18"/>
          <w:szCs w:val="18"/>
          <w:color w:val="auto"/>
        </w:rPr>
        <w:t xml:space="preserve">”) without the prior approval of the Board of Directors or one of its committees, such Claiming Party shall be deemed to have consented to (i) the personal jurisdiction of the court determined in accordance with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in connection with any such action brought in any such court to enforce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(an “</w:t>
      </w:r>
      <w:r>
        <w:rPr>
          <w:rFonts w:ascii="Times New Roman" w:cs="Times New Roman" w:eastAsia="Times New Roman" w:hAnsi="Times New Roman"/>
          <w:sz w:val="18"/>
          <w:szCs w:val="18"/>
          <w:u w:val="single" w:color="auto"/>
          <w:color w:val="auto"/>
        </w:rPr>
        <w:t>Enforcement Action</w:t>
      </w:r>
      <w:r>
        <w:rPr>
          <w:rFonts w:ascii="Times New Roman" w:cs="Times New Roman" w:eastAsia="Times New Roman" w:hAnsi="Times New Roman"/>
          <w:sz w:val="18"/>
          <w:szCs w:val="18"/>
          <w:color w:val="auto"/>
        </w:rPr>
        <w:t>”) and (ii) having service of process made upon such Claiming Party in any such Enforcement Action by service upon such Claiming Party’s counsel in the Foreign Action as agent for such Claiming Party.</w:t>
      </w:r>
    </w:p>
    <w:p>
      <w:pPr>
        <w:spacing w:after="0" w:line="183" w:lineRule="exact"/>
        <w:rPr>
          <w:sz w:val="20"/>
          <w:szCs w:val="20"/>
          <w:color w:val="auto"/>
        </w:rPr>
      </w:pPr>
    </w:p>
    <w:p>
      <w:pPr>
        <w:jc w:val="both"/>
        <w:ind w:right="120" w:firstLine="458"/>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Notice and Consent</w:t>
      </w:r>
      <w:r>
        <w:rPr>
          <w:rFonts w:ascii="Times New Roman" w:cs="Times New Roman" w:eastAsia="Times New Roman" w:hAnsi="Times New Roman"/>
          <w:sz w:val="18"/>
          <w:szCs w:val="18"/>
          <w:color w:val="auto"/>
        </w:rPr>
        <w:t>. Any person or entity purchasing or otherwise acquiring any interest in the shares of capital stock of the Corporation shall be deemed to have notice of and consented to the provisions of this Article XII and waived any argument relating to the inconvenience of the forums referenced above in connection with any Covered Claim.</w:t>
      </w:r>
    </w:p>
    <w:p>
      <w:pPr>
        <w:spacing w:after="0" w:line="176" w:lineRule="exact"/>
        <w:rPr>
          <w:sz w:val="20"/>
          <w:szCs w:val="20"/>
          <w:color w:val="auto"/>
        </w:rPr>
      </w:pPr>
    </w:p>
    <w:p>
      <w:pPr>
        <w:ind w:right="400" w:firstLine="458"/>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Federal Forum</w:t>
      </w:r>
      <w:r>
        <w:rPr>
          <w:rFonts w:ascii="Times New Roman" w:cs="Times New Roman" w:eastAsia="Times New Roman" w:hAnsi="Times New Roman"/>
          <w:sz w:val="18"/>
          <w:szCs w:val="18"/>
          <w:color w:val="auto"/>
        </w:rPr>
        <w:t>. Unless the Corporation consents in writing to the selection of an alternative forum, the federal district courts of the United States shall be the exclusive forum for the resolution of any complaint asserting a cause of action arising under the Securities Act of 1933, as amended. Any person or entity purchasing or otherwise acquiring any interest in any security of the Corporation shall be deemed to have notice of and consented to this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color w:val="auto"/>
        </w:rPr>
        <w:t>Exhibit 10.7</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RSU AWARD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LSB INDUSTRIES,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2016 LONG TERM INCENTIVE PLAN</w:t>
      </w:r>
    </w:p>
    <w:p>
      <w:pPr>
        <w:jc w:val="center"/>
        <w:spacing w:after="0"/>
        <w:rPr>
          <w:sz w:val="20"/>
          <w:szCs w:val="20"/>
          <w:color w:val="auto"/>
        </w:rPr>
      </w:pPr>
      <w:r>
        <w:rPr>
          <w:rFonts w:ascii="Times New Roman" w:cs="Times New Roman" w:eastAsia="Times New Roman" w:hAnsi="Times New Roman"/>
          <w:sz w:val="20"/>
          <w:szCs w:val="20"/>
          <w:b w:val="1"/>
          <w:bCs w:val="1"/>
          <w:color w:val="auto"/>
        </w:rPr>
        <w:t>(As Amended and Restated March 4, 2021)</w:t>
      </w:r>
    </w:p>
    <w:p>
      <w:pPr>
        <w:spacing w:after="0" w:line="194"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LSB Industries,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grants to the Participant named below (“</w:t>
      </w:r>
      <w:r>
        <w:rPr>
          <w:rFonts w:ascii="Times New Roman" w:cs="Times New Roman" w:eastAsia="Times New Roman" w:hAnsi="Times New Roman"/>
          <w:sz w:val="20"/>
          <w:szCs w:val="20"/>
          <w:u w:val="single" w:color="auto"/>
          <w:color w:val="auto"/>
        </w:rPr>
        <w:t>you</w:t>
      </w:r>
      <w:r>
        <w:rPr>
          <w:rFonts w:ascii="Times New Roman" w:cs="Times New Roman" w:eastAsia="Times New Roman" w:hAnsi="Times New Roman"/>
          <w:sz w:val="20"/>
          <w:szCs w:val="20"/>
          <w:color w:val="auto"/>
        </w:rPr>
        <w:t>”) the number of Restricted Stock Units (“</w:t>
      </w:r>
      <w:r>
        <w:rPr>
          <w:rFonts w:ascii="Times New Roman" w:cs="Times New Roman" w:eastAsia="Times New Roman" w:hAnsi="Times New Roman"/>
          <w:sz w:val="20"/>
          <w:szCs w:val="20"/>
          <w:u w:val="single" w:color="auto"/>
          <w:color w:val="auto"/>
        </w:rPr>
        <w:t>RSUs</w:t>
      </w:r>
      <w:r>
        <w:rPr>
          <w:rFonts w:ascii="Times New Roman" w:cs="Times New Roman" w:eastAsia="Times New Roman" w:hAnsi="Times New Roman"/>
          <w:sz w:val="20"/>
          <w:szCs w:val="20"/>
          <w:color w:val="auto"/>
        </w:rPr>
        <w:t>”) set forth below (the “</w:t>
      </w:r>
      <w:r>
        <w:rPr>
          <w:rFonts w:ascii="Times New Roman" w:cs="Times New Roman" w:eastAsia="Times New Roman" w:hAnsi="Times New Roman"/>
          <w:sz w:val="20"/>
          <w:szCs w:val="20"/>
          <w:u w:val="single" w:color="auto"/>
          <w:color w:val="auto"/>
        </w:rPr>
        <w:t>Award</w:t>
      </w:r>
      <w:r>
        <w:rPr>
          <w:rFonts w:ascii="Times New Roman" w:cs="Times New Roman" w:eastAsia="Times New Roman" w:hAnsi="Times New Roman"/>
          <w:sz w:val="20"/>
          <w:szCs w:val="20"/>
          <w:color w:val="auto"/>
        </w:rPr>
        <w:t>”), under this RSU Award Agreement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20"/>
          <w:szCs w:val="20"/>
          <w:b w:val="1"/>
          <w:bCs w:val="1"/>
          <w:color w:val="auto"/>
        </w:rPr>
        <w:t>Participant:</w:t>
      </w:r>
      <w:r>
        <w:rPr>
          <w:sz w:val="20"/>
          <w:szCs w:val="20"/>
          <w:color w:val="auto"/>
        </w:rPr>
        <w:tab/>
      </w:r>
      <w:r>
        <w:rPr>
          <w:rFonts w:ascii="Times New Roman" w:cs="Times New Roman" w:eastAsia="Times New Roman" w:hAnsi="Times New Roman"/>
          <w:sz w:val="19"/>
          <w:szCs w:val="19"/>
          <w:color w:val="auto"/>
        </w:rPr>
        <w:t>[Name]</w:t>
      </w: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 xml:space="preserve">Grant Date:  </w:t>
      </w:r>
      <w:r>
        <w:rPr>
          <w:rFonts w:ascii="Times New Roman" w:cs="Times New Roman" w:eastAsia="Times New Roman" w:hAnsi="Times New Roman"/>
          <w:sz w:val="20"/>
          <w:szCs w:val="20"/>
          <w:color w:val="auto"/>
        </w:rPr>
        <w:t>[Date]</w:t>
      </w:r>
    </w:p>
    <w:p>
      <w:pPr>
        <w:spacing w:after="0" w:line="216"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20"/>
          <w:szCs w:val="20"/>
          <w:b w:val="1"/>
          <w:bCs w:val="1"/>
          <w:color w:val="auto"/>
        </w:rPr>
        <w:t>Total Number of RSUs:</w:t>
      </w:r>
      <w:r>
        <w:rPr>
          <w:sz w:val="20"/>
          <w:szCs w:val="20"/>
          <w:color w:val="auto"/>
        </w:rPr>
        <w:tab/>
      </w:r>
      <w:r>
        <w:rPr>
          <w:rFonts w:ascii="Times New Roman" w:cs="Times New Roman" w:eastAsia="Times New Roman" w:hAnsi="Times New Roman"/>
          <w:sz w:val="19"/>
          <w:szCs w:val="19"/>
          <w:color w:val="auto"/>
        </w:rPr>
        <w:t>[Number]</w:t>
      </w:r>
    </w:p>
    <w:p>
      <w:pPr>
        <w:spacing w:after="0" w:line="2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TRSUs – [Number]</w:t>
      </w: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PRSUs – [Number] (at Target) (the “</w:t>
      </w:r>
      <w:r>
        <w:rPr>
          <w:rFonts w:ascii="Times New Roman" w:cs="Times New Roman" w:eastAsia="Times New Roman" w:hAnsi="Times New Roman"/>
          <w:sz w:val="20"/>
          <w:szCs w:val="20"/>
          <w:u w:val="single" w:color="auto"/>
          <w:color w:val="auto"/>
        </w:rPr>
        <w:t>Target PRSUs</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Definition of RSU: </w:t>
      </w:r>
      <w:r>
        <w:rPr>
          <w:rFonts w:ascii="Times New Roman" w:cs="Times New Roman" w:eastAsia="Times New Roman" w:hAnsi="Times New Roman"/>
          <w:sz w:val="20"/>
          <w:szCs w:val="20"/>
          <w:color w:val="auto"/>
        </w:rPr>
        <w:t>Each RSU entitles you to earn and receive 1 share of Stock (a “</w:t>
      </w:r>
      <w:r>
        <w:rPr>
          <w:rFonts w:ascii="Times New Roman" w:cs="Times New Roman" w:eastAsia="Times New Roman" w:hAnsi="Times New Roman"/>
          <w:sz w:val="20"/>
          <w:szCs w:val="20"/>
          <w:u w:val="single" w:color="auto"/>
          <w:color w:val="auto"/>
        </w:rPr>
        <w:t>Share</w:t>
      </w:r>
      <w:r>
        <w:rPr>
          <w:rFonts w:ascii="Times New Roman" w:cs="Times New Roman" w:eastAsia="Times New Roman" w:hAnsi="Times New Roman"/>
          <w:sz w:val="20"/>
          <w:szCs w:val="20"/>
          <w:color w:val="auto"/>
        </w:rPr>
        <w:t>”)—or a cash amount equal to the Fair Market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Value of 1 Share—in the future, in each case subject to the terms of this Agreement. As used in this Agreement, “</w:t>
      </w:r>
      <w:r>
        <w:rPr>
          <w:rFonts w:ascii="Times New Roman" w:cs="Times New Roman" w:eastAsia="Times New Roman" w:hAnsi="Times New Roman"/>
          <w:sz w:val="20"/>
          <w:szCs w:val="20"/>
          <w:u w:val="single" w:color="auto"/>
          <w:color w:val="auto"/>
        </w:rPr>
        <w:t>RSUs</w:t>
      </w:r>
      <w:r>
        <w:rPr>
          <w:rFonts w:ascii="Times New Roman" w:cs="Times New Roman" w:eastAsia="Times New Roman" w:hAnsi="Times New Roman"/>
          <w:sz w:val="20"/>
          <w:szCs w:val="20"/>
          <w:color w:val="auto"/>
        </w:rPr>
        <w:t>” means your TRSUs and your PRSUs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of TRSU:</w:t>
      </w:r>
    </w:p>
    <w:p>
      <w:pPr>
        <w:spacing w:after="0" w:line="220" w:lineRule="exact"/>
        <w:rPr>
          <w:sz w:val="20"/>
          <w:szCs w:val="20"/>
          <w:color w:val="auto"/>
        </w:rPr>
      </w:pPr>
    </w:p>
    <w:p>
      <w:pPr>
        <w:ind w:left="120" w:right="940"/>
        <w:spacing w:after="0" w:line="295" w:lineRule="auto"/>
        <w:rPr>
          <w:sz w:val="20"/>
          <w:szCs w:val="20"/>
          <w:color w:val="auto"/>
        </w:rPr>
      </w:pPr>
      <w:r>
        <w:rPr>
          <w:rFonts w:ascii="Times New Roman" w:cs="Times New Roman" w:eastAsia="Times New Roman" w:hAnsi="Times New Roman"/>
          <w:sz w:val="18"/>
          <w:szCs w:val="18"/>
          <w:b w:val="1"/>
          <w:bCs w:val="1"/>
          <w:color w:val="auto"/>
        </w:rPr>
        <w:t xml:space="preserve">(Time-Based Vesting RSU) </w:t>
      </w:r>
      <w:r>
        <w:rPr>
          <w:rFonts w:ascii="Times New Roman" w:cs="Times New Roman" w:eastAsia="Times New Roman" w:hAnsi="Times New Roman"/>
          <w:sz w:val="19"/>
          <w:szCs w:val="19"/>
          <w:color w:val="auto"/>
        </w:rPr>
        <w:t>An RSU that becomes earned and payable based on your continued service with the Company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Subsidiaries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of PRSU:</w:t>
      </w:r>
    </w:p>
    <w:p>
      <w:pPr>
        <w:spacing w:after="0" w:line="220" w:lineRule="exact"/>
        <w:rPr>
          <w:sz w:val="20"/>
          <w:szCs w:val="20"/>
          <w:color w:val="auto"/>
        </w:rPr>
      </w:pPr>
    </w:p>
    <w:p>
      <w:pPr>
        <w:ind w:left="120" w:right="220"/>
        <w:spacing w:after="0" w:line="295" w:lineRule="auto"/>
        <w:rPr>
          <w:sz w:val="20"/>
          <w:szCs w:val="20"/>
          <w:color w:val="auto"/>
        </w:rPr>
      </w:pPr>
      <w:r>
        <w:rPr>
          <w:rFonts w:ascii="Times New Roman" w:cs="Times New Roman" w:eastAsia="Times New Roman" w:hAnsi="Times New Roman"/>
          <w:sz w:val="18"/>
          <w:szCs w:val="18"/>
          <w:b w:val="1"/>
          <w:bCs w:val="1"/>
          <w:color w:val="auto"/>
        </w:rPr>
        <w:t xml:space="preserve">(Performance-Based Vesting RSU) </w:t>
      </w:r>
      <w:r>
        <w:rPr>
          <w:rFonts w:ascii="Times New Roman" w:cs="Times New Roman" w:eastAsia="Times New Roman" w:hAnsi="Times New Roman"/>
          <w:sz w:val="19"/>
          <w:szCs w:val="19"/>
          <w:color w:val="auto"/>
        </w:rPr>
        <w:t>An RSU that becomes earned and payable based on a combination of your continued service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Company and its Subsidiaries and the achievement of specified performance goals</w:t>
      </w:r>
    </w:p>
    <w:p>
      <w:pPr>
        <w:spacing w:after="0" w:line="134" w:lineRule="exact"/>
        <w:rPr>
          <w:sz w:val="20"/>
          <w:szCs w:val="20"/>
          <w:color w:val="auto"/>
        </w:rPr>
      </w:pPr>
    </w:p>
    <w:p>
      <w:pPr>
        <w:ind w:left="120" w:right="34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Performance Period: </w:t>
      </w:r>
      <w:r>
        <w:rPr>
          <w:rFonts w:ascii="Times New Roman" w:cs="Times New Roman" w:eastAsia="Times New Roman" w:hAnsi="Times New Roman"/>
          <w:sz w:val="20"/>
          <w:szCs w:val="20"/>
          <w:color w:val="auto"/>
        </w:rPr>
        <w:t>Three years starting at the Grant Date, Performance is measured at December 31 for each year of the three year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Performance Period</w:t>
      </w:r>
    </w:p>
    <w:p>
      <w:pPr>
        <w:spacing w:after="0" w:line="152"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20"/>
          <w:szCs w:val="20"/>
          <w:b w:val="1"/>
          <w:bCs w:val="1"/>
          <w:color w:val="auto"/>
        </w:rPr>
        <w:t>Plan:</w:t>
      </w:r>
      <w:r>
        <w:rPr>
          <w:sz w:val="20"/>
          <w:szCs w:val="20"/>
          <w:color w:val="auto"/>
        </w:rPr>
        <w:tab/>
      </w:r>
      <w:r>
        <w:rPr>
          <w:rFonts w:ascii="Times New Roman" w:cs="Times New Roman" w:eastAsia="Times New Roman" w:hAnsi="Times New Roman"/>
          <w:sz w:val="20"/>
          <w:szCs w:val="20"/>
          <w:color w:val="auto"/>
        </w:rPr>
        <w:t xml:space="preserve">LSB Industries, Inc. 2016 Long Term Incentive Plan (as Amended and Restated March 4, 2021), attached hereto as </w:t>
      </w:r>
      <w:r>
        <w:rPr>
          <w:rFonts w:ascii="Times New Roman" w:cs="Times New Roman" w:eastAsia="Times New Roman" w:hAnsi="Times New Roman"/>
          <w:sz w:val="20"/>
          <w:szCs w:val="20"/>
          <w:b w:val="1"/>
          <w:bCs w:val="1"/>
          <w:u w:val="single" w:color="auto"/>
          <w:color w:val="auto"/>
        </w:rPr>
        <w:t>Exhibit B</w:t>
      </w:r>
    </w:p>
    <w:p>
      <w:pPr>
        <w:spacing w:after="0" w:line="216" w:lineRule="exact"/>
        <w:rPr>
          <w:sz w:val="20"/>
          <w:szCs w:val="20"/>
          <w:color w:val="auto"/>
        </w:rPr>
      </w:pPr>
    </w:p>
    <w:p>
      <w:pPr>
        <w:ind w:left="120"/>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Defined Terms:</w:t>
      </w:r>
      <w:r>
        <w:rPr>
          <w:sz w:val="20"/>
          <w:szCs w:val="20"/>
          <w:color w:val="auto"/>
        </w:rPr>
        <w:tab/>
      </w:r>
      <w:r>
        <w:rPr>
          <w:rFonts w:ascii="Times New Roman" w:cs="Times New Roman" w:eastAsia="Times New Roman" w:hAnsi="Times New Roman"/>
          <w:sz w:val="19"/>
          <w:szCs w:val="19"/>
          <w:color w:val="auto"/>
        </w:rPr>
        <w:t>As set forth in the Plan, unless otherwise defined in this Agreement</w:t>
      </w:r>
    </w:p>
    <w:p>
      <w:pPr>
        <w:spacing w:after="0" w:line="216" w:lineRule="exact"/>
        <w:rPr>
          <w:sz w:val="20"/>
          <w:szCs w:val="20"/>
          <w:color w:val="auto"/>
        </w:rPr>
      </w:pPr>
    </w:p>
    <w:p>
      <w:pPr>
        <w:ind w:left="120"/>
        <w:spacing w:after="0"/>
        <w:tabs>
          <w:tab w:leader="none" w:pos="2880" w:val="left"/>
        </w:tabs>
        <w:rPr>
          <w:sz w:val="20"/>
          <w:szCs w:val="20"/>
          <w:color w:val="auto"/>
        </w:rPr>
      </w:pPr>
      <w:r>
        <w:rPr>
          <w:rFonts w:ascii="Times New Roman" w:cs="Times New Roman" w:eastAsia="Times New Roman" w:hAnsi="Times New Roman"/>
          <w:sz w:val="20"/>
          <w:szCs w:val="20"/>
          <w:b w:val="1"/>
          <w:bCs w:val="1"/>
          <w:color w:val="auto"/>
        </w:rPr>
        <w:t>Earning and Payment Terms:</w:t>
      </w:r>
      <w:r>
        <w:rPr>
          <w:sz w:val="20"/>
          <w:szCs w:val="20"/>
          <w:color w:val="auto"/>
        </w:rPr>
        <w:tab/>
      </w:r>
      <w:r>
        <w:rPr>
          <w:rFonts w:ascii="Times New Roman" w:cs="Times New Roman" w:eastAsia="Times New Roman" w:hAnsi="Times New Roman"/>
          <w:sz w:val="19"/>
          <w:szCs w:val="19"/>
          <w:color w:val="auto"/>
        </w:rPr>
        <w:t xml:space="preserve">See </w:t>
      </w:r>
      <w:r>
        <w:rPr>
          <w:rFonts w:ascii="Times New Roman" w:cs="Times New Roman" w:eastAsia="Times New Roman" w:hAnsi="Times New Roman"/>
          <w:sz w:val="19"/>
          <w:szCs w:val="19"/>
          <w:b w:val="1"/>
          <w:bCs w:val="1"/>
          <w:u w:val="single" w:color="auto"/>
          <w:color w:val="auto"/>
        </w:rPr>
        <w:t>Exhibit A</w:t>
      </w:r>
      <w:r>
        <w:rPr>
          <w:rFonts w:ascii="Times New Roman" w:cs="Times New Roman" w:eastAsia="Times New Roman" w:hAnsi="Times New Roman"/>
          <w:sz w:val="19"/>
          <w:szCs w:val="19"/>
          <w:color w:val="auto"/>
        </w:rPr>
        <w:t xml:space="preserve"> attached hereto.</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0"/>
          <w:szCs w:val="20"/>
          <w:b w:val="1"/>
          <w:bCs w:val="1"/>
          <w:color w:val="auto"/>
        </w:rPr>
        <w:t>1</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RSU TERMS</w:t>
      </w:r>
    </w:p>
    <w:p>
      <w:pPr>
        <w:spacing w:after="0" w:line="220" w:lineRule="exact"/>
        <w:rPr>
          <w:sz w:val="20"/>
          <w:szCs w:val="20"/>
          <w:color w:val="auto"/>
        </w:rPr>
      </w:pPr>
    </w:p>
    <w:p>
      <w:pPr>
        <w:ind w:left="400" w:hanging="392"/>
        <w:spacing w:after="0"/>
        <w:tabs>
          <w:tab w:leader="none" w:pos="4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RSUs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200" w:hanging="390"/>
        <w:spacing w:after="0"/>
        <w:tabs>
          <w:tab w:leader="none" w:pos="120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Award is subject to the terms of the Plan. The terms of the Plan are incorporated into this Agreement by this reference.</w:t>
      </w:r>
    </w:p>
    <w:p>
      <w:pPr>
        <w:spacing w:after="0" w:line="215" w:lineRule="exact"/>
        <w:rPr>
          <w:rFonts w:ascii="Times New Roman" w:cs="Times New Roman" w:eastAsia="Times New Roman" w:hAnsi="Times New Roman"/>
          <w:sz w:val="20"/>
          <w:szCs w:val="20"/>
          <w:color w:val="auto"/>
        </w:rPr>
      </w:pPr>
    </w:p>
    <w:p>
      <w:pPr>
        <w:ind w:left="1500" w:hanging="690"/>
        <w:spacing w:after="0" w:line="249" w:lineRule="auto"/>
        <w:tabs>
          <w:tab w:leader="none" w:pos="1201"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must accept the terms of this Agreement within 10 business days after the Agreement is presented to you for by returning a signed copy of this Agreement to the Company in accordance with such procedures as the Company may establish. The Committee may unilaterally cancel and forfeit all or a portion of the Award if you do not timely accept the terms of this Agreement.</w:t>
      </w:r>
    </w:p>
    <w:p>
      <w:pPr>
        <w:spacing w:after="0" w:line="179"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500" w:hanging="690"/>
        <w:spacing w:after="0" w:line="254" w:lineRule="auto"/>
        <w:tabs>
          <w:tab w:leader="none" w:pos="1201"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You will have no rights or privileges of a Stockholder as to any Shares underlying the RSUs before settlement under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below (“</w:t>
      </w:r>
      <w:r>
        <w:rPr>
          <w:rFonts w:ascii="Times New Roman" w:cs="Times New Roman" w:eastAsia="Times New Roman" w:hAnsi="Times New Roman"/>
          <w:sz w:val="20"/>
          <w:szCs w:val="20"/>
          <w:u w:val="single" w:color="auto"/>
          <w:color w:val="auto"/>
        </w:rPr>
        <w:t>Settlement</w:t>
      </w:r>
      <w:r>
        <w:rPr>
          <w:rFonts w:ascii="Times New Roman" w:cs="Times New Roman" w:eastAsia="Times New Roman" w:hAnsi="Times New Roman"/>
          <w:sz w:val="20"/>
          <w:szCs w:val="20"/>
          <w:color w:val="auto"/>
        </w:rPr>
        <w:t>”), including no right to vote or receive dividends or other distributions; in addition, the following terms will apply:</w:t>
      </w:r>
    </w:p>
    <w:p>
      <w:pPr>
        <w:spacing w:after="0" w:line="174" w:lineRule="exact"/>
        <w:rPr>
          <w:rFonts w:ascii="Times New Roman" w:cs="Times New Roman" w:eastAsia="Times New Roman" w:hAnsi="Times New Roman"/>
          <w:sz w:val="20"/>
          <w:szCs w:val="20"/>
          <w:color w:val="auto"/>
        </w:rPr>
      </w:pPr>
    </w:p>
    <w:p>
      <w:pPr>
        <w:ind w:left="2260" w:right="20" w:hanging="754"/>
        <w:spacing w:after="0" w:line="269" w:lineRule="auto"/>
        <w:tabs>
          <w:tab w:leader="none" w:pos="1907"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will not be entitled to delivery of any Share certificates for the RSUs until Settlement (if at all), and upon the satisfaction of all other terms;</w:t>
      </w:r>
    </w:p>
    <w:p>
      <w:pPr>
        <w:spacing w:after="0" w:line="159" w:lineRule="exact"/>
        <w:rPr>
          <w:rFonts w:ascii="Times New Roman" w:cs="Times New Roman" w:eastAsia="Times New Roman" w:hAnsi="Times New Roman"/>
          <w:sz w:val="20"/>
          <w:szCs w:val="20"/>
          <w:color w:val="auto"/>
        </w:rPr>
      </w:pPr>
    </w:p>
    <w:p>
      <w:pPr>
        <w:ind w:left="2260" w:right="20" w:hanging="754"/>
        <w:spacing w:after="0" w:line="269" w:lineRule="auto"/>
        <w:tabs>
          <w:tab w:leader="none" w:pos="1907"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may not sell, transfer (other than by will or the laws of descent and distribution), assign, pledge, or otherwise encumber or dispose of the RSUs or any rights under the RSUs before Settlement;</w:t>
      </w:r>
    </w:p>
    <w:p>
      <w:pPr>
        <w:spacing w:after="0" w:line="159" w:lineRule="exact"/>
        <w:rPr>
          <w:rFonts w:ascii="Times New Roman" w:cs="Times New Roman" w:eastAsia="Times New Roman" w:hAnsi="Times New Roman"/>
          <w:sz w:val="20"/>
          <w:szCs w:val="20"/>
          <w:color w:val="auto"/>
        </w:rPr>
      </w:pPr>
    </w:p>
    <w:p>
      <w:pPr>
        <w:ind w:left="2260" w:right="20" w:hanging="754"/>
        <w:spacing w:after="0" w:line="269" w:lineRule="auto"/>
        <w:tabs>
          <w:tab w:leader="none" w:pos="1907"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you will forfeit all of the RSUs and all of your rights under the RSUs will terminate in their entirety on the terms set forth in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below and </w:t>
      </w:r>
      <w:r>
        <w:rPr>
          <w:rFonts w:ascii="Times New Roman" w:cs="Times New Roman" w:eastAsia="Times New Roman" w:hAnsi="Times New Roman"/>
          <w:sz w:val="20"/>
          <w:szCs w:val="20"/>
          <w:u w:val="single" w:color="auto"/>
          <w:color w:val="auto"/>
        </w:rPr>
        <w:t>Section 11(j)</w:t>
      </w:r>
      <w:r>
        <w:rPr>
          <w:rFonts w:ascii="Times New Roman" w:cs="Times New Roman" w:eastAsia="Times New Roman" w:hAnsi="Times New Roman"/>
          <w:sz w:val="20"/>
          <w:szCs w:val="20"/>
          <w:color w:val="auto"/>
        </w:rPr>
        <w:t xml:space="preserve"> below; and</w:t>
      </w:r>
    </w:p>
    <w:p>
      <w:pPr>
        <w:spacing w:after="0" w:line="159" w:lineRule="exact"/>
        <w:rPr>
          <w:rFonts w:ascii="Times New Roman" w:cs="Times New Roman" w:eastAsia="Times New Roman" w:hAnsi="Times New Roman"/>
          <w:sz w:val="20"/>
          <w:szCs w:val="20"/>
          <w:color w:val="auto"/>
        </w:rPr>
      </w:pPr>
    </w:p>
    <w:p>
      <w:pPr>
        <w:ind w:left="1900" w:hanging="394"/>
        <w:spacing w:after="0"/>
        <w:tabs>
          <w:tab w:leader="none" w:pos="1900"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Share underlying an RSU will be considered earned until the end of the Restricted Period applicable to the RSU.</w:t>
      </w:r>
    </w:p>
    <w:p>
      <w:pPr>
        <w:spacing w:after="0" w:line="215" w:lineRule="exact"/>
        <w:rPr>
          <w:rFonts w:ascii="Times New Roman" w:cs="Times New Roman" w:eastAsia="Times New Roman" w:hAnsi="Times New Roman"/>
          <w:sz w:val="20"/>
          <w:szCs w:val="20"/>
          <w:color w:val="auto"/>
        </w:rPr>
      </w:pPr>
    </w:p>
    <w:p>
      <w:pPr>
        <w:ind w:left="1500" w:right="20" w:hanging="690"/>
        <w:spacing w:after="0" w:line="269" w:lineRule="auto"/>
        <w:tabs>
          <w:tab w:leader="none" w:pos="1201"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attempt to dispose of the RSUs, any interest in the RSUs, or any Shares in respect of the RSUs in a manner contrary to the terms of this Agreement will be void and of no effect.</w:t>
      </w:r>
    </w:p>
    <w:p>
      <w:pPr>
        <w:spacing w:after="0" w:line="159" w:lineRule="exact"/>
        <w:rPr>
          <w:rFonts w:ascii="Times New Roman" w:cs="Times New Roman" w:eastAsia="Times New Roman" w:hAnsi="Times New Roman"/>
          <w:sz w:val="20"/>
          <w:szCs w:val="20"/>
          <w:color w:val="auto"/>
        </w:rPr>
      </w:pPr>
    </w:p>
    <w:p>
      <w:pPr>
        <w:ind w:left="760" w:hanging="752"/>
        <w:spacing w:after="0" w:line="269" w:lineRule="auto"/>
        <w:tabs>
          <w:tab w:leader="none" w:pos="43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Period</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Restricted Period</w:t>
      </w:r>
      <w:r>
        <w:rPr>
          <w:rFonts w:ascii="Times New Roman" w:cs="Times New Roman" w:eastAsia="Times New Roman" w:hAnsi="Times New Roman"/>
          <w:sz w:val="20"/>
          <w:szCs w:val="20"/>
          <w:color w:val="auto"/>
        </w:rPr>
        <w:t xml:space="preserve">” is the period beginning on the Grant Date and ending on the date the RSUs, or such applicable portion of the RSUs, are deemed earned and payable under the terms set forth in </w:t>
      </w:r>
      <w:r>
        <w:rPr>
          <w:rFonts w:ascii="Times New Roman" w:cs="Times New Roman" w:eastAsia="Times New Roman" w:hAnsi="Times New Roman"/>
          <w:sz w:val="20"/>
          <w:szCs w:val="20"/>
          <w:b w:val="1"/>
          <w:bCs w:val="1"/>
          <w:u w:val="single" w:color="auto"/>
          <w:color w:val="auto"/>
        </w:rPr>
        <w:t>Exhibit A</w:t>
      </w:r>
      <w:r>
        <w:rPr>
          <w:rFonts w:ascii="Times New Roman" w:cs="Times New Roman" w:eastAsia="Times New Roman" w:hAnsi="Times New Roman"/>
          <w:sz w:val="20"/>
          <w:szCs w:val="20"/>
          <w:color w:val="auto"/>
        </w:rPr>
        <w:t xml:space="preserve"> attached hereto.</w:t>
      </w:r>
    </w:p>
    <w:p>
      <w:pPr>
        <w:spacing w:after="0" w:line="159" w:lineRule="exact"/>
        <w:rPr>
          <w:rFonts w:ascii="Times New Roman" w:cs="Times New Roman" w:eastAsia="Times New Roman" w:hAnsi="Times New Roman"/>
          <w:sz w:val="20"/>
          <w:szCs w:val="20"/>
          <w:color w:val="auto"/>
        </w:rPr>
      </w:pPr>
    </w:p>
    <w:p>
      <w:pPr>
        <w:ind w:left="760" w:hanging="752"/>
        <w:spacing w:after="0" w:line="245" w:lineRule="auto"/>
        <w:tabs>
          <w:tab w:leader="none" w:pos="43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 Equivalents</w:t>
      </w:r>
      <w:r>
        <w:rPr>
          <w:rFonts w:ascii="Times New Roman" w:cs="Times New Roman" w:eastAsia="Times New Roman" w:hAnsi="Times New Roman"/>
          <w:sz w:val="20"/>
          <w:szCs w:val="20"/>
          <w:color w:val="auto"/>
        </w:rPr>
        <w:t>. Each RSU will be credited with any cash and stock dividends paid by the Company in respect of 1 Share (“</w:t>
      </w:r>
      <w:r>
        <w:rPr>
          <w:rFonts w:ascii="Times New Roman" w:cs="Times New Roman" w:eastAsia="Times New Roman" w:hAnsi="Times New Roman"/>
          <w:sz w:val="20"/>
          <w:szCs w:val="20"/>
          <w:u w:val="single" w:color="auto"/>
          <w:color w:val="auto"/>
        </w:rPr>
        <w:t>Dividend Equivalents</w:t>
      </w:r>
      <w:r>
        <w:rPr>
          <w:rFonts w:ascii="Times New Roman" w:cs="Times New Roman" w:eastAsia="Times New Roman" w:hAnsi="Times New Roman"/>
          <w:sz w:val="20"/>
          <w:szCs w:val="20"/>
          <w:color w:val="auto"/>
        </w:rPr>
        <w:t>”). Dividend Equivalents will be accrued by the Company and credited to you and will not bear interest. Dividend Equivalents credited to you and attributable to any particular RSU will be distributed to you in cash (or, if determined by the Committee, in Shares having a Fair Market Value equal to the amount of such Dividend Equivalents) upon Settlement of the RSU to which the Dividend Equivalent is attributable and, if the RSU is forfeited, you will have no right to such Dividend Equivalent.</w:t>
      </w:r>
    </w:p>
    <w:p>
      <w:pPr>
        <w:spacing w:after="0" w:line="184" w:lineRule="exact"/>
        <w:rPr>
          <w:rFonts w:ascii="Times New Roman" w:cs="Times New Roman" w:eastAsia="Times New Roman" w:hAnsi="Times New Roman"/>
          <w:sz w:val="20"/>
          <w:szCs w:val="20"/>
          <w:color w:val="auto"/>
        </w:rPr>
      </w:pPr>
    </w:p>
    <w:p>
      <w:pPr>
        <w:ind w:left="760" w:hanging="752"/>
        <w:spacing w:after="0" w:line="249" w:lineRule="auto"/>
        <w:tabs>
          <w:tab w:leader="none" w:pos="43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Forfeiture</w:t>
      </w:r>
      <w:r>
        <w:rPr>
          <w:rFonts w:ascii="Times New Roman" w:cs="Times New Roman" w:eastAsia="Times New Roman" w:hAnsi="Times New Roman"/>
          <w:sz w:val="20"/>
          <w:szCs w:val="20"/>
          <w:color w:val="auto"/>
        </w:rPr>
        <w:t xml:space="preserve">. If, during the Restricted Period, (a) you incur a Separation from Service (for the avoidance of doubt, which does not otherwise result in the immediate or continued earning and payment of the RSUs), (b) you materially breach this Agreement, or (c) you fail to meet the tax withholding obligations described in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below, you will immediately and automatically forfeit all of your rights in respect of the RSUs.</w:t>
      </w:r>
    </w:p>
    <w:p>
      <w:pPr>
        <w:spacing w:after="0" w:line="179"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Settlement of RSUs</w:t>
      </w:r>
      <w:r>
        <w:rPr>
          <w:rFonts w:ascii="Times New Roman" w:cs="Times New Roman" w:eastAsia="Times New Roman" w:hAnsi="Times New Roman"/>
          <w:sz w:val="20"/>
          <w:szCs w:val="20"/>
          <w:color w:val="auto"/>
        </w:rPr>
        <w:t>. Settlement of RSUs under this Agreement will be subject to the following:</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0"/>
          <w:szCs w:val="20"/>
          <w:b w:val="1"/>
          <w:bCs w:val="1"/>
          <w:color w:val="auto"/>
        </w:rPr>
        <w:t>2</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color w:val="auto"/>
        </w:rPr>
        <w:t>Exhibit 10.7</w:t>
      </w:r>
    </w:p>
    <w:p>
      <w:pPr>
        <w:spacing w:after="0" w:line="200" w:lineRule="exact"/>
        <w:rPr>
          <w:sz w:val="20"/>
          <w:szCs w:val="20"/>
          <w:color w:val="auto"/>
        </w:rPr>
      </w:pPr>
    </w:p>
    <w:p>
      <w:pPr>
        <w:spacing w:after="0" w:line="304" w:lineRule="exact"/>
        <w:rPr>
          <w:sz w:val="20"/>
          <w:szCs w:val="20"/>
          <w:color w:val="auto"/>
        </w:rPr>
      </w:pPr>
    </w:p>
    <w:p>
      <w:pPr>
        <w:ind w:left="1500" w:hanging="690"/>
        <w:spacing w:after="0" w:line="254" w:lineRule="auto"/>
        <w:tabs>
          <w:tab w:leader="none" w:pos="1201"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deliver to you 1 Share—or a cash amount equal to the Fair Market Value of 1 Share—for each RSU that has become earned and payable as soon as administratively practicable after the end of the applicable Restricted Period, subject to the following:</w:t>
      </w:r>
    </w:p>
    <w:p>
      <w:pPr>
        <w:spacing w:after="0" w:line="174" w:lineRule="exact"/>
        <w:rPr>
          <w:rFonts w:ascii="Times New Roman" w:cs="Times New Roman" w:eastAsia="Times New Roman" w:hAnsi="Times New Roman"/>
          <w:sz w:val="20"/>
          <w:szCs w:val="20"/>
          <w:color w:val="auto"/>
        </w:rPr>
      </w:pPr>
    </w:p>
    <w:p>
      <w:pPr>
        <w:ind w:left="1900" w:hanging="394"/>
        <w:spacing w:after="0"/>
        <w:tabs>
          <w:tab w:leader="none" w:pos="190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PRSUs will be settled in Shares; and</w:t>
      </w:r>
    </w:p>
    <w:p>
      <w:pPr>
        <w:spacing w:after="0" w:line="215" w:lineRule="exact"/>
        <w:rPr>
          <w:rFonts w:ascii="Times New Roman" w:cs="Times New Roman" w:eastAsia="Times New Roman" w:hAnsi="Times New Roman"/>
          <w:sz w:val="20"/>
          <w:szCs w:val="20"/>
          <w:color w:val="auto"/>
        </w:rPr>
      </w:pPr>
    </w:p>
    <w:p>
      <w:pPr>
        <w:ind w:left="1900" w:hanging="394"/>
        <w:spacing w:after="0"/>
        <w:tabs>
          <w:tab w:leader="none" w:pos="190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TRSUs will be settled in Shares.</w:t>
      </w:r>
    </w:p>
    <w:p>
      <w:pPr>
        <w:spacing w:after="0" w:line="215" w:lineRule="exact"/>
        <w:rPr>
          <w:rFonts w:ascii="Times New Roman" w:cs="Times New Roman" w:eastAsia="Times New Roman" w:hAnsi="Times New Roman"/>
          <w:sz w:val="20"/>
          <w:szCs w:val="20"/>
          <w:color w:val="auto"/>
        </w:rPr>
      </w:pPr>
    </w:p>
    <w:p>
      <w:pPr>
        <w:ind w:left="1500" w:right="40" w:hanging="690"/>
        <w:spacing w:after="0" w:line="269" w:lineRule="auto"/>
        <w:tabs>
          <w:tab w:leader="none" w:pos="1201"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issuance of Shares under the Award may be effected on a non-certificated basis, to the extent not prohibited by Applicable Law.</w:t>
      </w:r>
    </w:p>
    <w:p>
      <w:pPr>
        <w:spacing w:after="0" w:line="159" w:lineRule="exact"/>
        <w:rPr>
          <w:rFonts w:ascii="Times New Roman" w:cs="Times New Roman" w:eastAsia="Times New Roman" w:hAnsi="Times New Roman"/>
          <w:sz w:val="20"/>
          <w:szCs w:val="20"/>
          <w:color w:val="auto"/>
        </w:rPr>
      </w:pPr>
    </w:p>
    <w:p>
      <w:pPr>
        <w:ind w:left="1500" w:right="20" w:hanging="690"/>
        <w:spacing w:after="0" w:line="269" w:lineRule="auto"/>
        <w:tabs>
          <w:tab w:leader="none" w:pos="1201"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certificate for Shares is delivered to you under the Award, the certificate may bear the following or a similar legend as determined by the Company:</w:t>
      </w:r>
    </w:p>
    <w:p>
      <w:pPr>
        <w:spacing w:after="0" w:line="56" w:lineRule="exact"/>
        <w:rPr>
          <w:sz w:val="20"/>
          <w:szCs w:val="20"/>
          <w:color w:val="auto"/>
        </w:rPr>
      </w:pPr>
    </w:p>
    <w:p>
      <w:pPr>
        <w:jc w:val="both"/>
        <w:ind w:left="1700" w:right="200"/>
        <w:spacing w:after="0" w:line="261" w:lineRule="auto"/>
        <w:rPr>
          <w:sz w:val="20"/>
          <w:szCs w:val="20"/>
          <w:color w:val="auto"/>
        </w:rPr>
      </w:pPr>
      <w:r>
        <w:rPr>
          <w:rFonts w:ascii="Times New Roman" w:cs="Times New Roman" w:eastAsia="Times New Roman" w:hAnsi="Times New Roman"/>
          <w:sz w:val="18"/>
          <w:szCs w:val="18"/>
          <w:color w:val="auto"/>
        </w:rPr>
        <w:t>The ownership and transferability of this certificate and the shares of stock represented hereby are subject to the terms (including forfeiture) of the LSB Industries, Inc. 2016 Long Term Incentive Plan and an RSU award agreement entered into between the registered owner and LSB Industries, Inc. Copies of such plan and agreement are on file in the executive offices of LSB Industries, Inc.</w:t>
      </w:r>
    </w:p>
    <w:p>
      <w:pPr>
        <w:spacing w:after="0" w:line="67" w:lineRule="exact"/>
        <w:rPr>
          <w:sz w:val="20"/>
          <w:szCs w:val="20"/>
          <w:color w:val="auto"/>
        </w:rPr>
      </w:pPr>
    </w:p>
    <w:p>
      <w:pPr>
        <w:jc w:val="both"/>
        <w:ind w:left="1500"/>
        <w:spacing w:after="0" w:line="254" w:lineRule="auto"/>
        <w:rPr>
          <w:sz w:val="20"/>
          <w:szCs w:val="20"/>
          <w:color w:val="auto"/>
        </w:rPr>
      </w:pPr>
      <w:r>
        <w:rPr>
          <w:rFonts w:ascii="Times New Roman" w:cs="Times New Roman" w:eastAsia="Times New Roman" w:hAnsi="Times New Roman"/>
          <w:sz w:val="20"/>
          <w:szCs w:val="20"/>
          <w:color w:val="auto"/>
        </w:rPr>
        <w:t>In addition, any stock certificates for Shares will be subject to any stop-transfer orders and other restrictions as the Company may deem advisable under applicable law, and the Company may cause a legend or legends to be placed on any certificates to make appropriate reference to these restrictions.</w:t>
      </w:r>
    </w:p>
    <w:p>
      <w:pPr>
        <w:spacing w:after="0" w:line="174" w:lineRule="exact"/>
        <w:rPr>
          <w:sz w:val="20"/>
          <w:szCs w:val="20"/>
          <w:color w:val="auto"/>
        </w:rPr>
      </w:pPr>
    </w:p>
    <w:p>
      <w:pPr>
        <w:ind w:left="760" w:hanging="752"/>
        <w:spacing w:after="0" w:line="244" w:lineRule="auto"/>
        <w:tabs>
          <w:tab w:leader="none" w:pos="434"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Regardless of any action the Company may take that is related to any or all income tax, payroll tax, or other tax-related withholding under the Plan (“</w:t>
      </w:r>
      <w:r>
        <w:rPr>
          <w:rFonts w:ascii="Times New Roman" w:cs="Times New Roman" w:eastAsia="Times New Roman" w:hAnsi="Times New Roman"/>
          <w:sz w:val="20"/>
          <w:szCs w:val="20"/>
          <w:u w:val="single" w:color="auto"/>
          <w:color w:val="auto"/>
        </w:rPr>
        <w:t>Tax-Related Items</w:t>
      </w:r>
      <w:r>
        <w:rPr>
          <w:rFonts w:ascii="Times New Roman" w:cs="Times New Roman" w:eastAsia="Times New Roman" w:hAnsi="Times New Roman"/>
          <w:sz w:val="20"/>
          <w:szCs w:val="20"/>
          <w:color w:val="auto"/>
        </w:rPr>
        <w:t xml:space="preserve">”), the ultimate liability for all Tax-Related Items owed by you is and will remain your responsibility. The Company (a) makes no representations or undertakings regarding the treatment of any Tax-Related Items and (b) does not commit to structure the terms of the Award to reduce or eliminate your liability for Tax-Related Items. You will be required to meet any applicable tax withholding obligation in accordance with the tax withholding terms of </w:t>
      </w:r>
      <w:r>
        <w:rPr>
          <w:rFonts w:ascii="Times New Roman" w:cs="Times New Roman" w:eastAsia="Times New Roman" w:hAnsi="Times New Roman"/>
          <w:sz w:val="20"/>
          <w:szCs w:val="20"/>
          <w:u w:val="single" w:color="auto"/>
          <w:color w:val="auto"/>
        </w:rPr>
        <w:t>Section 7 of the Plan</w:t>
      </w:r>
      <w:r>
        <w:rPr>
          <w:rFonts w:ascii="Times New Roman" w:cs="Times New Roman" w:eastAsia="Times New Roman" w:hAnsi="Times New Roman"/>
          <w:sz w:val="20"/>
          <w:szCs w:val="20"/>
          <w:color w:val="auto"/>
        </w:rPr>
        <w:t xml:space="preserve"> (and any successor terms). The RSUs are intended to be exempt from Section 409A, and this Agreement will be administered and interpreted consistently with that intent and with the terms of </w:t>
      </w:r>
      <w:r>
        <w:rPr>
          <w:rFonts w:ascii="Times New Roman" w:cs="Times New Roman" w:eastAsia="Times New Roman" w:hAnsi="Times New Roman"/>
          <w:sz w:val="20"/>
          <w:szCs w:val="20"/>
          <w:u w:val="single" w:color="auto"/>
          <w:color w:val="auto"/>
        </w:rPr>
        <w:t>Section 19 of the Plan</w:t>
      </w:r>
      <w:r>
        <w:rPr>
          <w:rFonts w:ascii="Times New Roman" w:cs="Times New Roman" w:eastAsia="Times New Roman" w:hAnsi="Times New Roman"/>
          <w:sz w:val="20"/>
          <w:szCs w:val="20"/>
          <w:color w:val="auto"/>
        </w:rPr>
        <w:t xml:space="preserve"> (and any successor terms).</w:t>
      </w:r>
    </w:p>
    <w:p>
      <w:pPr>
        <w:spacing w:after="0" w:line="185" w:lineRule="exact"/>
        <w:rPr>
          <w:rFonts w:ascii="Times New Roman" w:cs="Times New Roman" w:eastAsia="Times New Roman" w:hAnsi="Times New Roman"/>
          <w:sz w:val="20"/>
          <w:szCs w:val="20"/>
          <w:color w:val="auto"/>
        </w:rPr>
      </w:pPr>
    </w:p>
    <w:p>
      <w:pPr>
        <w:ind w:left="760" w:hanging="752"/>
        <w:spacing w:after="0" w:line="269" w:lineRule="auto"/>
        <w:tabs>
          <w:tab w:leader="none" w:pos="407"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w:t>
      </w:r>
      <w:r>
        <w:rPr>
          <w:rFonts w:ascii="Times New Roman" w:cs="Times New Roman" w:eastAsia="Times New Roman" w:hAnsi="Times New Roman"/>
          <w:sz w:val="20"/>
          <w:szCs w:val="20"/>
          <w:color w:val="auto"/>
        </w:rPr>
        <w:t xml:space="preserve">. Upon any event described in </w:t>
      </w:r>
      <w:r>
        <w:rPr>
          <w:rFonts w:ascii="Times New Roman" w:cs="Times New Roman" w:eastAsia="Times New Roman" w:hAnsi="Times New Roman"/>
          <w:sz w:val="20"/>
          <w:szCs w:val="20"/>
          <w:u w:val="single" w:color="auto"/>
          <w:color w:val="auto"/>
        </w:rPr>
        <w:t>Section 8 of the Plan</w:t>
      </w:r>
      <w:r>
        <w:rPr>
          <w:rFonts w:ascii="Times New Roman" w:cs="Times New Roman" w:eastAsia="Times New Roman" w:hAnsi="Times New Roman"/>
          <w:sz w:val="20"/>
          <w:szCs w:val="20"/>
          <w:color w:val="auto"/>
        </w:rPr>
        <w:t xml:space="preserve"> (and any successor terms) occurring after the Grant Date, the adjustment terms of that section will apply to the Award.</w:t>
      </w:r>
    </w:p>
    <w:p>
      <w:pPr>
        <w:spacing w:after="0" w:line="159" w:lineRule="exact"/>
        <w:rPr>
          <w:rFonts w:ascii="Times New Roman" w:cs="Times New Roman" w:eastAsia="Times New Roman" w:hAnsi="Times New Roman"/>
          <w:sz w:val="20"/>
          <w:szCs w:val="20"/>
          <w:color w:val="auto"/>
        </w:rPr>
      </w:pPr>
    </w:p>
    <w:p>
      <w:pPr>
        <w:ind w:left="760" w:hanging="752"/>
        <w:spacing w:after="0" w:line="245" w:lineRule="auto"/>
        <w:tabs>
          <w:tab w:leader="none" w:pos="421"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Bound by Plan and Committee Decisions</w:t>
      </w:r>
      <w:r>
        <w:rPr>
          <w:rFonts w:ascii="Times New Roman" w:cs="Times New Roman" w:eastAsia="Times New Roman" w:hAnsi="Times New Roman"/>
          <w:sz w:val="20"/>
          <w:szCs w:val="20"/>
          <w:color w:val="auto"/>
        </w:rPr>
        <w:t>. By accepting the Award, you acknowledge that you have received a copy of the Plan and have had an opportunity to review the Plan, and you agree to be bound by all of the terms of the Plan. If there is any conflict between this Agreement and the Plan, the Plan will control. The authority to manage and control the operation and administration of this Agreement and the Plan is vested in the Committee. The Committee has all powers under this Agreement that it has under the Plan. Any interpretation of this Agreement or the Plan by the Committee and any decision made by the Committee related to the Agreement or the Plan will be final and binding on all Persons.</w:t>
      </w:r>
    </w:p>
    <w:p>
      <w:pPr>
        <w:spacing w:after="0" w:line="184" w:lineRule="exact"/>
        <w:rPr>
          <w:rFonts w:ascii="Times New Roman" w:cs="Times New Roman" w:eastAsia="Times New Roman" w:hAnsi="Times New Roman"/>
          <w:sz w:val="20"/>
          <w:szCs w:val="20"/>
          <w:color w:val="auto"/>
        </w:rPr>
      </w:pPr>
    </w:p>
    <w:p>
      <w:pPr>
        <w:ind w:left="760" w:hanging="752"/>
        <w:spacing w:after="0" w:line="266" w:lineRule="auto"/>
        <w:tabs>
          <w:tab w:leader="none" w:pos="461"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Regulatory and Other Limitations</w:t>
      </w:r>
      <w:r>
        <w:rPr>
          <w:rFonts w:ascii="Times New Roman" w:cs="Times New Roman" w:eastAsia="Times New Roman" w:hAnsi="Times New Roman"/>
          <w:sz w:val="19"/>
          <w:szCs w:val="19"/>
          <w:color w:val="auto"/>
        </w:rPr>
        <w:t>. Notwithstanding anything else in this Agreement, the Committee may impose conditions, restrictions, and limitations on the issuance of Shares under the Award unless and until the Committee determines that the issuance complies with (a) all registration requirements under the Securities Act, (b) all listing requirements of any securities exchange or similar entity on which the Shares are listed, (c) all Company policies and administrative rules, and (d) all applicable laws.</w:t>
      </w:r>
    </w:p>
    <w:p>
      <w:pPr>
        <w:spacing w:after="0" w:line="165" w:lineRule="exact"/>
        <w:rPr>
          <w:rFonts w:ascii="Times New Roman" w:cs="Times New Roman" w:eastAsia="Times New Roman" w:hAnsi="Times New Roman"/>
          <w:sz w:val="19"/>
          <w:szCs w:val="19"/>
          <w:color w:val="auto"/>
        </w:rPr>
      </w:pPr>
    </w:p>
    <w:p>
      <w:pPr>
        <w:ind w:left="400" w:hanging="392"/>
        <w:spacing w:after="0"/>
        <w:tabs>
          <w:tab w:leader="none" w:pos="4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500" w:hanging="690"/>
        <w:spacing w:after="0" w:line="269" w:lineRule="auto"/>
        <w:tabs>
          <w:tab w:leader="none" w:pos="1228"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that may be required or permitted under this Agreement must be in writing and may be delivered personally, by intraoffice mail, or by electronic mail or via a postal service</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0"/>
          <w:szCs w:val="20"/>
          <w:b w:val="1"/>
          <w:bCs w:val="1"/>
          <w:color w:val="auto"/>
        </w:rPr>
        <w:t>3</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color w:val="auto"/>
        </w:rPr>
        <w:t>Exhibit 10.7</w:t>
      </w:r>
    </w:p>
    <w:p>
      <w:pPr>
        <w:spacing w:after="0" w:line="200" w:lineRule="exact"/>
        <w:rPr>
          <w:sz w:val="20"/>
          <w:szCs w:val="20"/>
          <w:color w:val="auto"/>
        </w:rPr>
      </w:pPr>
    </w:p>
    <w:p>
      <w:pPr>
        <w:spacing w:after="0" w:line="304" w:lineRule="exact"/>
        <w:rPr>
          <w:sz w:val="20"/>
          <w:szCs w:val="20"/>
          <w:color w:val="auto"/>
        </w:rPr>
      </w:pPr>
    </w:p>
    <w:p>
      <w:pPr>
        <w:jc w:val="both"/>
        <w:ind w:left="690"/>
        <w:spacing w:after="0" w:line="269" w:lineRule="auto"/>
        <w:rPr>
          <w:sz w:val="20"/>
          <w:szCs w:val="20"/>
          <w:color w:val="auto"/>
        </w:rPr>
      </w:pPr>
      <w:r>
        <w:rPr>
          <w:rFonts w:ascii="Times New Roman" w:cs="Times New Roman" w:eastAsia="Times New Roman" w:hAnsi="Times New Roman"/>
          <w:sz w:val="20"/>
          <w:szCs w:val="20"/>
          <w:color w:val="auto"/>
        </w:rPr>
        <w:t>(postage prepaid) to the electronic mail or postal address and directed to the person as the receiving party may designate in writing from time to time.</w:t>
      </w:r>
    </w:p>
    <w:p>
      <w:pPr>
        <w:spacing w:after="0" w:line="159" w:lineRule="exact"/>
        <w:rPr>
          <w:sz w:val="20"/>
          <w:szCs w:val="20"/>
          <w:color w:val="auto"/>
        </w:rPr>
      </w:pPr>
    </w:p>
    <w:p>
      <w:pPr>
        <w:ind w:left="690" w:hanging="690"/>
        <w:spacing w:after="0" w:line="269" w:lineRule="auto"/>
        <w:tabs>
          <w:tab w:leader="none" w:pos="39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The waiver by any party to this Agreement of a breach of any term of the Agreement will not operate or be construed as a waiver of any other or subsequent breach.</w:t>
      </w:r>
    </w:p>
    <w:p>
      <w:pPr>
        <w:spacing w:after="0" w:line="159" w:lineRule="exact"/>
        <w:rPr>
          <w:rFonts w:ascii="Times New Roman" w:cs="Times New Roman" w:eastAsia="Times New Roman" w:hAnsi="Times New Roman"/>
          <w:sz w:val="20"/>
          <w:szCs w:val="20"/>
          <w:color w:val="auto"/>
        </w:rPr>
      </w:pPr>
    </w:p>
    <w:p>
      <w:pPr>
        <w:ind w:left="690" w:hanging="690"/>
        <w:spacing w:after="0" w:line="269" w:lineRule="auto"/>
        <w:tabs>
          <w:tab w:leader="none" w:pos="39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and the Plan constitute the entire agreement between you and the Company related to the Award. Any prior agreements, commitments, or negotiations related the Award are superseded.</w:t>
      </w:r>
    </w:p>
    <w:p>
      <w:pPr>
        <w:spacing w:after="0" w:line="159" w:lineRule="exact"/>
        <w:rPr>
          <w:rFonts w:ascii="Times New Roman" w:cs="Times New Roman" w:eastAsia="Times New Roman" w:hAnsi="Times New Roman"/>
          <w:sz w:val="20"/>
          <w:szCs w:val="20"/>
          <w:color w:val="auto"/>
        </w:rPr>
      </w:pPr>
    </w:p>
    <w:p>
      <w:pPr>
        <w:ind w:left="690" w:hanging="690"/>
        <w:spacing w:after="0" w:line="245" w:lineRule="auto"/>
        <w:tabs>
          <w:tab w:leader="none" w:pos="39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 Successors</w:t>
      </w:r>
      <w:r>
        <w:rPr>
          <w:rFonts w:ascii="Times New Roman" w:cs="Times New Roman" w:eastAsia="Times New Roman" w:hAnsi="Times New Roman"/>
          <w:sz w:val="20"/>
          <w:szCs w:val="20"/>
          <w:color w:val="auto"/>
        </w:rPr>
        <w:t>. The obligations and rights of the Company under this Agreement will be binding upon and inure to the benefit of the Company and any successor corporation or organization resulting from the merger, consolidation, sale, or other reorganization of the Company, or upon any successor corporation or organization succeeding to substantially all of the assets and business of the Company. Your obligations and rights under this Agreement will be binding upon and inure to your benefit and the benefit of your beneficiaries, executors, administrators, heirs, and successors.</w:t>
      </w:r>
    </w:p>
    <w:p>
      <w:pPr>
        <w:spacing w:after="0" w:line="184" w:lineRule="exact"/>
        <w:rPr>
          <w:rFonts w:ascii="Times New Roman" w:cs="Times New Roman" w:eastAsia="Times New Roman" w:hAnsi="Times New Roman"/>
          <w:sz w:val="20"/>
          <w:szCs w:val="20"/>
          <w:color w:val="auto"/>
        </w:rPr>
      </w:pPr>
    </w:p>
    <w:p>
      <w:pPr>
        <w:ind w:left="690" w:hanging="690"/>
        <w:spacing w:after="0" w:line="269" w:lineRule="auto"/>
        <w:tabs>
          <w:tab w:leader="none" w:pos="40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Jurisdiction</w:t>
      </w:r>
      <w:r>
        <w:rPr>
          <w:rFonts w:ascii="Times New Roman" w:cs="Times New Roman" w:eastAsia="Times New Roman" w:hAnsi="Times New Roman"/>
          <w:sz w:val="20"/>
          <w:szCs w:val="20"/>
          <w:color w:val="auto"/>
        </w:rPr>
        <w:t xml:space="preserve">. You acknowledge and expressly agree to the governing law and jurisdiction terms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9(c) of the Plan</w:t>
      </w:r>
      <w:r>
        <w:rPr>
          <w:rFonts w:ascii="Times New Roman" w:cs="Times New Roman" w:eastAsia="Times New Roman" w:hAnsi="Times New Roman"/>
          <w:sz w:val="20"/>
          <w:szCs w:val="20"/>
          <w:color w:val="auto"/>
        </w:rPr>
        <w:t xml:space="preserve"> (and any successor terms).</w:t>
      </w:r>
    </w:p>
    <w:p>
      <w:pPr>
        <w:spacing w:after="0" w:line="159" w:lineRule="exact"/>
        <w:rPr>
          <w:rFonts w:ascii="Times New Roman" w:cs="Times New Roman" w:eastAsia="Times New Roman" w:hAnsi="Times New Roman"/>
          <w:sz w:val="20"/>
          <w:szCs w:val="20"/>
          <w:color w:val="auto"/>
        </w:rPr>
      </w:pPr>
    </w:p>
    <w:p>
      <w:pPr>
        <w:ind w:left="690" w:hanging="690"/>
        <w:spacing w:after="0" w:line="269" w:lineRule="auto"/>
        <w:tabs>
          <w:tab w:leader="none" w:pos="39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This Agreement may be amended at any time by the Committee, except that no amendment may, without your consent, materially and adversely affect your rights under the Award.</w:t>
      </w:r>
    </w:p>
    <w:p>
      <w:pPr>
        <w:spacing w:after="0" w:line="159" w:lineRule="exact"/>
        <w:rPr>
          <w:rFonts w:ascii="Times New Roman" w:cs="Times New Roman" w:eastAsia="Times New Roman" w:hAnsi="Times New Roman"/>
          <w:sz w:val="20"/>
          <w:szCs w:val="20"/>
          <w:color w:val="auto"/>
        </w:rPr>
      </w:pPr>
    </w:p>
    <w:p>
      <w:pPr>
        <w:ind w:left="690" w:hanging="690"/>
        <w:spacing w:after="0" w:line="254" w:lineRule="auto"/>
        <w:tabs>
          <w:tab w:leader="none" w:pos="417"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invalidity or unenforceability of any term of the Plan or this Agreement will not affect the validity or enforceability of any other term of the Plan or this Agreement, and each other term of the Plan and this Agreement will be severable and enforceable to the extent permitted by applicable law.</w:t>
      </w:r>
    </w:p>
    <w:p>
      <w:pPr>
        <w:spacing w:after="0" w:line="174" w:lineRule="exact"/>
        <w:rPr>
          <w:rFonts w:ascii="Times New Roman" w:cs="Times New Roman" w:eastAsia="Times New Roman" w:hAnsi="Times New Roman"/>
          <w:sz w:val="20"/>
          <w:szCs w:val="20"/>
          <w:color w:val="auto"/>
        </w:rPr>
      </w:pPr>
    </w:p>
    <w:p>
      <w:pPr>
        <w:ind w:left="690" w:hanging="690"/>
        <w:spacing w:after="0" w:line="244" w:lineRule="auto"/>
        <w:tabs>
          <w:tab w:leader="none" w:pos="39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Rights to Service; No Impact on Other Benefits</w:t>
      </w:r>
      <w:r>
        <w:rPr>
          <w:rFonts w:ascii="Times New Roman" w:cs="Times New Roman" w:eastAsia="Times New Roman" w:hAnsi="Times New Roman"/>
          <w:sz w:val="20"/>
          <w:szCs w:val="20"/>
          <w:color w:val="auto"/>
        </w:rPr>
        <w:t>. Nothing in this Agreement will be construed as giving you any right to be retained in any position with the Company or its Affiliates. Nothing in this Agreement will interfere with or restrict the rights of the Company or its Affiliates—which are expressly reserved—to remove, terminate, or discharge you at any time for any reason whatsoever or for no reason, subject to the Company’s certificate of incorporation, bylaws, and other similar governing documents and applicable law. The value of the RSUs is not part of your normal or expected compensation for purposes of calculating any severance, retirement, welfare, insurance, or similar employee benefit. The grant of the RSUs does not create any right to receive any future awards.</w:t>
      </w:r>
    </w:p>
    <w:p>
      <w:pPr>
        <w:spacing w:after="0" w:line="185" w:lineRule="exact"/>
        <w:rPr>
          <w:rFonts w:ascii="Times New Roman" w:cs="Times New Roman" w:eastAsia="Times New Roman" w:hAnsi="Times New Roman"/>
          <w:sz w:val="20"/>
          <w:szCs w:val="20"/>
          <w:color w:val="auto"/>
        </w:rPr>
      </w:pPr>
    </w:p>
    <w:p>
      <w:pPr>
        <w:ind w:left="690" w:hanging="690"/>
        <w:spacing w:after="0" w:line="269" w:lineRule="auto"/>
        <w:tabs>
          <w:tab w:leader="none" w:pos="40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You must, upon request of the Company, do all acts and execute, deliver, and perform all additional documents, instruments, and agreements that may be reasonably required by the Company to implement this Agreement.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370"/>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0"/>
          <w:szCs w:val="20"/>
          <w:b w:val="1"/>
          <w:bCs w:val="1"/>
          <w:color w:val="auto"/>
        </w:rPr>
        <w:t>4</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483870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30"/>
          </w:cols>
          <w:pgMar w:left="1130" w:top="378"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color w:val="auto"/>
        </w:rPr>
        <w:t>Exhibit 10.7</w:t>
      </w:r>
    </w:p>
    <w:p>
      <w:pPr>
        <w:spacing w:after="0" w:line="113" w:lineRule="exact"/>
        <w:rPr>
          <w:sz w:val="20"/>
          <w:szCs w:val="20"/>
          <w:color w:val="auto"/>
        </w:rPr>
      </w:pPr>
    </w:p>
    <w:p>
      <w:pPr>
        <w:ind w:left="1500" w:hanging="690"/>
        <w:spacing w:after="0" w:line="246" w:lineRule="auto"/>
        <w:tabs>
          <w:tab w:leader="none" w:pos="1201"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Clawback</w:t>
      </w:r>
      <w:r>
        <w:rPr>
          <w:rFonts w:ascii="Times New Roman" w:cs="Times New Roman" w:eastAsia="Times New Roman" w:hAnsi="Times New Roman"/>
          <w:sz w:val="20"/>
          <w:szCs w:val="20"/>
          <w:color w:val="auto"/>
        </w:rPr>
        <w:t xml:space="preserve">. You acknowledge and consent to </w:t>
      </w:r>
      <w:r>
        <w:rPr>
          <w:rFonts w:ascii="Times New Roman" w:cs="Times New Roman" w:eastAsia="Times New Roman" w:hAnsi="Times New Roman"/>
          <w:sz w:val="20"/>
          <w:szCs w:val="20"/>
          <w:u w:val="single" w:color="auto"/>
          <w:color w:val="auto"/>
        </w:rPr>
        <w:t>Section 9(l) of the Plan</w:t>
      </w:r>
      <w:r>
        <w:rPr>
          <w:rFonts w:ascii="Times New Roman" w:cs="Times New Roman" w:eastAsia="Times New Roman" w:hAnsi="Times New Roman"/>
          <w:sz w:val="20"/>
          <w:szCs w:val="20"/>
          <w:color w:val="auto"/>
        </w:rPr>
        <w:t xml:space="preserve"> regarding clawbacks, and to the Company’s application, implementation, and enforcement of any applicable Company clawback or similar policy that may apply to you, whether adopted before or after the Grant Date, and any term of applicable law relating to clawback, cancellation, recoupment, rescission, payback, or reduction of compensation, and the Company may take such actions as may be necessary to effectuate any such policy or applicable law, without further consideration or action.</w:t>
      </w:r>
    </w:p>
    <w:p>
      <w:pPr>
        <w:spacing w:after="0" w:line="184" w:lineRule="exact"/>
        <w:rPr>
          <w:rFonts w:ascii="Times New Roman" w:cs="Times New Roman" w:eastAsia="Times New Roman" w:hAnsi="Times New Roman"/>
          <w:sz w:val="20"/>
          <w:szCs w:val="20"/>
          <w:color w:val="auto"/>
        </w:rPr>
      </w:pPr>
    </w:p>
    <w:p>
      <w:pPr>
        <w:ind w:left="1500" w:hanging="690"/>
        <w:spacing w:after="0" w:line="249" w:lineRule="auto"/>
        <w:tabs>
          <w:tab w:leader="none" w:pos="1201"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 and Acceptance</w:t>
      </w:r>
      <w:r>
        <w:rPr>
          <w:rFonts w:ascii="Times New Roman" w:cs="Times New Roman" w:eastAsia="Times New Roman" w:hAnsi="Times New Roman"/>
          <w:sz w:val="20"/>
          <w:szCs w:val="20"/>
          <w:color w:val="auto"/>
        </w:rPr>
        <w:t>. The Company may deliver any documents related to current or future participation in the Plan by electronic means. You consent to receive those documents by electronic delivery and to participate in the Plan through any on-line or electronic system established and maintained by the Company or a third party designated by the Company.</w:t>
      </w:r>
    </w:p>
    <w:p>
      <w:pPr>
        <w:spacing w:after="0" w:line="179" w:lineRule="exact"/>
        <w:rPr>
          <w:rFonts w:ascii="Times New Roman" w:cs="Times New Roman" w:eastAsia="Times New Roman" w:hAnsi="Times New Roman"/>
          <w:sz w:val="20"/>
          <w:szCs w:val="20"/>
          <w:color w:val="auto"/>
        </w:rPr>
      </w:pPr>
    </w:p>
    <w:p>
      <w:pPr>
        <w:ind w:left="760" w:hanging="752"/>
        <w:spacing w:after="0" w:line="254" w:lineRule="auto"/>
        <w:tabs>
          <w:tab w:leader="none" w:pos="407"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Your Representations</w:t>
      </w:r>
      <w:r>
        <w:rPr>
          <w:rFonts w:ascii="Times New Roman" w:cs="Times New Roman" w:eastAsia="Times New Roman" w:hAnsi="Times New Roman"/>
          <w:sz w:val="20"/>
          <w:szCs w:val="20"/>
          <w:color w:val="auto"/>
        </w:rPr>
        <w:t>. You represent to the Company that you have read and fully understand this Agreement and the Plan and that your decision to participate in the Plan is completely voluntary. You also acknowledge that you are relying solely on your own advisors regarding the tax consequences of the Award.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EXECUTED effective as of the Grant Date.</w:t>
      </w:r>
    </w:p>
    <w:p>
      <w:pPr>
        <w:spacing w:after="0" w:line="2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LSB INDUSTRIES, 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448310</wp:posOffset>
            </wp:positionV>
            <wp:extent cx="54864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64">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i w:val="1"/>
          <w:iCs w:val="1"/>
          <w:color w:val="auto"/>
        </w:rPr>
        <w:t>Signature</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-22860</wp:posOffset>
            </wp:positionV>
            <wp:extent cx="35052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65">
                      <a:extLst>
                        <a:ext uri="{28A0092B-C50C-407E-A947-70E740481C1C}"/>
                      </a:extLst>
                    </a:blip>
                    <a:srcRect/>
                    <a:stretch>
                      <a:fillRect/>
                    </a:stretch>
                  </pic:blipFill>
                  <pic:spPr bwMode="auto">
                    <a:xfrm>
                      <a:off x="0" y="0"/>
                      <a:ext cx="350520" cy="8890"/>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wp:posOffset>
            </wp:positionH>
            <wp:positionV relativeFrom="paragraph">
              <wp:posOffset>-29210</wp:posOffset>
            </wp:positionV>
            <wp:extent cx="25146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6">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448310</wp:posOffset>
            </wp:positionV>
            <wp:extent cx="54864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7">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i w:val="1"/>
          <w:iCs w:val="1"/>
          <w:color w:val="auto"/>
        </w:rPr>
        <w:t>Signature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RSU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color w:val="auto"/>
        </w:rPr>
        <w:t>Exhibit 10.7</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TIME-BASED VESTING RSUs (TRSUs)</w:t>
      </w:r>
    </w:p>
    <w:p>
      <w:pPr>
        <w:spacing w:after="0" w:line="200" w:lineRule="exact"/>
        <w:rPr>
          <w:sz w:val="20"/>
          <w:szCs w:val="20"/>
          <w:color w:val="auto"/>
        </w:rPr>
      </w:pPr>
    </w:p>
    <w:p>
      <w:pPr>
        <w:spacing w:after="0" w:line="23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Earning and Payment of TRSUs: </w:t>
      </w:r>
      <w:r>
        <w:rPr>
          <w:rFonts w:ascii="Times New Roman" w:cs="Times New Roman" w:eastAsia="Times New Roman" w:hAnsi="Times New Roman"/>
          <w:sz w:val="20"/>
          <w:szCs w:val="20"/>
          <w:color w:val="auto"/>
        </w:rPr>
        <w:t>Subject to</w:t>
      </w:r>
      <w:r>
        <w:rPr>
          <w:rFonts w:ascii="Times New Roman" w:cs="Times New Roman" w:eastAsia="Times New Roman" w:hAnsi="Times New Roman"/>
          <w:sz w:val="20"/>
          <w:szCs w:val="20"/>
          <w:b w:val="1"/>
          <w:bCs w:val="1"/>
          <w:color w:val="auto"/>
        </w:rPr>
        <w:t xml:space="preserve"> Accelerated Payment Events for TRSUs </w:t>
      </w:r>
      <w:r>
        <w:rPr>
          <w:rFonts w:ascii="Times New Roman" w:cs="Times New Roman" w:eastAsia="Times New Roman" w:hAnsi="Times New Roman"/>
          <w:sz w:val="20"/>
          <w:szCs w:val="20"/>
          <w:color w:val="auto"/>
        </w:rPr>
        <w:t>below, the TRSUs will become earned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payable as follows, as long as you do not have a Separation from Service before the applicable date:</w:t>
      </w:r>
    </w:p>
    <w:p>
      <w:pPr>
        <w:spacing w:after="0" w:line="152"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20"/>
          <w:szCs w:val="20"/>
          <w:b w:val="1"/>
          <w:bCs w:val="1"/>
          <w:color w:val="auto"/>
        </w:rPr>
        <w:t>Date</w:t>
      </w:r>
      <w:r>
        <w:rPr>
          <w:sz w:val="20"/>
          <w:szCs w:val="20"/>
          <w:color w:val="auto"/>
        </w:rPr>
        <w:tab/>
      </w:r>
      <w:r>
        <w:rPr>
          <w:rFonts w:ascii="Times New Roman" w:cs="Times New Roman" w:eastAsia="Times New Roman" w:hAnsi="Times New Roman"/>
          <w:sz w:val="20"/>
          <w:szCs w:val="20"/>
          <w:b w:val="1"/>
          <w:bCs w:val="1"/>
          <w:color w:val="auto"/>
        </w:rPr>
        <w:t>TRSUs Earned and Payable*</w:t>
      </w:r>
    </w:p>
    <w:p>
      <w:pPr>
        <w:ind w:left="120"/>
        <w:spacing w:after="0" w:line="218" w:lineRule="auto"/>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xml:space="preserve"> anniversary of Grant Date 1/3</w:t>
      </w:r>
    </w:p>
    <w:p>
      <w:pPr>
        <w:ind w:left="120"/>
        <w:spacing w:after="0" w:line="196" w:lineRule="auto"/>
        <w:rPr>
          <w:sz w:val="20"/>
          <w:szCs w:val="20"/>
          <w:color w:val="auto"/>
        </w:rPr>
      </w:pPr>
      <w:r>
        <w:rPr>
          <w:rFonts w:ascii="Times New Roman" w:cs="Times New Roman" w:eastAsia="Times New Roman" w:hAnsi="Times New Roman"/>
          <w:sz w:val="20"/>
          <w:szCs w:val="20"/>
          <w:color w:val="auto"/>
        </w:rPr>
        <w:t>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20"/>
          <w:szCs w:val="20"/>
          <w:color w:val="auto"/>
        </w:rPr>
        <w:t xml:space="preserve"> anniversary of Grant Date 1/3</w:t>
      </w:r>
    </w:p>
    <w:p>
      <w:pPr>
        <w:ind w:left="120"/>
        <w:spacing w:after="0" w:line="191" w:lineRule="auto"/>
        <w:rPr>
          <w:sz w:val="20"/>
          <w:szCs w:val="20"/>
          <w:color w:val="auto"/>
        </w:rPr>
      </w:pPr>
      <w:r>
        <w:rPr>
          <w:rFonts w:ascii="Times New Roman" w:cs="Times New Roman" w:eastAsia="Times New Roman" w:hAnsi="Times New Roman"/>
          <w:sz w:val="20"/>
          <w:szCs w:val="20"/>
          <w:color w:val="auto"/>
        </w:rPr>
        <w:t>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20"/>
          <w:szCs w:val="20"/>
          <w:color w:val="auto"/>
        </w:rPr>
        <w:t xml:space="preserve"> anniversary of Grant Date 1/3</w:t>
      </w:r>
    </w:p>
    <w:p>
      <w:pPr>
        <w:spacing w:after="0" w:line="1" w:lineRule="exact"/>
        <w:rPr>
          <w:sz w:val="20"/>
          <w:szCs w:val="20"/>
          <w:color w:val="auto"/>
        </w:rPr>
      </w:pPr>
    </w:p>
    <w:p>
      <w:pPr>
        <w:ind w:left="120" w:right="60"/>
        <w:spacing w:after="0"/>
        <w:rPr>
          <w:sz w:val="20"/>
          <w:szCs w:val="20"/>
          <w:color w:val="auto"/>
        </w:rPr>
      </w:pPr>
      <w:r>
        <w:rPr>
          <w:rFonts w:ascii="Times New Roman" w:cs="Times New Roman" w:eastAsia="Times New Roman" w:hAnsi="Times New Roman"/>
          <w:sz w:val="20"/>
          <w:szCs w:val="20"/>
          <w:color w:val="auto"/>
        </w:rPr>
        <w:t>If the anniversary of the Grant Date falls on a weekend or a holiday, then the TRSUs will become earned and payable on the next following business day</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*Any resultant fractional TRSUs will not become earned or payable and will instead be subject to the next earning and payment date.</w:t>
      </w:r>
    </w:p>
    <w:p>
      <w:pPr>
        <w:spacing w:after="0" w:line="19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Accelerated Payment Events for TRSUs: </w:t>
      </w:r>
      <w:r>
        <w:rPr>
          <w:rFonts w:ascii="Times New Roman" w:cs="Times New Roman" w:eastAsia="Times New Roman" w:hAnsi="Times New Roman"/>
          <w:sz w:val="20"/>
          <w:szCs w:val="20"/>
          <w:color w:val="auto"/>
        </w:rPr>
        <w:t>As long as (i) you do not incur a Separation from Service until immediately before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occurrence of any of the events listed below and (ii) you hold TRSUs at such time:</w:t>
      </w:r>
    </w:p>
    <w:p>
      <w:pPr>
        <w:spacing w:after="0" w:line="156" w:lineRule="exact"/>
        <w:rPr>
          <w:sz w:val="20"/>
          <w:szCs w:val="20"/>
          <w:color w:val="auto"/>
        </w:rPr>
      </w:pPr>
    </w:p>
    <w:p>
      <w:pPr>
        <w:jc w:val="both"/>
        <w:ind w:left="360" w:hanging="352"/>
        <w:spacing w:after="0" w:line="263" w:lineRule="auto"/>
        <w:tabs>
          <w:tab w:leader="none" w:pos="396"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a Change of Control (“</w:t>
      </w:r>
      <w:r>
        <w:rPr>
          <w:rFonts w:ascii="Times New Roman" w:cs="Times New Roman" w:eastAsia="Times New Roman" w:hAnsi="Times New Roman"/>
          <w:sz w:val="19"/>
          <w:szCs w:val="19"/>
          <w:u w:val="single" w:color="auto"/>
          <w:color w:val="auto"/>
        </w:rPr>
        <w:t>CoC</w:t>
      </w:r>
      <w:r>
        <w:rPr>
          <w:rFonts w:ascii="Times New Roman" w:cs="Times New Roman" w:eastAsia="Times New Roman" w:hAnsi="Times New Roman"/>
          <w:sz w:val="19"/>
          <w:szCs w:val="19"/>
          <w:color w:val="auto"/>
        </w:rPr>
        <w:t xml:space="preserve">”), the TRSUs may be assumed or substituted pursuant to </w:t>
      </w:r>
      <w:r>
        <w:rPr>
          <w:rFonts w:ascii="Times New Roman" w:cs="Times New Roman" w:eastAsia="Times New Roman" w:hAnsi="Times New Roman"/>
          <w:sz w:val="19"/>
          <w:szCs w:val="19"/>
          <w:u w:val="single" w:color="auto"/>
          <w:color w:val="auto"/>
        </w:rPr>
        <w:t>Section 8(f)(v)(x) of the Plan</w:t>
      </w:r>
      <w:r>
        <w:rPr>
          <w:rFonts w:ascii="Times New Roman" w:cs="Times New Roman" w:eastAsia="Times New Roman" w:hAnsi="Times New Roman"/>
          <w:sz w:val="19"/>
          <w:szCs w:val="19"/>
          <w:color w:val="auto"/>
        </w:rPr>
        <w:t xml:space="preserve"> for a Replacement Award (as defined below), in which case the TRSUs will continue to vest in accordance with </w:t>
      </w:r>
      <w:r>
        <w:rPr>
          <w:rFonts w:ascii="Times New Roman" w:cs="Times New Roman" w:eastAsia="Times New Roman" w:hAnsi="Times New Roman"/>
          <w:sz w:val="19"/>
          <w:szCs w:val="19"/>
          <w:b w:val="1"/>
          <w:bCs w:val="1"/>
          <w:color w:val="auto"/>
        </w:rPr>
        <w:t>Earning and Payment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of TRSUs </w:t>
      </w:r>
      <w:r>
        <w:rPr>
          <w:rFonts w:ascii="Times New Roman" w:cs="Times New Roman" w:eastAsia="Times New Roman" w:hAnsi="Times New Roman"/>
          <w:sz w:val="19"/>
          <w:szCs w:val="19"/>
          <w:color w:val="auto"/>
        </w:rPr>
        <w:t>above, subject to the terms of this</w:t>
      </w:r>
      <w:r>
        <w:rPr>
          <w:rFonts w:ascii="Times New Roman" w:cs="Times New Roman" w:eastAsia="Times New Roman" w:hAnsi="Times New Roman"/>
          <w:sz w:val="19"/>
          <w:szCs w:val="19"/>
          <w:b w:val="1"/>
          <w:bCs w:val="1"/>
          <w:color w:val="auto"/>
        </w:rPr>
        <w:t xml:space="preserve"> Accelerated Payment Events for TRSUs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that if a Replacement Award is issued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after the CoC the securities underlying the Replacement Award cease to be publicly traded on an established securities market, the Replacement Award will vest in full immediately before such securities cease to be publicly traded on an established securities market;</w:t>
      </w:r>
    </w:p>
    <w:p>
      <w:pPr>
        <w:spacing w:after="0" w:line="166" w:lineRule="exact"/>
        <w:rPr>
          <w:rFonts w:ascii="Times New Roman" w:cs="Times New Roman" w:eastAsia="Times New Roman" w:hAnsi="Times New Roman"/>
          <w:sz w:val="19"/>
          <w:szCs w:val="19"/>
          <w:color w:val="auto"/>
        </w:rPr>
      </w:pPr>
    </w:p>
    <w:p>
      <w:pPr>
        <w:ind w:left="360" w:right="20" w:hanging="352"/>
        <w:spacing w:after="0" w:line="269" w:lineRule="auto"/>
        <w:tabs>
          <w:tab w:leader="none" w:pos="39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outstanding TRSUs are not assumed or substituted in connection with a CoC for a Replacement Award, all such TRSUs will vest in full upon the CoC;</w:t>
      </w:r>
    </w:p>
    <w:p>
      <w:pPr>
        <w:spacing w:after="0" w:line="159" w:lineRule="exact"/>
        <w:rPr>
          <w:rFonts w:ascii="Times New Roman" w:cs="Times New Roman" w:eastAsia="Times New Roman" w:hAnsi="Times New Roman"/>
          <w:sz w:val="20"/>
          <w:szCs w:val="20"/>
          <w:color w:val="auto"/>
        </w:rPr>
      </w:pPr>
    </w:p>
    <w:p>
      <w:pPr>
        <w:jc w:val="both"/>
        <w:ind w:left="360" w:hanging="352"/>
        <w:spacing w:after="0" w:line="249" w:lineRule="auto"/>
        <w:tabs>
          <w:tab w:leader="none" w:pos="39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outstanding TRSUs will vest in full if you have a Qualifying Separation from Service (as defined below) either (i) within 90 days before the date a definitive agreement is executed that results in a CoC within 180 days after the date the definitive agreement is executed or (ii) on or within 180 days after the date a definitive agreement is executed that results in a CoC within 180 days after the date the definitive agreement is executed;</w:t>
      </w:r>
    </w:p>
    <w:p>
      <w:pPr>
        <w:spacing w:after="0" w:line="175" w:lineRule="exact"/>
        <w:rPr>
          <w:rFonts w:ascii="Times New Roman" w:cs="Times New Roman" w:eastAsia="Times New Roman" w:hAnsi="Times New Roman"/>
          <w:sz w:val="20"/>
          <w:szCs w:val="20"/>
          <w:color w:val="auto"/>
        </w:rPr>
      </w:pPr>
    </w:p>
    <w:p>
      <w:pPr>
        <w:jc w:val="both"/>
        <w:ind w:left="360" w:hanging="352"/>
        <w:spacing w:after="0" w:line="247" w:lineRule="auto"/>
        <w:tabs>
          <w:tab w:leader="none" w:pos="39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outstanding TRSUs (other than under any Replacement Award) that are scheduled to vest under </w:t>
      </w:r>
      <w:r>
        <w:rPr>
          <w:rFonts w:ascii="Times New Roman" w:cs="Times New Roman" w:eastAsia="Times New Roman" w:hAnsi="Times New Roman"/>
          <w:sz w:val="20"/>
          <w:szCs w:val="20"/>
          <w:b w:val="1"/>
          <w:bCs w:val="1"/>
          <w:color w:val="auto"/>
        </w:rPr>
        <w:t>Earning and Payment of TRSUs</w:t>
      </w:r>
      <w:r>
        <w:rPr>
          <w:rFonts w:ascii="Times New Roman" w:cs="Times New Roman" w:eastAsia="Times New Roman" w:hAnsi="Times New Roman"/>
          <w:sz w:val="20"/>
          <w:szCs w:val="20"/>
          <w:color w:val="auto"/>
        </w:rPr>
        <w:t xml:space="preserve"> above during the 18-month period after your Separation from Service will vest in full if you have a Qualifying Separation from Service before a CoC, and all remaining TRSUs will remain outstanding and eligible to vest pursuant to (c) immediately above, and if no definitive agreement is entered into within 90 days after such Separation from Service as provided in (c), then all such TRSUs (other than under any Replacement Award) will be immediately forfeited;</w:t>
      </w:r>
    </w:p>
    <w:p>
      <w:pPr>
        <w:spacing w:after="0" w:line="184" w:lineRule="exact"/>
        <w:rPr>
          <w:rFonts w:ascii="Times New Roman" w:cs="Times New Roman" w:eastAsia="Times New Roman" w:hAnsi="Times New Roman"/>
          <w:sz w:val="20"/>
          <w:szCs w:val="20"/>
          <w:color w:val="auto"/>
        </w:rPr>
      </w:pPr>
    </w:p>
    <w:p>
      <w:pPr>
        <w:jc w:val="both"/>
        <w:ind w:left="360" w:hanging="352"/>
        <w:spacing w:after="0" w:line="245" w:lineRule="auto"/>
        <w:tabs>
          <w:tab w:leader="none" w:pos="39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pro-rata portion of the TRSUs and each Replacement Award, as applicable, will vest upon your Separation from Service due to your Disability or death, calculated by multiplying the number of TRSUs or shares underlying any Replacement Award scheduled to vest on the anniversary of the Grant Date immediately after your Separation from Service by a fraction, the numerator of which is the number of days that have elapsed from the last anniversary of the Grant Date (or if the Separation from Service occurs before the 1st anniversary of the Grant Date, then the number of days that have elapsed from the Grant Date) through your Separation from Service, and the denominator of which will be 365; and</w:t>
      </w:r>
    </w:p>
    <w:p>
      <w:pPr>
        <w:spacing w:after="0" w:line="184"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Replacement Awards will vest in full upon your Qualifying Separation from Service.</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6" w:name="page97"/>
    <w:bookmarkEnd w:id="96"/>
    <w:p>
      <w:pPr>
        <w:ind w:left="10360"/>
        <w:spacing w:after="0"/>
        <w:rPr>
          <w:sz w:val="20"/>
          <w:szCs w:val="20"/>
          <w:color w:val="auto"/>
        </w:rPr>
      </w:pPr>
      <w:r>
        <w:rPr>
          <w:rFonts w:ascii="Times New Roman" w:cs="Times New Roman" w:eastAsia="Times New Roman" w:hAnsi="Times New Roman"/>
          <w:sz w:val="17"/>
          <w:szCs w:val="17"/>
          <w:color w:val="auto"/>
        </w:rPr>
        <w:t>Exhibit 10.7</w:t>
      </w:r>
    </w:p>
    <w:p>
      <w:pPr>
        <w:spacing w:after="0" w:line="1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Award</w:t>
      </w:r>
      <w:r>
        <w:rPr>
          <w:rFonts w:ascii="Times New Roman" w:cs="Times New Roman" w:eastAsia="Times New Roman" w:hAnsi="Times New Roman"/>
          <w:sz w:val="20"/>
          <w:szCs w:val="20"/>
          <w:color w:val="auto"/>
        </w:rPr>
        <w:t>” means an award of restricted stock units in respect of common stock that is publicly traded on an established securities market with substantially equivalent terms as the replaced RSUs, including vesting terms and dividend equivalent rights, issued by the surviving or successor company or a parent or subsidiary of such company.</w:t>
      </w:r>
    </w:p>
    <w:p>
      <w:pPr>
        <w:spacing w:after="0" w:line="174" w:lineRule="exact"/>
        <w:rPr>
          <w:sz w:val="20"/>
          <w:szCs w:val="20"/>
          <w:color w:val="auto"/>
        </w:rPr>
      </w:pPr>
    </w:p>
    <w:p>
      <w:pPr>
        <w:ind w:left="120" w:right="50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Qualifying Separation from Service</w:t>
      </w:r>
      <w:r>
        <w:rPr>
          <w:rFonts w:ascii="Times New Roman" w:cs="Times New Roman" w:eastAsia="Times New Roman" w:hAnsi="Times New Roman"/>
          <w:sz w:val="20"/>
          <w:szCs w:val="20"/>
          <w:color w:val="auto"/>
        </w:rPr>
        <w:t>” means a Separation from Service (i) by the Company without Cause (including a notice of non-renewal of your Employment Agreement by the Company) or (ii) by you for Good Reason.</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color w:val="auto"/>
        </w:rPr>
        <w:t>Exhibit 10.7</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PERFORMANCE-BASED VESTING RSUs (PRSUs)</w:t>
      </w:r>
    </w:p>
    <w:p>
      <w:pPr>
        <w:spacing w:after="0" w:line="200" w:lineRule="exact"/>
        <w:rPr>
          <w:sz w:val="20"/>
          <w:szCs w:val="20"/>
          <w:color w:val="auto"/>
        </w:rPr>
      </w:pPr>
    </w:p>
    <w:p>
      <w:pPr>
        <w:spacing w:after="0" w:line="232" w:lineRule="exact"/>
        <w:rPr>
          <w:sz w:val="20"/>
          <w:szCs w:val="20"/>
          <w:color w:val="auto"/>
        </w:rPr>
      </w:pPr>
    </w:p>
    <w:p>
      <w:pPr>
        <w:spacing w:after="0"/>
        <w:tabs>
          <w:tab w:leader="none" w:pos="3160" w:val="left"/>
        </w:tabs>
        <w:rPr>
          <w:sz w:val="20"/>
          <w:szCs w:val="20"/>
          <w:color w:val="auto"/>
        </w:rPr>
      </w:pPr>
      <w:r>
        <w:rPr>
          <w:rFonts w:ascii="Times New Roman" w:cs="Times New Roman" w:eastAsia="Times New Roman" w:hAnsi="Times New Roman"/>
          <w:sz w:val="20"/>
          <w:szCs w:val="20"/>
          <w:b w:val="1"/>
          <w:bCs w:val="1"/>
          <w:color w:val="auto"/>
        </w:rPr>
        <w:t>Earning and Payment of PRSUs:</w:t>
      </w:r>
      <w:r>
        <w:rPr>
          <w:sz w:val="20"/>
          <w:szCs w:val="20"/>
          <w:color w:val="auto"/>
        </w:rPr>
        <w:tab/>
      </w:r>
      <w:r>
        <w:rPr>
          <w:rFonts w:ascii="Times New Roman" w:cs="Times New Roman" w:eastAsia="Times New Roman" w:hAnsi="Times New Roman"/>
          <w:sz w:val="19"/>
          <w:szCs w:val="19"/>
          <w:b w:val="1"/>
          <w:bCs w:val="1"/>
          <w:color w:val="auto"/>
        </w:rPr>
        <w:t>Structure:</w:t>
      </w:r>
    </w:p>
    <w:p>
      <w:pPr>
        <w:spacing w:after="0" w:line="26" w:lineRule="exact"/>
        <w:rPr>
          <w:sz w:val="20"/>
          <w:szCs w:val="20"/>
          <w:color w:val="auto"/>
        </w:rPr>
      </w:pPr>
    </w:p>
    <w:p>
      <w:pPr>
        <w:ind w:left="760" w:hanging="378"/>
        <w:spacing w:after="0" w:line="246" w:lineRule="auto"/>
        <w:tabs>
          <w:tab w:leader="none" w:pos="7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Performance-based (“PSU”) – vested at the end of three years. If the three year anniversary of the Grant Date falls on a weekend or a holiday, then the PRSUs will become earned and payable on the next following business day.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Metrics for PSU portion:</w:t>
      </w:r>
    </w:p>
    <w:p>
      <w:pPr>
        <w:spacing w:after="0" w:line="26" w:lineRule="exact"/>
        <w:rPr>
          <w:sz w:val="20"/>
          <w:szCs w:val="20"/>
          <w:color w:val="auto"/>
        </w:rPr>
      </w:pPr>
    </w:p>
    <w:p>
      <w:pPr>
        <w:jc w:val="both"/>
        <w:ind w:left="760" w:hanging="378"/>
        <w:spacing w:after="0" w:line="235" w:lineRule="auto"/>
        <w:tabs>
          <w:tab w:leader="none" w:pos="7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 Total Shareholder Return (“TSR”) measured annually with award % earned and banked annually and measured at the end of the three-year period and adjusted upward if appropriate Vesting of the performance shares of restricted unit awards granted as part of the Participant’s compensation is based on the market price performance of the Common Stock or total stock return “(TSR”) at the completion of the time-vesting period. The percentage of performance shares of restricted unit awards that vest is dependent on Common Stock appreciation as compared to a peer group</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as set forth in each unit restriction agreement. If the Company’s stock appreciation as compared to the peer group is between the prescribed threshold and maximum percentages, the restricted unit will partially vest on a pro rata basis. Furthermore, with respect to restricted unit awards granted herein, the vested shares outlined below shall be capped at target if the company TSR for the three-year period is negative.</w:t>
      </w:r>
    </w:p>
    <w:p>
      <w:pPr>
        <w:spacing w:after="0" w:line="200" w:lineRule="exact"/>
        <w:rPr>
          <w:sz w:val="20"/>
          <w:szCs w:val="20"/>
          <w:color w:val="auto"/>
        </w:rPr>
      </w:pPr>
    </w:p>
    <w:p>
      <w:pPr>
        <w:spacing w:after="0" w:line="213" w:lineRule="exact"/>
        <w:rPr>
          <w:sz w:val="20"/>
          <w:szCs w:val="20"/>
          <w:color w:val="auto"/>
        </w:rPr>
      </w:pPr>
    </w:p>
    <w:p>
      <w:pPr>
        <w:ind w:left="3680"/>
        <w:spacing w:after="0"/>
        <w:tabs>
          <w:tab w:leader="none" w:pos="4440" w:val="left"/>
        </w:tabs>
        <w:rPr>
          <w:sz w:val="20"/>
          <w:szCs w:val="20"/>
          <w:color w:val="auto"/>
        </w:rPr>
      </w:pPr>
      <w:r>
        <w:rPr>
          <w:rFonts w:ascii="Times New Roman" w:cs="Times New Roman" w:eastAsia="Times New Roman" w:hAnsi="Times New Roman"/>
          <w:sz w:val="20"/>
          <w:szCs w:val="20"/>
          <w:b w:val="1"/>
          <w:bCs w:val="1"/>
          <w:color w:val="auto"/>
        </w:rPr>
        <w:t>Level</w:t>
        <w:tab/>
        <w:t>Percentile Rank as to Company TSR</w:t>
      </w:r>
    </w:p>
    <w:p>
      <w:pPr>
        <w:spacing w:after="0" w:line="25" w:lineRule="exact"/>
        <w:rPr>
          <w:sz w:val="20"/>
          <w:szCs w:val="20"/>
          <w:color w:val="auto"/>
        </w:rPr>
      </w:pPr>
    </w:p>
    <w:p>
      <w:pPr>
        <w:ind w:left="120"/>
        <w:spacing w:after="0"/>
        <w:tabs>
          <w:tab w:leader="none" w:pos="2080" w:val="left"/>
        </w:tabs>
        <w:rPr>
          <w:sz w:val="20"/>
          <w:szCs w:val="20"/>
          <w:color w:val="auto"/>
        </w:rPr>
      </w:pPr>
      <w:r>
        <w:rPr>
          <w:rFonts w:ascii="Times New Roman" w:cs="Times New Roman" w:eastAsia="Times New Roman" w:hAnsi="Times New Roman"/>
          <w:sz w:val="20"/>
          <w:szCs w:val="20"/>
          <w:b w:val="1"/>
          <w:bCs w:val="1"/>
          <w:color w:val="auto"/>
        </w:rPr>
        <w:t>Versus Relative TSR</w:t>
      </w:r>
      <w:r>
        <w:rPr>
          <w:sz w:val="20"/>
          <w:szCs w:val="20"/>
          <w:color w:val="auto"/>
        </w:rPr>
        <w:tab/>
      </w:r>
      <w:r>
        <w:rPr>
          <w:rFonts w:ascii="Times New Roman" w:cs="Times New Roman" w:eastAsia="Times New Roman" w:hAnsi="Times New Roman"/>
          <w:sz w:val="19"/>
          <w:szCs w:val="19"/>
          <w:b w:val="1"/>
          <w:bCs w:val="1"/>
          <w:color w:val="auto"/>
        </w:rPr>
        <w:t>Percentage of Shares Vesting</w:t>
      </w:r>
    </w:p>
    <w:p>
      <w:pPr>
        <w:ind w:left="120"/>
        <w:spacing w:after="0"/>
        <w:tabs>
          <w:tab w:leader="none" w:pos="1300" w:val="left"/>
          <w:tab w:leader="none" w:pos="3280" w:val="left"/>
        </w:tabs>
        <w:rPr>
          <w:sz w:val="20"/>
          <w:szCs w:val="20"/>
          <w:color w:val="auto"/>
        </w:rPr>
      </w:pPr>
      <w:r>
        <w:rPr>
          <w:rFonts w:ascii="Times New Roman" w:cs="Times New Roman" w:eastAsia="Times New Roman" w:hAnsi="Times New Roman"/>
          <w:sz w:val="20"/>
          <w:szCs w:val="20"/>
          <w:color w:val="auto"/>
        </w:rPr>
        <w:t>Maximum</w:t>
      </w:r>
      <w:r>
        <w:rPr>
          <w:sz w:val="20"/>
          <w:szCs w:val="20"/>
          <w:color w:val="auto"/>
        </w:rPr>
        <w:tab/>
      </w:r>
      <w:r>
        <w:rPr>
          <w:rFonts w:ascii="Times New Roman" w:cs="Times New Roman" w:eastAsia="Times New Roman" w:hAnsi="Times New Roman"/>
          <w:sz w:val="20"/>
          <w:szCs w:val="20"/>
          <w:color w:val="auto"/>
        </w:rPr>
        <w:t>Above 75th Percentile</w:t>
      </w:r>
      <w:r>
        <w:rPr>
          <w:sz w:val="20"/>
          <w:szCs w:val="20"/>
          <w:color w:val="auto"/>
        </w:rPr>
        <w:tab/>
      </w:r>
      <w:r>
        <w:rPr>
          <w:rFonts w:ascii="Times New Roman" w:cs="Times New Roman" w:eastAsia="Times New Roman" w:hAnsi="Times New Roman"/>
          <w:sz w:val="19"/>
          <w:szCs w:val="19"/>
          <w:color w:val="auto"/>
        </w:rPr>
        <w:t>200%</w:t>
      </w:r>
    </w:p>
    <w:p>
      <w:pPr>
        <w:ind w:left="120"/>
        <w:spacing w:after="0"/>
        <w:tabs>
          <w:tab w:leader="none" w:pos="900" w:val="left"/>
          <w:tab w:leader="none" w:pos="2480" w:val="left"/>
        </w:tabs>
        <w:rPr>
          <w:sz w:val="20"/>
          <w:szCs w:val="20"/>
          <w:color w:val="auto"/>
        </w:rPr>
      </w:pPr>
      <w:r>
        <w:rPr>
          <w:rFonts w:ascii="Times New Roman" w:cs="Times New Roman" w:eastAsia="Times New Roman" w:hAnsi="Times New Roman"/>
          <w:sz w:val="20"/>
          <w:szCs w:val="20"/>
          <w:color w:val="auto"/>
        </w:rPr>
        <w:t>Target</w:t>
        <w:tab/>
        <w:t>50th Percentile</w:t>
      </w:r>
      <w:r>
        <w:rPr>
          <w:sz w:val="20"/>
          <w:szCs w:val="20"/>
          <w:color w:val="auto"/>
        </w:rPr>
        <w:tab/>
      </w:r>
      <w:r>
        <w:rPr>
          <w:rFonts w:ascii="Times New Roman" w:cs="Times New Roman" w:eastAsia="Times New Roman" w:hAnsi="Times New Roman"/>
          <w:sz w:val="19"/>
          <w:szCs w:val="19"/>
          <w:color w:val="auto"/>
        </w:rPr>
        <w:t>100%</w:t>
      </w:r>
    </w:p>
    <w:p>
      <w:pPr>
        <w:ind w:left="120"/>
        <w:spacing w:after="0"/>
        <w:tabs>
          <w:tab w:leader="none" w:pos="1300" w:val="left"/>
          <w:tab w:leader="none" w:pos="2880" w:val="left"/>
        </w:tabs>
        <w:rPr>
          <w:sz w:val="20"/>
          <w:szCs w:val="20"/>
          <w:color w:val="auto"/>
        </w:rPr>
      </w:pPr>
      <w:r>
        <w:rPr>
          <w:rFonts w:ascii="Times New Roman" w:cs="Times New Roman" w:eastAsia="Times New Roman" w:hAnsi="Times New Roman"/>
          <w:sz w:val="20"/>
          <w:szCs w:val="20"/>
          <w:color w:val="auto"/>
        </w:rPr>
        <w:t>Threshold</w:t>
      </w:r>
      <w:r>
        <w:rPr>
          <w:sz w:val="20"/>
          <w:szCs w:val="20"/>
          <w:color w:val="auto"/>
        </w:rPr>
        <w:tab/>
      </w:r>
      <w:r>
        <w:rPr>
          <w:rFonts w:ascii="Times New Roman" w:cs="Times New Roman" w:eastAsia="Times New Roman" w:hAnsi="Times New Roman"/>
          <w:sz w:val="20"/>
          <w:szCs w:val="20"/>
          <w:color w:val="auto"/>
        </w:rPr>
        <w:t>25th Percentile</w:t>
      </w:r>
      <w:r>
        <w:rPr>
          <w:sz w:val="20"/>
          <w:szCs w:val="20"/>
          <w:color w:val="auto"/>
        </w:rPr>
        <w:tab/>
      </w:r>
      <w:r>
        <w:rPr>
          <w:rFonts w:ascii="Times New Roman" w:cs="Times New Roman" w:eastAsia="Times New Roman" w:hAnsi="Times New Roman"/>
          <w:sz w:val="19"/>
          <w:szCs w:val="19"/>
          <w:color w:val="auto"/>
        </w:rPr>
        <w:t>50%</w:t>
      </w:r>
    </w:p>
    <w:tbl>
      <w:tblPr>
        <w:tblLayout w:type="fixed"/>
        <w:tblInd w:w="120" w:type="dxa"/>
        <w:tblCellMar>
          <w:top w:w="0" w:type="dxa"/>
          <w:left w:w="0" w:type="dxa"/>
          <w:bottom w:w="0" w:type="dxa"/>
          <w:right w:w="0" w:type="dxa"/>
        </w:tblCellMar>
      </w:tblPr>
      <w:tr>
        <w:trPr>
          <w:trHeight w:val="258"/>
        </w:trPr>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Below Threshold  Below the 25th Percentile</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r>
    </w:tbl>
    <w:p>
      <w:pPr>
        <w:spacing w:after="0" w:line="186" w:lineRule="exact"/>
        <w:rPr>
          <w:sz w:val="20"/>
          <w:szCs w:val="20"/>
          <w:color w:val="auto"/>
        </w:rPr>
      </w:pPr>
    </w:p>
    <w:p>
      <w:pPr>
        <w:ind w:firstLine="8"/>
        <w:spacing w:after="0" w:line="301" w:lineRule="auto"/>
        <w:tabs>
          <w:tab w:leader="none" w:pos="235" w:val="left"/>
        </w:tabs>
        <w:numPr>
          <w:ilvl w:val="0"/>
          <w:numId w:val="5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For TSR performance metric the LSB peer group includes AdvanSix, American Vanguard, The Andersons, CF, Chemtrade Logistics, Compass Minerals, CVR, Ecovyst, ICL Group, Intrepid Potash, Methanex, Mosaic, Nutrien, OCI, and Yara.</w:t>
      </w:r>
    </w:p>
    <w:p>
      <w:pPr>
        <w:spacing w:after="0" w:line="13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Accelerated Payment Events for PRSUs: </w:t>
      </w:r>
      <w:r>
        <w:rPr>
          <w:rFonts w:ascii="Times New Roman" w:cs="Times New Roman" w:eastAsia="Times New Roman" w:hAnsi="Times New Roman"/>
          <w:sz w:val="20"/>
          <w:szCs w:val="20"/>
          <w:color w:val="auto"/>
        </w:rPr>
        <w:t>As long as (i) you do not incur a Separation from Service until immediately before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occurrence of any of the events listed below and (ii) you hold PRSUs at such time:</w:t>
      </w:r>
    </w:p>
    <w:p>
      <w:pPr>
        <w:spacing w:after="0" w:line="156" w:lineRule="exact"/>
        <w:rPr>
          <w:sz w:val="20"/>
          <w:szCs w:val="20"/>
          <w:color w:val="auto"/>
        </w:rPr>
      </w:pPr>
    </w:p>
    <w:p>
      <w:pPr>
        <w:jc w:val="both"/>
        <w:ind w:left="360" w:hanging="352"/>
        <w:spacing w:after="0" w:line="245" w:lineRule="auto"/>
        <w:tabs>
          <w:tab w:leader="none" w:pos="39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CoC occurs before the end of the Performance Period, then the portion of the Target PRSUs that is earned under this Agreement will be determined by the Committee immediately before the CoC and will equal the greater of (x) the number of Target PRSUs and (y) the portion of the Target PRSUs that is earned under this Agreement based on actual performance, as determined by the Committee before the CoC by (1) shortening the Performance Period to end on the date of the CoC, (2) adjusting the applicable performance goals set forth immediately above as appropriate based on the shortened Performance Period, and (3) determining the level of achievement of such goals based on such shortened Performance Period ((x) or (y), as applicable, the “</w:t>
      </w:r>
      <w:r>
        <w:rPr>
          <w:rFonts w:ascii="Times New Roman" w:cs="Times New Roman" w:eastAsia="Times New Roman" w:hAnsi="Times New Roman"/>
          <w:sz w:val="20"/>
          <w:szCs w:val="20"/>
          <w:u w:val="single" w:color="auto"/>
          <w:color w:val="auto"/>
        </w:rPr>
        <w:t>CoC PRSUs</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left="360" w:hanging="352"/>
        <w:spacing w:after="0" w:line="246" w:lineRule="auto"/>
        <w:tabs>
          <w:tab w:leader="none" w:pos="39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 CoC, the CoC PRSUs may be assumed or substituted pursuant to </w:t>
      </w:r>
      <w:r>
        <w:rPr>
          <w:rFonts w:ascii="Times New Roman" w:cs="Times New Roman" w:eastAsia="Times New Roman" w:hAnsi="Times New Roman"/>
          <w:sz w:val="20"/>
          <w:szCs w:val="20"/>
          <w:u w:val="single" w:color="auto"/>
          <w:color w:val="auto"/>
        </w:rPr>
        <w:t>Section 8(f)(v)(x) of the Plan</w:t>
      </w:r>
      <w:r>
        <w:rPr>
          <w:rFonts w:ascii="Times New Roman" w:cs="Times New Roman" w:eastAsia="Times New Roman" w:hAnsi="Times New Roman"/>
          <w:sz w:val="20"/>
          <w:szCs w:val="20"/>
          <w:color w:val="auto"/>
        </w:rPr>
        <w:t xml:space="preserve"> for a Replacement Award,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Replacement Award will vest solely based on your continued service with the Company and its Subsidiaries through the last day of the original Performance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if a Replacement Award is issued and after the CoC the equity securities underlying the Replacement Award cease to be publicly traded on an established securities market, the Replacement Award will vest in full immediately prior to such equity securities ceasing to be publicly traded on an established securities market;</w:t>
      </w:r>
    </w:p>
    <w:p>
      <w:pPr>
        <w:spacing w:after="0" w:line="184" w:lineRule="exact"/>
        <w:rPr>
          <w:rFonts w:ascii="Times New Roman" w:cs="Times New Roman" w:eastAsia="Times New Roman" w:hAnsi="Times New Roman"/>
          <w:sz w:val="20"/>
          <w:szCs w:val="20"/>
          <w:color w:val="auto"/>
        </w:rPr>
      </w:pPr>
    </w:p>
    <w:p>
      <w:pPr>
        <w:jc w:val="both"/>
        <w:ind w:left="360" w:hanging="352"/>
        <w:spacing w:after="0" w:line="254" w:lineRule="auto"/>
        <w:tabs>
          <w:tab w:leader="none" w:pos="39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CoC PRSUs are not assumed or substituted in connection with a CoC with a Replacement Award, the CoC PRSUs will vest in full upon a CoC such that you may participate as a Stockholder in such CoC or, if determined by the Committee, the value of such CoC PRSUs may be paid to you in cash;</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color w:val="auto"/>
        </w:rPr>
        <w:t>Exhibit 10.7</w:t>
      </w:r>
    </w:p>
    <w:p>
      <w:pPr>
        <w:spacing w:after="0" w:line="113" w:lineRule="exact"/>
        <w:rPr>
          <w:sz w:val="20"/>
          <w:szCs w:val="20"/>
          <w:color w:val="auto"/>
        </w:rPr>
      </w:pPr>
    </w:p>
    <w:p>
      <w:pPr>
        <w:ind w:left="400" w:hanging="392"/>
        <w:spacing w:after="0"/>
        <w:tabs>
          <w:tab w:leader="none" w:pos="40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Replacement Awards will vest in full upon your Qualifying Separation from Service;</w:t>
      </w:r>
    </w:p>
    <w:p>
      <w:pPr>
        <w:spacing w:after="0" w:line="215" w:lineRule="exact"/>
        <w:rPr>
          <w:rFonts w:ascii="Times New Roman" w:cs="Times New Roman" w:eastAsia="Times New Roman" w:hAnsi="Times New Roman"/>
          <w:sz w:val="20"/>
          <w:szCs w:val="20"/>
          <w:color w:val="auto"/>
        </w:rPr>
      </w:pPr>
    </w:p>
    <w:p>
      <w:pPr>
        <w:jc w:val="both"/>
        <w:ind w:left="360" w:hanging="352"/>
        <w:spacing w:after="0" w:line="249" w:lineRule="auto"/>
        <w:tabs>
          <w:tab w:leader="none" w:pos="39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CoC PRSUs will vest in full if you have a Qualifying Separation from Service either (i) within 90 days before the date a definitive agreement is executed that results in a CoC within 180 days after the date such definitive agreement is executed or (ii) on or within 180 days after the date a definitive agreement is executed that results in a CoC within 180 days after the date such definitive agreement is executed, and the value of such CoC PRSUs may be paid to you in cash;</w:t>
      </w:r>
    </w:p>
    <w:p>
      <w:pPr>
        <w:spacing w:after="0" w:line="179" w:lineRule="exact"/>
        <w:rPr>
          <w:rFonts w:ascii="Times New Roman" w:cs="Times New Roman" w:eastAsia="Times New Roman" w:hAnsi="Times New Roman"/>
          <w:sz w:val="20"/>
          <w:szCs w:val="20"/>
          <w:color w:val="auto"/>
        </w:rPr>
      </w:pPr>
    </w:p>
    <w:p>
      <w:pPr>
        <w:jc w:val="both"/>
        <w:ind w:left="360" w:hanging="352"/>
        <w:spacing w:after="0" w:line="256" w:lineRule="auto"/>
        <w:tabs>
          <w:tab w:leader="none" w:pos="396"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you incur a Separation from Service due to your Disability or death before a CoC, at the end of the Performance Period (or the date of the consummation of a CoC, if earlier, where there is no Replacement Award), you will vest in a pro-rata portion of the Target PRSUs based on actual performance, as determined by the Committee at the end of the Performance Period (or the date of the consummation of a CoC, if earlier) based on the level of achievement of the applicable performance measures for the Performance Period, as adjusted pursuant to clause (a) of this </w:t>
      </w:r>
      <w:r>
        <w:rPr>
          <w:rFonts w:ascii="Times New Roman" w:cs="Times New Roman" w:eastAsia="Times New Roman" w:hAnsi="Times New Roman"/>
          <w:sz w:val="19"/>
          <w:szCs w:val="19"/>
          <w:b w:val="1"/>
          <w:bCs w:val="1"/>
          <w:color w:val="auto"/>
        </w:rPr>
        <w:t>Accelerated Payment Events for PRSUs</w:t>
      </w:r>
      <w:r>
        <w:rPr>
          <w:rFonts w:ascii="Times New Roman" w:cs="Times New Roman" w:eastAsia="Times New Roman" w:hAnsi="Times New Roman"/>
          <w:sz w:val="19"/>
          <w:szCs w:val="19"/>
          <w:color w:val="auto"/>
        </w:rPr>
        <w:t xml:space="preserve">, with such pro-rata portion calculated by multiplying the number of Target PRSUs that is earned under this Agreement, if any, by a fraction, the numerator of which is the number of days that have elapsed from the beginning of the Performance Period through your Separation from Service and the denominator of which will be the total number of days in the Performance Period (or, if a CoC occurs before the end of the Performance Period and there is no Replacement Award, the total number of days from the beginning of the Performance Period through the date of the CoC);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there is earlier vesting upon a CoC where there is no Replacement Award, the value of the vested PRSUs may be paid to you in cash;</w:t>
      </w:r>
    </w:p>
    <w:p>
      <w:pPr>
        <w:spacing w:after="0" w:line="180" w:lineRule="exact"/>
        <w:rPr>
          <w:rFonts w:ascii="Times New Roman" w:cs="Times New Roman" w:eastAsia="Times New Roman" w:hAnsi="Times New Roman"/>
          <w:sz w:val="19"/>
          <w:szCs w:val="19"/>
          <w:color w:val="auto"/>
        </w:rPr>
      </w:pPr>
    </w:p>
    <w:p>
      <w:pPr>
        <w:jc w:val="both"/>
        <w:ind w:left="360" w:hanging="352"/>
        <w:spacing w:after="0" w:line="246" w:lineRule="auto"/>
        <w:tabs>
          <w:tab w:leader="none" w:pos="39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pro-rata portion of any Replacement Award will vest upon the your Separation from Service due to your Disability or death at the end of the Performance Period (or, if earlier, upon a subsequent CoC), with such pro-rata portion calculated by multiplying the number of shares covered by the Replacement Award by a fraction, the numerator of which is the number of days that have elapsed from the beginning of the Performance Period through your Separation from Service and the denominator of which is the total number of days in the Performance Period; and</w:t>
      </w:r>
    </w:p>
    <w:p>
      <w:pPr>
        <w:spacing w:after="0" w:line="184" w:lineRule="exact"/>
        <w:rPr>
          <w:rFonts w:ascii="Times New Roman" w:cs="Times New Roman" w:eastAsia="Times New Roman" w:hAnsi="Times New Roman"/>
          <w:sz w:val="20"/>
          <w:szCs w:val="20"/>
          <w:color w:val="auto"/>
        </w:rPr>
      </w:pPr>
    </w:p>
    <w:p>
      <w:pPr>
        <w:ind w:left="360" w:right="80" w:hanging="352"/>
        <w:spacing w:after="0" w:line="242" w:lineRule="auto"/>
        <w:tabs>
          <w:tab w:leader="none" w:pos="39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before a CoC, you incur a Qualifying Separation from Service, you will vest at the end of the Performance Period (or the date of a CoC, if earlier, where there is no Replacement Award) in a pro-rata portion of the Target PRSUs, with such pro-rata portion calculated by multiplying (i) the number of Target PRSUs that is earned under this Agreement, if any, based on actual performance, determined at the end of the Performance Period (or the date of the CoC, if earlier) based on the level of achievement of the applicable performance measures for the Performance Period, as adjusted pursuant to clause (a) of this </w:t>
      </w:r>
      <w:r>
        <w:rPr>
          <w:rFonts w:ascii="Times New Roman" w:cs="Times New Roman" w:eastAsia="Times New Roman" w:hAnsi="Times New Roman"/>
          <w:sz w:val="20"/>
          <w:szCs w:val="20"/>
          <w:b w:val="1"/>
          <w:bCs w:val="1"/>
          <w:color w:val="auto"/>
        </w:rPr>
        <w:t>Accelerated Payment Events for PRSUs</w:t>
      </w:r>
      <w:r>
        <w:rPr>
          <w:rFonts w:ascii="Times New Roman" w:cs="Times New Roman" w:eastAsia="Times New Roman" w:hAnsi="Times New Roman"/>
          <w:sz w:val="20"/>
          <w:szCs w:val="20"/>
          <w:color w:val="auto"/>
        </w:rPr>
        <w:t xml:space="preserve">, by (ii) a fraction, the numerator of which is the number of days that have elapsed from the beginning of the Performance Period through your Qualifying Separation from Service and the denominator of which is the total number of days in the Performance Period (or, if a CoC occurs before the end of the Performance Period and there is no Replacement Award, the total number of days from the beginning of the Performance Period through the date of the CoC);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there is earlier vesting upon a CoC where there is no Replacement Award, the value of the vested PRSUs may be paid to you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color w:val="auto"/>
        </w:rPr>
        <w:t>Exhibit 10.7</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LSB INDUSTRIES,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2016 LONG TERM INCENTIVE PLAN</w:t>
      </w:r>
    </w:p>
    <w:p>
      <w:pPr>
        <w:jc w:val="center"/>
        <w:spacing w:after="0"/>
        <w:rPr>
          <w:sz w:val="20"/>
          <w:szCs w:val="20"/>
          <w:color w:val="auto"/>
        </w:rPr>
      </w:pPr>
      <w:r>
        <w:rPr>
          <w:rFonts w:ascii="Times New Roman" w:cs="Times New Roman" w:eastAsia="Times New Roman" w:hAnsi="Times New Roman"/>
          <w:sz w:val="20"/>
          <w:szCs w:val="20"/>
          <w:b w:val="1"/>
          <w:bCs w:val="1"/>
          <w:color w:val="auto"/>
        </w:rPr>
        <w:t>(As Amended and Restated March 4, 2021)</w:t>
      </w:r>
    </w:p>
    <w:p>
      <w:pPr>
        <w:spacing w:after="0" w:line="200" w:lineRule="exact"/>
        <w:rPr>
          <w:sz w:val="20"/>
          <w:szCs w:val="20"/>
          <w:color w:val="auto"/>
        </w:rPr>
      </w:pPr>
    </w:p>
    <w:p>
      <w:pPr>
        <w:spacing w:after="0" w:line="206" w:lineRule="exact"/>
        <w:rPr>
          <w:sz w:val="20"/>
          <w:szCs w:val="20"/>
          <w:color w:val="auto"/>
        </w:rPr>
      </w:pPr>
    </w:p>
    <w:p>
      <w:pPr>
        <w:jc w:val="both"/>
        <w:ind w:left="760" w:hanging="752"/>
        <w:spacing w:after="0" w:line="242" w:lineRule="auto"/>
        <w:tabs>
          <w:tab w:leader="none" w:pos="7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Purpose</w:t>
      </w:r>
      <w:r>
        <w:rPr>
          <w:rFonts w:ascii="Times New Roman" w:cs="Times New Roman" w:eastAsia="Times New Roman" w:hAnsi="Times New Roman"/>
          <w:sz w:val="20"/>
          <w:szCs w:val="20"/>
          <w:color w:val="auto"/>
        </w:rPr>
        <w:t>. The purpose of the LSB Industries, Inc. 2016 Long Term Incentive Plan (as amended and restated March 4, 2021,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is to provide a means through which LSB Industries,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its Subsidiaries may attract and retain able persons as employees, directors and consultants and to provide a means whereby those persons upon whom the responsibilities of the successful administration and management of the Company and its Subsidiaries rest, and whose present and potential contributions to the welfare of the Company and its Subsidiaries are of importance, can acquire and maintain stock ownership, or awards the value of which is tied to the performance of the Company, thereby strengthening their concern for the welfare of the Company and its Subsidiaries and their desire to remain employed. A further purpose of the Plan is to provide such employees, directors and consultants with additional incentive and reward opportunities designed to enhance the profitable growth of the Company. Accordingly, the Plan primarily provides for the granting of Incentive Stock Options, Nonstatutory Stock Options, Restricted Stock Awards, Restricted Stock Units, Stock Appreciation Rights, Stock Awards, Dividend Equivalents, Other Stock-Based Awards, Cash Awards, Performance Awards, or any combination of the foregoing, as is best suited to the circumstances of the particular individual as provided herein.</w:t>
      </w:r>
    </w:p>
    <w:p>
      <w:pPr>
        <w:spacing w:after="0" w:line="187"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Definitions</w:t>
      </w:r>
      <w:r>
        <w:rPr>
          <w:rFonts w:ascii="Times New Roman" w:cs="Times New Roman" w:eastAsia="Times New Roman" w:hAnsi="Times New Roman"/>
          <w:sz w:val="20"/>
          <w:szCs w:val="20"/>
          <w:color w:val="auto"/>
        </w:rPr>
        <w:t>. For purposes of the Plan, the following terms shall be defined as set forth below:</w:t>
      </w:r>
    </w:p>
    <w:p>
      <w:pPr>
        <w:spacing w:after="0" w:line="215" w:lineRule="exact"/>
        <w:rPr>
          <w:rFonts w:ascii="Times New Roman" w:cs="Times New Roman" w:eastAsia="Times New Roman" w:hAnsi="Times New Roman"/>
          <w:sz w:val="20"/>
          <w:szCs w:val="20"/>
          <w:color w:val="auto"/>
        </w:rPr>
      </w:pPr>
    </w:p>
    <w:p>
      <w:pPr>
        <w:jc w:val="both"/>
        <w:ind w:left="1500" w:hanging="743"/>
        <w:spacing w:after="0" w:line="260" w:lineRule="auto"/>
        <w:tabs>
          <w:tab w:leader="none" w:pos="1500"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Affiliate</w:t>
      </w:r>
      <w:r>
        <w:rPr>
          <w:rFonts w:ascii="Times New Roman" w:cs="Times New Roman" w:eastAsia="Times New Roman" w:hAnsi="Times New Roman"/>
          <w:sz w:val="19"/>
          <w:szCs w:val="19"/>
          <w:color w:val="auto"/>
        </w:rPr>
        <w:t>” means any corporation, partnership, limited liability company, limited liability partnership, association, trust or other organization which, directly or indirectly, controls, is controlled by, or is under common control with, the Company. For purposes of the preceding sentence, “control” (including, with correlative meanings, the terms “controlled by” and “under common control with”), as used with respect to any entity or organization, shall mean the possession, directly or indirectly, of the power (i) to vote more than 50% of the securities having ordinary voting power for the election of directors of the controlled entity or organization, or (ii) to direct or cause the direction of the management and policies of the controlled entity or organization, whether through the ownership of voting securities, by contract, or otherwise.</w:t>
      </w:r>
    </w:p>
    <w:p>
      <w:pPr>
        <w:spacing w:after="0" w:line="165" w:lineRule="exact"/>
        <w:rPr>
          <w:rFonts w:ascii="Times New Roman" w:cs="Times New Roman" w:eastAsia="Times New Roman" w:hAnsi="Times New Roman"/>
          <w:sz w:val="19"/>
          <w:szCs w:val="19"/>
          <w:color w:val="auto"/>
        </w:rPr>
      </w:pPr>
    </w:p>
    <w:p>
      <w:pPr>
        <w:jc w:val="both"/>
        <w:ind w:left="1500" w:hanging="743"/>
        <w:spacing w:after="0" w:line="256" w:lineRule="auto"/>
        <w:tabs>
          <w:tab w:leader="none" w:pos="150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means any Option, SAR, Restricted Stock Award, Restricted Stock Unit, Stock Award, Dividend Equivalent, Other Stock-Based Award, Cash Award, Performance Award or Substitute Award, together with any other right or interest granted to a Participant under the Plan.</w:t>
      </w:r>
    </w:p>
    <w:p>
      <w:pPr>
        <w:spacing w:after="0" w:line="168" w:lineRule="exact"/>
        <w:rPr>
          <w:rFonts w:ascii="Times New Roman" w:cs="Times New Roman" w:eastAsia="Times New Roman" w:hAnsi="Times New Roman"/>
          <w:sz w:val="20"/>
          <w:szCs w:val="20"/>
          <w:color w:val="auto"/>
        </w:rPr>
      </w:pPr>
    </w:p>
    <w:p>
      <w:pPr>
        <w:jc w:val="both"/>
        <w:ind w:left="1500" w:hanging="743"/>
        <w:spacing w:after="0" w:line="256" w:lineRule="auto"/>
        <w:tabs>
          <w:tab w:leader="none" w:pos="150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Award Agreement</w:t>
      </w:r>
      <w:r>
        <w:rPr>
          <w:rFonts w:ascii="Times New Roman" w:cs="Times New Roman" w:eastAsia="Times New Roman" w:hAnsi="Times New Roman"/>
          <w:sz w:val="20"/>
          <w:szCs w:val="20"/>
          <w:color w:val="auto"/>
        </w:rPr>
        <w:t>” means any written instrument that establishes the terms, conditions, restrictions and/or limitations applicable to an Award in addition to those established by the Plan and by the Committee’s exercise of its administrative powers.</w:t>
      </w:r>
    </w:p>
    <w:p>
      <w:pPr>
        <w:spacing w:after="0" w:line="168"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means the Board of Directors of the Company.</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Cash Award</w:t>
      </w:r>
      <w:r>
        <w:rPr>
          <w:rFonts w:ascii="Times New Roman" w:cs="Times New Roman" w:eastAsia="Times New Roman" w:hAnsi="Times New Roman"/>
          <w:sz w:val="20"/>
          <w:szCs w:val="20"/>
          <w:color w:val="auto"/>
        </w:rPr>
        <w:t xml:space="preserve">” means an Award denominated in cash granted under </w:t>
      </w:r>
      <w:r>
        <w:rPr>
          <w:rFonts w:ascii="Times New Roman" w:cs="Times New Roman" w:eastAsia="Times New Roman" w:hAnsi="Times New Roman"/>
          <w:sz w:val="20"/>
          <w:szCs w:val="20"/>
          <w:u w:val="single" w:color="auto"/>
          <w:color w:val="auto"/>
        </w:rPr>
        <w:t>Section 6(i)</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of Control</w:t>
      </w:r>
      <w:r>
        <w:rPr>
          <w:rFonts w:ascii="Times New Roman" w:cs="Times New Roman" w:eastAsia="Times New Roman" w:hAnsi="Times New Roman"/>
          <w:sz w:val="20"/>
          <w:szCs w:val="20"/>
          <w:color w:val="auto"/>
        </w:rPr>
        <w:t>” means the occurrence of any of the following events:</w:t>
      </w:r>
    </w:p>
    <w:p>
      <w:pPr>
        <w:spacing w:after="0" w:line="219" w:lineRule="exact"/>
        <w:rPr>
          <w:rFonts w:ascii="Times New Roman" w:cs="Times New Roman" w:eastAsia="Times New Roman" w:hAnsi="Times New Roman"/>
          <w:sz w:val="20"/>
          <w:szCs w:val="20"/>
          <w:color w:val="auto"/>
        </w:rPr>
      </w:pPr>
    </w:p>
    <w:p>
      <w:pPr>
        <w:jc w:val="both"/>
        <w:ind w:left="2260" w:hanging="755"/>
        <w:spacing w:after="0" w:line="249" w:lineRule="auto"/>
        <w:tabs>
          <w:tab w:leader="none" w:pos="2260" w:val="left"/>
        </w:tabs>
        <w:numPr>
          <w:ilvl w:val="2"/>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the ownership of the Company,” which shall occur on the date that any one Person, or more than one Person acting as a group, acquires ownership of stock in the Company that, together with stock held by such person or group, constitutes more than 50% of the total fair market value or total voting power of the stock of the Company;</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0" w:name="page101"/>
    <w:bookmarkEnd w:id="100"/>
    <w:p>
      <w:pPr>
        <w:ind w:left="9603"/>
        <w:spacing w:after="0"/>
        <w:rPr>
          <w:sz w:val="20"/>
          <w:szCs w:val="20"/>
          <w:color w:val="auto"/>
        </w:rPr>
      </w:pPr>
      <w:r>
        <w:rPr>
          <w:rFonts w:ascii="Times New Roman" w:cs="Times New Roman" w:eastAsia="Times New Roman" w:hAnsi="Times New Roman"/>
          <w:sz w:val="17"/>
          <w:szCs w:val="17"/>
          <w:color w:val="auto"/>
        </w:rPr>
        <w:t>Exhibit 10.7</w:t>
      </w:r>
    </w:p>
    <w:p>
      <w:pPr>
        <w:spacing w:after="0" w:line="124" w:lineRule="exact"/>
        <w:rPr>
          <w:sz w:val="20"/>
          <w:szCs w:val="20"/>
          <w:color w:val="auto"/>
        </w:rPr>
      </w:pPr>
    </w:p>
    <w:p>
      <w:pPr>
        <w:jc w:val="both"/>
        <w:ind w:left="1503"/>
        <w:spacing w:after="0" w:line="242"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any one Person or more than one Person acting as a group is considered to own more than 50% of the total fair market value or total voting power of the stock of the Company, the acquisition of additional stock by the same Person or Persons shall not be considered a “change in the ownership of the Company” (or to cause a “change in the effective control of the Company” within the meaning of </w:t>
      </w:r>
      <w:r>
        <w:rPr>
          <w:rFonts w:ascii="Times New Roman" w:cs="Times New Roman" w:eastAsia="Times New Roman" w:hAnsi="Times New Roman"/>
          <w:sz w:val="20"/>
          <w:szCs w:val="20"/>
          <w:u w:val="single" w:color="auto"/>
          <w:color w:val="auto"/>
        </w:rPr>
        <w:t>Section 2(f)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and an increase of the effective percentage of stock owned by any one Person, or Persons acting as a group, as a result of a transaction in which the Company acquires its stock in exchange for property shall be treated as an acquisition of stock for purposes of this paragraph;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for purposes of this </w:t>
      </w:r>
      <w:r>
        <w:rPr>
          <w:rFonts w:ascii="Times New Roman" w:cs="Times New Roman" w:eastAsia="Times New Roman" w:hAnsi="Times New Roman"/>
          <w:sz w:val="20"/>
          <w:szCs w:val="20"/>
          <w:u w:val="single" w:color="auto"/>
          <w:color w:val="auto"/>
        </w:rPr>
        <w:t>Section 2(f)(i)</w:t>
      </w:r>
      <w:r>
        <w:rPr>
          <w:rFonts w:ascii="Times New Roman" w:cs="Times New Roman" w:eastAsia="Times New Roman" w:hAnsi="Times New Roman"/>
          <w:sz w:val="20"/>
          <w:szCs w:val="20"/>
          <w:color w:val="auto"/>
        </w:rPr>
        <w:t xml:space="preserve">, any acquisition by any employee benefit plan (or related trust) sponsored or maintained by the Company or any entity controlled by the Company shall not constitute a Change of Control. This </w:t>
      </w:r>
      <w:r>
        <w:rPr>
          <w:rFonts w:ascii="Times New Roman" w:cs="Times New Roman" w:eastAsia="Times New Roman" w:hAnsi="Times New Roman"/>
          <w:sz w:val="20"/>
          <w:szCs w:val="20"/>
          <w:u w:val="single" w:color="auto"/>
          <w:color w:val="auto"/>
        </w:rPr>
        <w:t>Section 2(f)(i)</w:t>
      </w:r>
      <w:r>
        <w:rPr>
          <w:rFonts w:ascii="Times New Roman" w:cs="Times New Roman" w:eastAsia="Times New Roman" w:hAnsi="Times New Roman"/>
          <w:sz w:val="20"/>
          <w:szCs w:val="20"/>
          <w:color w:val="auto"/>
        </w:rPr>
        <w:t xml:space="preserve"> shall apply only when there is a transfer of the stock of the Company (or issuance of stock) and stock in the Company remains outstanding after the transaction.</w:t>
      </w:r>
    </w:p>
    <w:p>
      <w:pPr>
        <w:spacing w:after="0" w:line="190" w:lineRule="exact"/>
        <w:rPr>
          <w:sz w:val="20"/>
          <w:szCs w:val="20"/>
          <w:color w:val="auto"/>
        </w:rPr>
      </w:pPr>
    </w:p>
    <w:p>
      <w:pPr>
        <w:jc w:val="both"/>
        <w:ind w:left="1503" w:hanging="755"/>
        <w:spacing w:after="0" w:line="242" w:lineRule="auto"/>
        <w:tabs>
          <w:tab w:leader="none" w:pos="1503"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“change in the effective control of the Company,” which shall occur on the date that either (A) any one Person, or more than one Person acting as a group, acquires (or has acquired during the 12-month period ending on the date of the most recent acquisition by such Person or Persons) ownership of stock of the Company possessing 30% or more of the total voting power of the stock of the Company, except for any acquisition by any employee benefit plan (or related trust) sponsored or maintained by the Company or any entity controlled by the Company; or (B) a majority of the members of the Board are replaced during any 12-month period by directors whose appointment or election is not endorsed by a majority of the members of the Board prior to the date of the appointment or election. For purposes of a “change in the effective control of the Company,” if any one Person, or more than one Person acting as a group, is considered to effectively control the Company within the meaning of this </w:t>
      </w:r>
      <w:r>
        <w:rPr>
          <w:rFonts w:ascii="Times New Roman" w:cs="Times New Roman" w:eastAsia="Times New Roman" w:hAnsi="Times New Roman"/>
          <w:sz w:val="20"/>
          <w:szCs w:val="20"/>
          <w:u w:val="single" w:color="auto"/>
          <w:color w:val="auto"/>
        </w:rPr>
        <w:t>Section 2(f)(ii)</w:t>
      </w:r>
      <w:r>
        <w:rPr>
          <w:rFonts w:ascii="Times New Roman" w:cs="Times New Roman" w:eastAsia="Times New Roman" w:hAnsi="Times New Roman"/>
          <w:sz w:val="20"/>
          <w:szCs w:val="20"/>
          <w:color w:val="auto"/>
        </w:rPr>
        <w:t xml:space="preserve">, the acquisition of additional control of the Company by the same Person or Persons shall not be a “change in the effective control of the Company” or cause a “change in the ownership of the Company” within the meaning of </w:t>
      </w:r>
      <w:r>
        <w:rPr>
          <w:rFonts w:ascii="Times New Roman" w:cs="Times New Roman" w:eastAsia="Times New Roman" w:hAnsi="Times New Roman"/>
          <w:sz w:val="20"/>
          <w:szCs w:val="20"/>
          <w:u w:val="single" w:color="auto"/>
          <w:color w:val="auto"/>
        </w:rPr>
        <w:t>Section 2(f)(i)</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0"/>
          <w:szCs w:val="20"/>
          <w:color w:val="auto"/>
        </w:rPr>
      </w:pPr>
    </w:p>
    <w:p>
      <w:pPr>
        <w:jc w:val="both"/>
        <w:ind w:left="1503" w:hanging="755"/>
        <w:spacing w:after="0" w:line="243" w:lineRule="auto"/>
        <w:tabs>
          <w:tab w:leader="none" w:pos="1503"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the ownership of a substantial portion of the Company’s assets,” which shall occur on the date that any one Person, or more than one Person acting as a group, acquires (or has acquired during the 12-month period ending on the date of the most recent acquisition by such Person or Persons) assets of the Company that have a total gross fair market value equal to or more than 40% of the total gross fair market value of all the assets of the Company immediately prior to such acquisition or acquisitions. For this purpose, gross fair market value means the value of the assets of the Company, or the value of the assets being disposed of, determined without regard to any liabilities associated with such assets. Any transfer of assets to an entity that is controlled by the Stockholders immediately after the transfer, as provided under Section 409A, shall not constitute a Change of Control.</w:t>
      </w:r>
    </w:p>
    <w:p>
      <w:pPr>
        <w:spacing w:after="0" w:line="186" w:lineRule="exact"/>
        <w:rPr>
          <w:sz w:val="20"/>
          <w:szCs w:val="20"/>
          <w:color w:val="auto"/>
        </w:rPr>
      </w:pPr>
    </w:p>
    <w:p>
      <w:pPr>
        <w:jc w:val="both"/>
        <w:ind w:left="743"/>
        <w:spacing w:after="0" w:line="244" w:lineRule="auto"/>
        <w:rPr>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2(f)</w:t>
      </w:r>
      <w:r>
        <w:rPr>
          <w:rFonts w:ascii="Times New Roman" w:cs="Times New Roman" w:eastAsia="Times New Roman" w:hAnsi="Times New Roman"/>
          <w:sz w:val="20"/>
          <w:szCs w:val="20"/>
          <w:color w:val="auto"/>
        </w:rPr>
        <w:t xml:space="preserve">, the provisions of section 318(a) of the Code regarding the constructive ownership of stock shall apply to determine stock ownership;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stock underlying unvested options (including options exercisable for stock that is not substantially vested) shall not be treated as owned by the individual who holds the option. In addition, for purposes of this </w:t>
      </w:r>
      <w:r>
        <w:rPr>
          <w:rFonts w:ascii="Times New Roman" w:cs="Times New Roman" w:eastAsia="Times New Roman" w:hAnsi="Times New Roman"/>
          <w:sz w:val="20"/>
          <w:szCs w:val="20"/>
          <w:u w:val="single" w:color="auto"/>
          <w:color w:val="auto"/>
        </w:rPr>
        <w:t>Section 2(f)</w:t>
      </w:r>
      <w:r>
        <w:rPr>
          <w:rFonts w:ascii="Times New Roman" w:cs="Times New Roman" w:eastAsia="Times New Roman" w:hAnsi="Times New Roman"/>
          <w:sz w:val="20"/>
          <w:szCs w:val="20"/>
          <w:color w:val="auto"/>
        </w:rPr>
        <w:t xml:space="preserve"> and except as otherwise provided in an Award Agreement, “Company” includes (x) the Company, (y) the entity for whom a Participant performs the services for which an Award is granted, and</w:t>
      </w:r>
    </w:p>
    <w:p>
      <w:pPr>
        <w:jc w:val="both"/>
        <w:ind w:left="743"/>
        <w:spacing w:after="0" w:line="261" w:lineRule="auto"/>
        <w:rPr>
          <w:sz w:val="20"/>
          <w:szCs w:val="20"/>
          <w:color w:val="auto"/>
        </w:rPr>
      </w:pPr>
      <w:r>
        <w:rPr>
          <w:rFonts w:ascii="Times New Roman" w:cs="Times New Roman" w:eastAsia="Times New Roman" w:hAnsi="Times New Roman"/>
          <w:sz w:val="19"/>
          <w:szCs w:val="19"/>
          <w:color w:val="auto"/>
        </w:rPr>
        <w:t>(z) an entity that is a Stockholder owning more than 50% of the total fair market value and total voting power (a “</w:t>
      </w:r>
      <w:r>
        <w:rPr>
          <w:rFonts w:ascii="Times New Roman" w:cs="Times New Roman" w:eastAsia="Times New Roman" w:hAnsi="Times New Roman"/>
          <w:sz w:val="19"/>
          <w:szCs w:val="19"/>
          <w:b w:val="1"/>
          <w:bCs w:val="1"/>
          <w:i w:val="1"/>
          <w:iCs w:val="1"/>
          <w:color w:val="auto"/>
        </w:rPr>
        <w:t>Majority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Stockholder</w:t>
      </w:r>
      <w:r>
        <w:rPr>
          <w:rFonts w:ascii="Times New Roman" w:cs="Times New Roman" w:eastAsia="Times New Roman" w:hAnsi="Times New Roman"/>
          <w:sz w:val="19"/>
          <w:szCs w:val="19"/>
          <w:color w:val="auto"/>
        </w:rPr>
        <w:t>”) of the Company or the entity identified in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u w:val="single" w:color="auto"/>
          <w:color w:val="auto"/>
        </w:rPr>
        <w:t>(y)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above, or any entity in a chain of entities in which each entity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is a Majority Stockholder of another entity in the chain, ending in the Company or the entity identified in </w:t>
      </w:r>
      <w:r>
        <w:rPr>
          <w:rFonts w:ascii="Times New Roman" w:cs="Times New Roman" w:eastAsia="Times New Roman" w:hAnsi="Times New Roman"/>
          <w:sz w:val="19"/>
          <w:szCs w:val="19"/>
          <w:u w:val="single" w:color="auto"/>
          <w:color w:val="auto"/>
        </w:rPr>
        <w:t>(y)</w:t>
      </w:r>
      <w:r>
        <w:rPr>
          <w:rFonts w:ascii="Times New Roman" w:cs="Times New Roman" w:eastAsia="Times New Roman" w:hAnsi="Times New Roman"/>
          <w:sz w:val="19"/>
          <w:szCs w:val="19"/>
          <w:color w:val="auto"/>
        </w:rPr>
        <w:t xml:space="preserve"> above.</w:t>
      </w:r>
    </w:p>
    <w:p>
      <w:pPr>
        <w:spacing w:after="0" w:line="165" w:lineRule="exact"/>
        <w:rPr>
          <w:sz w:val="20"/>
          <w:szCs w:val="20"/>
          <w:color w:val="auto"/>
        </w:rPr>
      </w:pPr>
    </w:p>
    <w:p>
      <w:pPr>
        <w:ind w:left="743" w:hanging="743"/>
        <w:spacing w:after="0"/>
        <w:tabs>
          <w:tab w:leader="none" w:pos="743"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United States Internal Revenue Code of 1986.</w:t>
      </w:r>
    </w:p>
    <w:p>
      <w:pPr>
        <w:spacing w:after="0" w:line="314" w:lineRule="exact"/>
        <w:rPr>
          <w:sz w:val="20"/>
          <w:szCs w:val="20"/>
          <w:color w:val="auto"/>
        </w:rPr>
      </w:pPr>
    </w:p>
    <w:p>
      <w:pPr>
        <w:ind w:left="4723"/>
        <w:spacing w:after="0"/>
        <w:rPr>
          <w:sz w:val="20"/>
          <w:szCs w:val="20"/>
          <w:color w:val="auto"/>
        </w:rPr>
      </w:pPr>
      <w:r>
        <w:rPr>
          <w:rFonts w:ascii="Times New Roman" w:cs="Times New Roman" w:eastAsia="Times New Roman" w:hAnsi="Times New Roman"/>
          <w:sz w:val="20"/>
          <w:szCs w:val="20"/>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481330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9"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color w:val="auto"/>
        </w:rPr>
        <w:t>Exhibit 10.7</w:t>
      </w:r>
    </w:p>
    <w:p>
      <w:pPr>
        <w:spacing w:after="0" w:line="109" w:lineRule="exact"/>
        <w:rPr>
          <w:sz w:val="20"/>
          <w:szCs w:val="20"/>
          <w:color w:val="auto"/>
        </w:rPr>
      </w:pPr>
    </w:p>
    <w:p>
      <w:pPr>
        <w:jc w:val="both"/>
        <w:ind w:left="743" w:hanging="743"/>
        <w:spacing w:after="0" w:line="256" w:lineRule="auto"/>
        <w:tabs>
          <w:tab w:leader="none" w:pos="74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xml:space="preserve">” means a committee of two or more directors designated by the Board to administer the Plan;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unless otherwise determined by the Board, the Committee shall consist solely of two or more directors, each of whom shall be a Qualified Member.</w:t>
      </w:r>
    </w:p>
    <w:p>
      <w:pPr>
        <w:spacing w:after="0" w:line="168" w:lineRule="exact"/>
        <w:rPr>
          <w:rFonts w:ascii="Times New Roman" w:cs="Times New Roman" w:eastAsia="Times New Roman" w:hAnsi="Times New Roman"/>
          <w:sz w:val="20"/>
          <w:szCs w:val="20"/>
          <w:color w:val="auto"/>
        </w:rPr>
      </w:pPr>
    </w:p>
    <w:p>
      <w:pPr>
        <w:ind w:left="743" w:hanging="743"/>
        <w:spacing w:after="0" w:line="300" w:lineRule="auto"/>
        <w:tabs>
          <w:tab w:leader="none" w:pos="743"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Covered Employee</w:t>
      </w:r>
      <w:r>
        <w:rPr>
          <w:rFonts w:ascii="Times New Roman" w:cs="Times New Roman" w:eastAsia="Times New Roman" w:hAnsi="Times New Roman"/>
          <w:sz w:val="19"/>
          <w:szCs w:val="19"/>
          <w:color w:val="auto"/>
        </w:rPr>
        <w:t>” means an Eligible Person who is designated by the Committee, at the time of grant of a Performance Award, as likely to be a “covered employee” within the meaning of Section 162(m) for a specified fiscal year.</w:t>
      </w:r>
    </w:p>
    <w:p>
      <w:pPr>
        <w:spacing w:after="0" w:line="128" w:lineRule="exact"/>
        <w:rPr>
          <w:rFonts w:ascii="Times New Roman" w:cs="Times New Roman" w:eastAsia="Times New Roman" w:hAnsi="Times New Roman"/>
          <w:sz w:val="19"/>
          <w:szCs w:val="19"/>
          <w:color w:val="auto"/>
        </w:rPr>
      </w:pPr>
    </w:p>
    <w:p>
      <w:pPr>
        <w:jc w:val="both"/>
        <w:ind w:left="743" w:hanging="743"/>
        <w:spacing w:after="0" w:line="256" w:lineRule="auto"/>
        <w:tabs>
          <w:tab w:leader="none" w:pos="74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Dividend Equivalent</w:t>
      </w:r>
      <w:r>
        <w:rPr>
          <w:rFonts w:ascii="Times New Roman" w:cs="Times New Roman" w:eastAsia="Times New Roman" w:hAnsi="Times New Roman"/>
          <w:sz w:val="20"/>
          <w:szCs w:val="20"/>
          <w:color w:val="auto"/>
        </w:rPr>
        <w:t xml:space="preserve">” means a right, granted to an Eligible Person under </w:t>
      </w:r>
      <w:r>
        <w:rPr>
          <w:rFonts w:ascii="Times New Roman" w:cs="Times New Roman" w:eastAsia="Times New Roman" w:hAnsi="Times New Roman"/>
          <w:sz w:val="20"/>
          <w:szCs w:val="20"/>
          <w:u w:val="single" w:color="auto"/>
          <w:color w:val="auto"/>
        </w:rPr>
        <w:t>Section 6(g)</w:t>
      </w:r>
      <w:r>
        <w:rPr>
          <w:rFonts w:ascii="Times New Roman" w:cs="Times New Roman" w:eastAsia="Times New Roman" w:hAnsi="Times New Roman"/>
          <w:sz w:val="20"/>
          <w:szCs w:val="20"/>
          <w:color w:val="auto"/>
        </w:rPr>
        <w:t>, to receive cash, Stock, other Awards or other property equal in value to dividends paid with respect to a specified number of shares of Stock, or other periodic payments.</w:t>
      </w:r>
    </w:p>
    <w:p>
      <w:pPr>
        <w:spacing w:after="0" w:line="168"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means March 4, 2021.</w:t>
      </w:r>
    </w:p>
    <w:p>
      <w:pPr>
        <w:spacing w:after="0" w:line="215" w:lineRule="exact"/>
        <w:rPr>
          <w:rFonts w:ascii="Times New Roman" w:cs="Times New Roman" w:eastAsia="Times New Roman" w:hAnsi="Times New Roman"/>
          <w:sz w:val="20"/>
          <w:szCs w:val="20"/>
          <w:color w:val="auto"/>
        </w:rPr>
      </w:pPr>
    </w:p>
    <w:p>
      <w:pPr>
        <w:jc w:val="both"/>
        <w:ind w:left="743" w:hanging="743"/>
        <w:spacing w:after="0" w:line="246" w:lineRule="auto"/>
        <w:tabs>
          <w:tab w:leader="none" w:pos="74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Eligible Person</w:t>
      </w:r>
      <w:r>
        <w:rPr>
          <w:rFonts w:ascii="Times New Roman" w:cs="Times New Roman" w:eastAsia="Times New Roman" w:hAnsi="Times New Roman"/>
          <w:sz w:val="20"/>
          <w:szCs w:val="20"/>
          <w:color w:val="auto"/>
        </w:rPr>
        <w:t xml:space="preserve">” means all officers and employees of the Company or of any of its Subsidiaries, and other persons who provide services or will provide services to the Company or any of its Subsidiaries, including directors of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such individual must be an “employee” of the Company or any of its parents or subsidiaries within the meaning of General Instruction A.1(a) to Form S-8 if such individual shall be granted an award that shall, or may, be settled in Stock. An employee on leave of absence may be considered as still in the employ of the Company or its Subsidiaries for purposes of eligibility for participation in the Plan.</w:t>
      </w:r>
    </w:p>
    <w:p>
      <w:pPr>
        <w:spacing w:after="0" w:line="178"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Securities Exchange Act of 1934.</w:t>
      </w:r>
    </w:p>
    <w:p>
      <w:pPr>
        <w:spacing w:after="0" w:line="215" w:lineRule="exact"/>
        <w:rPr>
          <w:rFonts w:ascii="Times New Roman" w:cs="Times New Roman" w:eastAsia="Times New Roman" w:hAnsi="Times New Roman"/>
          <w:sz w:val="20"/>
          <w:szCs w:val="20"/>
          <w:color w:val="auto"/>
        </w:rPr>
      </w:pPr>
    </w:p>
    <w:p>
      <w:pPr>
        <w:jc w:val="both"/>
        <w:ind w:left="743" w:hanging="743"/>
        <w:spacing w:after="0" w:line="244" w:lineRule="auto"/>
        <w:tabs>
          <w:tab w:leader="none" w:pos="74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Fair Market Value</w:t>
      </w:r>
      <w:r>
        <w:rPr>
          <w:rFonts w:ascii="Times New Roman" w:cs="Times New Roman" w:eastAsia="Times New Roman" w:hAnsi="Times New Roman"/>
          <w:sz w:val="20"/>
          <w:szCs w:val="20"/>
          <w:color w:val="auto"/>
        </w:rPr>
        <w:t>” means, as of any specified date, (i) if the Stock is listed on a national securities exchange, the closing sales price of the Stock, as reported on the stock exchange composite tape on that date (or if no sales occur on that date, on the last preceding date on which such sales of the Stock are so reported); (ii) if the Stock is not traded on a national securities exchange but is traded over the counter at the time a determination of its fair market value is required to be made under the Plan, the average between the reported high and low bid and asked prices of Stock on the most recent date on which Stock was publicly traded; or (iii) in the event Stock is not publicly traded at the time a determination of its value is required to be made under the Plan, the amount determined by the Committee in such manner as it deems appropriate, taking into account all factors the Committee deems appropriate including Section 409A.</w:t>
      </w:r>
    </w:p>
    <w:p>
      <w:pPr>
        <w:spacing w:after="0" w:line="181" w:lineRule="exact"/>
        <w:rPr>
          <w:rFonts w:ascii="Times New Roman" w:cs="Times New Roman" w:eastAsia="Times New Roman" w:hAnsi="Times New Roman"/>
          <w:sz w:val="20"/>
          <w:szCs w:val="20"/>
          <w:color w:val="auto"/>
        </w:rPr>
      </w:pPr>
    </w:p>
    <w:p>
      <w:pPr>
        <w:ind w:left="743" w:right="20" w:hanging="743"/>
        <w:spacing w:after="0" w:line="273" w:lineRule="auto"/>
        <w:tabs>
          <w:tab w:leader="none" w:pos="74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 Stock Option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ISO</w:t>
      </w:r>
      <w:r>
        <w:rPr>
          <w:rFonts w:ascii="Times New Roman" w:cs="Times New Roman" w:eastAsia="Times New Roman" w:hAnsi="Times New Roman"/>
          <w:sz w:val="20"/>
          <w:szCs w:val="20"/>
          <w:color w:val="auto"/>
        </w:rPr>
        <w:t>” means any Option intended to be and designated as an incentive stock option within the meaning of Section 422.</w:t>
      </w:r>
    </w:p>
    <w:p>
      <w:pPr>
        <w:spacing w:after="0" w:line="151" w:lineRule="exact"/>
        <w:rPr>
          <w:rFonts w:ascii="Times New Roman" w:cs="Times New Roman" w:eastAsia="Times New Roman" w:hAnsi="Times New Roman"/>
          <w:sz w:val="20"/>
          <w:szCs w:val="20"/>
          <w:color w:val="auto"/>
        </w:rPr>
      </w:pPr>
    </w:p>
    <w:p>
      <w:pPr>
        <w:ind w:left="743" w:right="20" w:hanging="743"/>
        <w:spacing w:after="0" w:line="273" w:lineRule="auto"/>
        <w:tabs>
          <w:tab w:leader="none" w:pos="74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Nonstatutory Stock Option</w:t>
      </w:r>
      <w:r>
        <w:rPr>
          <w:rFonts w:ascii="Times New Roman" w:cs="Times New Roman" w:eastAsia="Times New Roman" w:hAnsi="Times New Roman"/>
          <w:sz w:val="20"/>
          <w:szCs w:val="20"/>
          <w:color w:val="auto"/>
        </w:rPr>
        <w:t>” means any Option that is not intended to be an “incentive stock option” within the meaning of Section 422.</w:t>
      </w:r>
    </w:p>
    <w:p>
      <w:pPr>
        <w:spacing w:after="0" w:line="151" w:lineRule="exact"/>
        <w:rPr>
          <w:rFonts w:ascii="Times New Roman" w:cs="Times New Roman" w:eastAsia="Times New Roman" w:hAnsi="Times New Roman"/>
          <w:sz w:val="20"/>
          <w:szCs w:val="20"/>
          <w:color w:val="auto"/>
        </w:rPr>
      </w:pPr>
    </w:p>
    <w:p>
      <w:pPr>
        <w:ind w:left="743" w:hanging="743"/>
        <w:spacing w:after="0" w:line="273" w:lineRule="auto"/>
        <w:tabs>
          <w:tab w:leader="none" w:pos="74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xml:space="preserve">” means a right, granted to an Eligible Person under </w:t>
      </w:r>
      <w:r>
        <w:rPr>
          <w:rFonts w:ascii="Times New Roman" w:cs="Times New Roman" w:eastAsia="Times New Roman" w:hAnsi="Times New Roman"/>
          <w:sz w:val="20"/>
          <w:szCs w:val="20"/>
          <w:u w:val="single" w:color="auto"/>
          <w:color w:val="auto"/>
        </w:rPr>
        <w:t>Section 6(b)</w:t>
      </w:r>
      <w:r>
        <w:rPr>
          <w:rFonts w:ascii="Times New Roman" w:cs="Times New Roman" w:eastAsia="Times New Roman" w:hAnsi="Times New Roman"/>
          <w:sz w:val="20"/>
          <w:szCs w:val="20"/>
          <w:color w:val="auto"/>
        </w:rPr>
        <w:t>, to purchase Stock or other Awards at a specified price during specified time periods.</w:t>
      </w:r>
    </w:p>
    <w:p>
      <w:pPr>
        <w:spacing w:after="0" w:line="151"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Other Stock-Based Awards</w:t>
      </w:r>
      <w:r>
        <w:rPr>
          <w:rFonts w:ascii="Times New Roman" w:cs="Times New Roman" w:eastAsia="Times New Roman" w:hAnsi="Times New Roman"/>
          <w:sz w:val="20"/>
          <w:szCs w:val="20"/>
          <w:color w:val="auto"/>
        </w:rPr>
        <w:t xml:space="preserve">” means Awards granted to an Eligible Person under </w:t>
      </w:r>
      <w:r>
        <w:rPr>
          <w:rFonts w:ascii="Times New Roman" w:cs="Times New Roman" w:eastAsia="Times New Roman" w:hAnsi="Times New Roman"/>
          <w:sz w:val="20"/>
          <w:szCs w:val="20"/>
          <w:u w:val="single" w:color="auto"/>
          <w:color w:val="auto"/>
        </w:rPr>
        <w:t>Section 6(h)</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743" w:hanging="743"/>
        <w:spacing w:after="0" w:line="273" w:lineRule="auto"/>
        <w:tabs>
          <w:tab w:leader="none" w:pos="74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means a person who has been granted an Award under the Plan that remains outstanding, including a person who is no longer an Eligible Person.</w:t>
      </w:r>
    </w:p>
    <w:p>
      <w:pPr>
        <w:spacing w:after="0" w:line="151" w:lineRule="exact"/>
        <w:rPr>
          <w:rFonts w:ascii="Times New Roman" w:cs="Times New Roman" w:eastAsia="Times New Roman" w:hAnsi="Times New Roman"/>
          <w:sz w:val="20"/>
          <w:szCs w:val="20"/>
          <w:color w:val="auto"/>
        </w:rPr>
      </w:pPr>
    </w:p>
    <w:p>
      <w:pPr>
        <w:ind w:left="743" w:right="20" w:hanging="743"/>
        <w:spacing w:after="0" w:line="273" w:lineRule="auto"/>
        <w:tabs>
          <w:tab w:leader="none" w:pos="74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Performance Award</w:t>
      </w:r>
      <w:r>
        <w:rPr>
          <w:rFonts w:ascii="Times New Roman" w:cs="Times New Roman" w:eastAsia="Times New Roman" w:hAnsi="Times New Roman"/>
          <w:sz w:val="20"/>
          <w:szCs w:val="20"/>
          <w:color w:val="auto"/>
        </w:rPr>
        <w:t xml:space="preserve">” means a right, granted to an Eligible Person under </w:t>
      </w:r>
      <w:r>
        <w:rPr>
          <w:rFonts w:ascii="Times New Roman" w:cs="Times New Roman" w:eastAsia="Times New Roman" w:hAnsi="Times New Roman"/>
          <w:sz w:val="20"/>
          <w:szCs w:val="20"/>
          <w:u w:val="single" w:color="auto"/>
          <w:color w:val="auto"/>
        </w:rPr>
        <w:t>Section 6(k)</w:t>
      </w:r>
      <w:r>
        <w:rPr>
          <w:rFonts w:ascii="Times New Roman" w:cs="Times New Roman" w:eastAsia="Times New Roman" w:hAnsi="Times New Roman"/>
          <w:sz w:val="20"/>
          <w:szCs w:val="20"/>
          <w:color w:val="auto"/>
        </w:rPr>
        <w:t>, to receive Awards based upon performance criteria specified by the Committee.</w:t>
      </w:r>
    </w:p>
    <w:p>
      <w:pPr>
        <w:spacing w:after="0" w:line="151" w:lineRule="exact"/>
        <w:rPr>
          <w:rFonts w:ascii="Times New Roman" w:cs="Times New Roman" w:eastAsia="Times New Roman" w:hAnsi="Times New Roman"/>
          <w:sz w:val="20"/>
          <w:szCs w:val="20"/>
          <w:color w:val="auto"/>
        </w:rPr>
      </w:pPr>
    </w:p>
    <w:p>
      <w:pPr>
        <w:ind w:left="743" w:hanging="743"/>
        <w:spacing w:after="0" w:line="273" w:lineRule="auto"/>
        <w:tabs>
          <w:tab w:leader="none" w:pos="74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Person</w:t>
      </w:r>
      <w:r>
        <w:rPr>
          <w:rFonts w:ascii="Times New Roman" w:cs="Times New Roman" w:eastAsia="Times New Roman" w:hAnsi="Times New Roman"/>
          <w:sz w:val="20"/>
          <w:szCs w:val="20"/>
          <w:color w:val="auto"/>
        </w:rPr>
        <w:t>” means any person or entity of any nature whatsoever, specifically including an individual, a firm, a company, a corporation, a partnership, a limited liability company, a trust or other entity;</w:t>
      </w:r>
    </w:p>
    <w:p>
      <w:pPr>
        <w:spacing w:after="0" w:line="250" w:lineRule="exact"/>
        <w:rPr>
          <w:sz w:val="20"/>
          <w:szCs w:val="20"/>
          <w:color w:val="auto"/>
        </w:rPr>
      </w:pPr>
    </w:p>
    <w:p>
      <w:pPr>
        <w:ind w:left="4723"/>
        <w:spacing w:after="0"/>
        <w:rPr>
          <w:sz w:val="20"/>
          <w:szCs w:val="20"/>
          <w:color w:val="auto"/>
        </w:rPr>
      </w:pPr>
      <w:r>
        <w:rPr>
          <w:rFonts w:ascii="Times New Roman" w:cs="Times New Roman" w:eastAsia="Times New Roman" w:hAnsi="Times New Roman"/>
          <w:sz w:val="20"/>
          <w:szCs w:val="20"/>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481330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9" w:right="339" w:bottom="1440" w:gutter="0" w:footer="0" w:header="0"/>
        </w:sectPr>
      </w:pPr>
    </w:p>
    <w:bookmarkStart w:id="102" w:name="page103"/>
    <w:bookmarkEnd w:id="102"/>
    <w:p>
      <w:pPr>
        <w:ind w:left="9603"/>
        <w:spacing w:after="0"/>
        <w:rPr>
          <w:sz w:val="20"/>
          <w:szCs w:val="20"/>
          <w:color w:val="auto"/>
        </w:rPr>
      </w:pPr>
      <w:r>
        <w:rPr>
          <w:rFonts w:ascii="Times New Roman" w:cs="Times New Roman" w:eastAsia="Times New Roman" w:hAnsi="Times New Roman"/>
          <w:sz w:val="17"/>
          <w:szCs w:val="17"/>
          <w:color w:val="auto"/>
        </w:rPr>
        <w:t>Exhibit 10.7</w:t>
      </w:r>
    </w:p>
    <w:p>
      <w:pPr>
        <w:spacing w:after="0" w:line="124" w:lineRule="exact"/>
        <w:rPr>
          <w:sz w:val="20"/>
          <w:szCs w:val="20"/>
          <w:color w:val="auto"/>
        </w:rPr>
      </w:pPr>
    </w:p>
    <w:p>
      <w:pPr>
        <w:jc w:val="both"/>
        <w:ind w:left="743"/>
        <w:spacing w:after="0" w:line="245" w:lineRule="auto"/>
        <w:rPr>
          <w:sz w:val="20"/>
          <w:szCs w:val="20"/>
          <w:color w:val="auto"/>
        </w:rPr>
      </w:pPr>
      <w:r>
        <w:rPr>
          <w:rFonts w:ascii="Times New Roman" w:cs="Times New Roman" w:eastAsia="Times New Roman" w:hAnsi="Times New Roman"/>
          <w:sz w:val="20"/>
          <w:szCs w:val="20"/>
          <w:color w:val="auto"/>
        </w:rPr>
        <w:t xml:space="preserve">a Person, together with that Person’s Affiliates and Associates (as those terms are defined in Rule 12b-2 under the Exchange Act,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“registrant” as used in Rule 12b-2 shall mean the Company), and any Persons acting as a partnership, limited partnership, joint venture, association, syndicate or other group (whether or not formally organized), or otherwise acting jointly or in concert or in a coordinated or consciously parallel manner (whether or not pursuant to any express agreement), for the purpose of acquiring, holding, voting or disposing of securities of the Company with such Person, shall be deemed a single “Person.”</w:t>
      </w:r>
    </w:p>
    <w:p>
      <w:pPr>
        <w:spacing w:after="0" w:line="180" w:lineRule="exact"/>
        <w:rPr>
          <w:sz w:val="20"/>
          <w:szCs w:val="20"/>
          <w:color w:val="auto"/>
        </w:rPr>
      </w:pPr>
    </w:p>
    <w:p>
      <w:pPr>
        <w:ind w:left="743" w:hanging="743"/>
        <w:spacing w:after="0"/>
        <w:tabs>
          <w:tab w:leader="none" w:pos="74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Prior Plan</w:t>
      </w:r>
      <w:r>
        <w:rPr>
          <w:rFonts w:ascii="Times New Roman" w:cs="Times New Roman" w:eastAsia="Times New Roman" w:hAnsi="Times New Roman"/>
          <w:sz w:val="20"/>
          <w:szCs w:val="20"/>
          <w:color w:val="auto"/>
        </w:rPr>
        <w:t>” means the LSB Industries, Inc. 2008 Incentive Stock Plan, as amended effective June 5, 2014.</w:t>
      </w:r>
    </w:p>
    <w:p>
      <w:pPr>
        <w:spacing w:after="0" w:line="215" w:lineRule="exact"/>
        <w:rPr>
          <w:rFonts w:ascii="Times New Roman" w:cs="Times New Roman" w:eastAsia="Times New Roman" w:hAnsi="Times New Roman"/>
          <w:sz w:val="20"/>
          <w:szCs w:val="20"/>
          <w:color w:val="auto"/>
        </w:rPr>
      </w:pPr>
    </w:p>
    <w:p>
      <w:pPr>
        <w:jc w:val="both"/>
        <w:ind w:left="743" w:hanging="743"/>
        <w:spacing w:after="0" w:line="250" w:lineRule="auto"/>
        <w:tabs>
          <w:tab w:leader="none" w:pos="74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Qualified Member</w:t>
      </w:r>
      <w:r>
        <w:rPr>
          <w:rFonts w:ascii="Times New Roman" w:cs="Times New Roman" w:eastAsia="Times New Roman" w:hAnsi="Times New Roman"/>
          <w:sz w:val="20"/>
          <w:szCs w:val="20"/>
          <w:color w:val="auto"/>
        </w:rPr>
        <w:t>” means a member of the Committee who is (i) a “nonemployee director” within the meaning of Rule 16b-3(b)(3), (ii) an “outside director” within the meaning of Section 162(m), and (iii) “independent” under the listing standards or rules of the securities exchange upon which the Stock is traded, but only to the extent such independence is required in order to take the action at issue pursuant to such standards or rules.</w:t>
      </w:r>
    </w:p>
    <w:p>
      <w:pPr>
        <w:spacing w:after="0" w:line="175" w:lineRule="exact"/>
        <w:rPr>
          <w:rFonts w:ascii="Times New Roman" w:cs="Times New Roman" w:eastAsia="Times New Roman" w:hAnsi="Times New Roman"/>
          <w:sz w:val="20"/>
          <w:szCs w:val="20"/>
          <w:color w:val="auto"/>
        </w:rPr>
      </w:pPr>
    </w:p>
    <w:p>
      <w:pPr>
        <w:ind w:left="743" w:hanging="743"/>
        <w:spacing w:after="0" w:line="273" w:lineRule="auto"/>
        <w:tabs>
          <w:tab w:leader="none" w:pos="74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Restricted Stock</w:t>
      </w:r>
      <w:r>
        <w:rPr>
          <w:rFonts w:ascii="Times New Roman" w:cs="Times New Roman" w:eastAsia="Times New Roman" w:hAnsi="Times New Roman"/>
          <w:sz w:val="20"/>
          <w:szCs w:val="20"/>
          <w:color w:val="auto"/>
        </w:rPr>
        <w:t xml:space="preserve">” means Stock granted to an Eligible Person under </w:t>
      </w:r>
      <w:r>
        <w:rPr>
          <w:rFonts w:ascii="Times New Roman" w:cs="Times New Roman" w:eastAsia="Times New Roman" w:hAnsi="Times New Roman"/>
          <w:sz w:val="20"/>
          <w:szCs w:val="20"/>
          <w:u w:val="single" w:color="auto"/>
          <w:color w:val="auto"/>
        </w:rPr>
        <w:t>Section 6(d)</w:t>
      </w:r>
      <w:r>
        <w:rPr>
          <w:rFonts w:ascii="Times New Roman" w:cs="Times New Roman" w:eastAsia="Times New Roman" w:hAnsi="Times New Roman"/>
          <w:sz w:val="20"/>
          <w:szCs w:val="20"/>
          <w:color w:val="auto"/>
        </w:rPr>
        <w:t xml:space="preserve"> that is subject to certain restrictions and to a risk of forfeiture.</w:t>
      </w:r>
    </w:p>
    <w:p>
      <w:pPr>
        <w:spacing w:after="0" w:line="151" w:lineRule="exact"/>
        <w:rPr>
          <w:rFonts w:ascii="Times New Roman" w:cs="Times New Roman" w:eastAsia="Times New Roman" w:hAnsi="Times New Roman"/>
          <w:sz w:val="20"/>
          <w:szCs w:val="20"/>
          <w:color w:val="auto"/>
        </w:rPr>
      </w:pPr>
    </w:p>
    <w:p>
      <w:pPr>
        <w:ind w:left="743" w:hanging="743"/>
        <w:spacing w:after="0" w:line="273" w:lineRule="auto"/>
        <w:tabs>
          <w:tab w:leader="none" w:pos="74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Restricted Stock Unit</w:t>
      </w:r>
      <w:r>
        <w:rPr>
          <w:rFonts w:ascii="Times New Roman" w:cs="Times New Roman" w:eastAsia="Times New Roman" w:hAnsi="Times New Roman"/>
          <w:sz w:val="20"/>
          <w:szCs w:val="20"/>
          <w:color w:val="auto"/>
        </w:rPr>
        <w:t xml:space="preserve">” means a right, granted to an Eligible Person under </w:t>
      </w:r>
      <w:r>
        <w:rPr>
          <w:rFonts w:ascii="Times New Roman" w:cs="Times New Roman" w:eastAsia="Times New Roman" w:hAnsi="Times New Roman"/>
          <w:sz w:val="20"/>
          <w:szCs w:val="20"/>
          <w:u w:val="single" w:color="auto"/>
          <w:color w:val="auto"/>
        </w:rPr>
        <w:t>Section 6(e)</w:t>
      </w:r>
      <w:r>
        <w:rPr>
          <w:rFonts w:ascii="Times New Roman" w:cs="Times New Roman" w:eastAsia="Times New Roman" w:hAnsi="Times New Roman"/>
          <w:sz w:val="20"/>
          <w:szCs w:val="20"/>
          <w:color w:val="auto"/>
        </w:rPr>
        <w:t>, to receive Stock, cash or a combination thereof at the end of a specified period.</w:t>
      </w:r>
    </w:p>
    <w:p>
      <w:pPr>
        <w:spacing w:after="0" w:line="152" w:lineRule="exact"/>
        <w:rPr>
          <w:sz w:val="20"/>
          <w:szCs w:val="20"/>
          <w:color w:val="auto"/>
        </w:rPr>
      </w:pPr>
    </w:p>
    <w:p>
      <w:pPr>
        <w:ind w:left="743" w:hanging="743"/>
        <w:spacing w:after="0"/>
        <w:tabs>
          <w:tab w:leader="none" w:pos="743"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Rule 16b-3</w:t>
      </w:r>
      <w:r>
        <w:rPr>
          <w:rFonts w:ascii="Times New Roman" w:cs="Times New Roman" w:eastAsia="Times New Roman" w:hAnsi="Times New Roman"/>
          <w:sz w:val="20"/>
          <w:szCs w:val="20"/>
          <w:color w:val="auto"/>
        </w:rPr>
        <w:t>” means Rule 16b-3 promulgated under the Exchange Act.</w:t>
      </w:r>
    </w:p>
    <w:p>
      <w:pPr>
        <w:spacing w:after="0" w:line="215"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Section 162(m)</w:t>
      </w:r>
      <w:r>
        <w:rPr>
          <w:rFonts w:ascii="Times New Roman" w:cs="Times New Roman" w:eastAsia="Times New Roman" w:hAnsi="Times New Roman"/>
          <w:sz w:val="20"/>
          <w:szCs w:val="20"/>
          <w:color w:val="auto"/>
        </w:rPr>
        <w:t>” means section 162(m) of the Code.</w:t>
      </w:r>
    </w:p>
    <w:p>
      <w:pPr>
        <w:spacing w:after="0" w:line="215" w:lineRule="exact"/>
        <w:rPr>
          <w:rFonts w:ascii="Times New Roman" w:cs="Times New Roman" w:eastAsia="Times New Roman" w:hAnsi="Times New Roman"/>
          <w:sz w:val="20"/>
          <w:szCs w:val="20"/>
          <w:color w:val="auto"/>
        </w:rPr>
      </w:pPr>
    </w:p>
    <w:p>
      <w:pPr>
        <w:ind w:left="743" w:hanging="743"/>
        <w:spacing w:after="0" w:line="273" w:lineRule="auto"/>
        <w:tabs>
          <w:tab w:leader="none" w:pos="743"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Section 162(m) Award</w:t>
      </w:r>
      <w:r>
        <w:rPr>
          <w:rFonts w:ascii="Times New Roman" w:cs="Times New Roman" w:eastAsia="Times New Roman" w:hAnsi="Times New Roman"/>
          <w:sz w:val="20"/>
          <w:szCs w:val="20"/>
          <w:color w:val="auto"/>
        </w:rPr>
        <w:t xml:space="preserve">” means a Performance Award granted under </w:t>
      </w:r>
      <w:r>
        <w:rPr>
          <w:rFonts w:ascii="Times New Roman" w:cs="Times New Roman" w:eastAsia="Times New Roman" w:hAnsi="Times New Roman"/>
          <w:sz w:val="20"/>
          <w:szCs w:val="20"/>
          <w:u w:val="single" w:color="auto"/>
          <w:color w:val="auto"/>
        </w:rPr>
        <w:t>Section 6(k)(i)</w:t>
      </w:r>
      <w:r>
        <w:rPr>
          <w:rFonts w:ascii="Times New Roman" w:cs="Times New Roman" w:eastAsia="Times New Roman" w:hAnsi="Times New Roman"/>
          <w:sz w:val="20"/>
          <w:szCs w:val="20"/>
          <w:color w:val="auto"/>
        </w:rPr>
        <w:t xml:space="preserve"> to a Covered Employee that is intended to satisfy the requirements for “performance-based compensation” within the meaning of Section 162(m).</w:t>
      </w:r>
    </w:p>
    <w:p>
      <w:pPr>
        <w:spacing w:after="0" w:line="151"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color w:val="auto"/>
        </w:rPr>
        <w:t>” means section 409A of the Code.</w:t>
      </w:r>
    </w:p>
    <w:p>
      <w:pPr>
        <w:spacing w:after="0" w:line="215"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Section 422</w:t>
      </w:r>
      <w:r>
        <w:rPr>
          <w:rFonts w:ascii="Times New Roman" w:cs="Times New Roman" w:eastAsia="Times New Roman" w:hAnsi="Times New Roman"/>
          <w:sz w:val="20"/>
          <w:szCs w:val="20"/>
          <w:color w:val="auto"/>
        </w:rPr>
        <w:t>” means section 422 of the Code.</w:t>
      </w:r>
    </w:p>
    <w:p>
      <w:pPr>
        <w:spacing w:after="0" w:line="215"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means the Securities Act of 1933.</w:t>
      </w:r>
    </w:p>
    <w:p>
      <w:pPr>
        <w:spacing w:after="0" w:line="215" w:lineRule="exact"/>
        <w:rPr>
          <w:rFonts w:ascii="Times New Roman" w:cs="Times New Roman" w:eastAsia="Times New Roman" w:hAnsi="Times New Roman"/>
          <w:sz w:val="20"/>
          <w:szCs w:val="20"/>
          <w:color w:val="auto"/>
        </w:rPr>
      </w:pPr>
    </w:p>
    <w:p>
      <w:pPr>
        <w:jc w:val="both"/>
        <w:ind w:left="743" w:hanging="743"/>
        <w:spacing w:after="0" w:line="243" w:lineRule="auto"/>
        <w:tabs>
          <w:tab w:leader="none" w:pos="743"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Separation from Service</w:t>
      </w:r>
      <w:r>
        <w:rPr>
          <w:rFonts w:ascii="Times New Roman" w:cs="Times New Roman" w:eastAsia="Times New Roman" w:hAnsi="Times New Roman"/>
          <w:sz w:val="20"/>
          <w:szCs w:val="20"/>
          <w:color w:val="auto"/>
        </w:rPr>
        <w:t>” means, unless otherwise determined by the Committee or the Company, the cessation of the applicable Participant’s employment with, and performance of services for, the Company and all Subsidiaries, including by reason of the fact that the Participant’s employer or other service recipient ceases to be a Subsidiary of the Company. Unless otherwise determined by the Company, if a Participant’s employment or service with the Company or a Subsidiary ceases, but the Participant continues to provide services to the Company or a Subsidiary as an Eligible Person, such change in status shall not be considered a Separation from Service. Approved temporary absences from employment or service because of illness, vacation or leave of absence, and transfers among the Company and its Subsidiaries shall not be considered Separations from Service. Notwithstanding the foregoing definition of Separation from Service, with respect to any Award that constitutes nonqualified deferred compensation under Section 409A, “Separation from Service” means a “separation from service” as defined under Section 409A.</w:t>
      </w:r>
    </w:p>
    <w:p>
      <w:pPr>
        <w:spacing w:after="0" w:line="182" w:lineRule="exact"/>
        <w:rPr>
          <w:rFonts w:ascii="Times New Roman" w:cs="Times New Roman" w:eastAsia="Times New Roman" w:hAnsi="Times New Roman"/>
          <w:sz w:val="20"/>
          <w:szCs w:val="20"/>
          <w:color w:val="auto"/>
        </w:rPr>
      </w:pPr>
    </w:p>
    <w:p>
      <w:pPr>
        <w:ind w:left="743" w:hanging="743"/>
        <w:spacing w:after="0" w:line="273" w:lineRule="auto"/>
        <w:tabs>
          <w:tab w:leader="none" w:pos="743"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Stock</w:t>
      </w:r>
      <w:r>
        <w:rPr>
          <w:rFonts w:ascii="Times New Roman" w:cs="Times New Roman" w:eastAsia="Times New Roman" w:hAnsi="Times New Roman"/>
          <w:sz w:val="20"/>
          <w:szCs w:val="20"/>
          <w:color w:val="auto"/>
        </w:rPr>
        <w:t xml:space="preserve">” means the Company’s Common Stock, par value $0.10 per share, and such other securities as may be substituted (or re-substituted) for Stock pursuant to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w:t>
      </w:r>
    </w:p>
    <w:p>
      <w:pPr>
        <w:spacing w:after="0" w:line="151"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Stockholders</w:t>
      </w:r>
      <w:r>
        <w:rPr>
          <w:rFonts w:ascii="Times New Roman" w:cs="Times New Roman" w:eastAsia="Times New Roman" w:hAnsi="Times New Roman"/>
          <w:sz w:val="20"/>
          <w:szCs w:val="20"/>
          <w:color w:val="auto"/>
        </w:rPr>
        <w:t>” means the stockholders of the Company.</w:t>
      </w:r>
    </w:p>
    <w:p>
      <w:pPr>
        <w:spacing w:after="0" w:line="314" w:lineRule="exact"/>
        <w:rPr>
          <w:sz w:val="20"/>
          <w:szCs w:val="20"/>
          <w:color w:val="auto"/>
        </w:rPr>
      </w:pPr>
    </w:p>
    <w:p>
      <w:pPr>
        <w:ind w:left="4723"/>
        <w:spacing w:after="0"/>
        <w:rPr>
          <w:sz w:val="20"/>
          <w:szCs w:val="20"/>
          <w:color w:val="auto"/>
        </w:rPr>
      </w:pPr>
      <w:r>
        <w:rPr>
          <w:rFonts w:ascii="Times New Roman" w:cs="Times New Roman" w:eastAsia="Times New Roman" w:hAnsi="Times New Roman"/>
          <w:sz w:val="20"/>
          <w:szCs w:val="20"/>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481330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9"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color w:val="auto"/>
        </w:rPr>
        <w:t>Exhibit 10.7</w:t>
      </w:r>
    </w:p>
    <w:p>
      <w:pPr>
        <w:spacing w:after="0" w:line="109" w:lineRule="exact"/>
        <w:rPr>
          <w:sz w:val="20"/>
          <w:szCs w:val="20"/>
          <w:color w:val="auto"/>
        </w:rPr>
      </w:pPr>
    </w:p>
    <w:p>
      <w:pPr>
        <w:ind w:left="1500" w:hanging="743"/>
        <w:spacing w:after="0"/>
        <w:tabs>
          <w:tab w:leader="none" w:pos="150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Stock Award</w:t>
      </w:r>
      <w:r>
        <w:rPr>
          <w:rFonts w:ascii="Times New Roman" w:cs="Times New Roman" w:eastAsia="Times New Roman" w:hAnsi="Times New Roman"/>
          <w:sz w:val="20"/>
          <w:szCs w:val="20"/>
          <w:color w:val="auto"/>
        </w:rPr>
        <w:t xml:space="preserve">” means unrestricted shares of Stock granted to an Eligible Person under </w:t>
      </w:r>
      <w:r>
        <w:rPr>
          <w:rFonts w:ascii="Times New Roman" w:cs="Times New Roman" w:eastAsia="Times New Roman" w:hAnsi="Times New Roman"/>
          <w:sz w:val="20"/>
          <w:szCs w:val="20"/>
          <w:u w:val="single" w:color="auto"/>
          <w:color w:val="auto"/>
        </w:rPr>
        <w:t>Section 6(f)</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Stock Appreciation Rights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SAR</w:t>
      </w:r>
      <w:r>
        <w:rPr>
          <w:rFonts w:ascii="Times New Roman" w:cs="Times New Roman" w:eastAsia="Times New Roman" w:hAnsi="Times New Roman"/>
          <w:sz w:val="20"/>
          <w:szCs w:val="20"/>
          <w:color w:val="auto"/>
        </w:rPr>
        <w:t xml:space="preserve">” means a right granted to an Eligible Person under </w:t>
      </w:r>
      <w:r>
        <w:rPr>
          <w:rFonts w:ascii="Times New Roman" w:cs="Times New Roman" w:eastAsia="Times New Roman" w:hAnsi="Times New Roman"/>
          <w:sz w:val="20"/>
          <w:szCs w:val="20"/>
          <w:u w:val="single" w:color="auto"/>
          <w:color w:val="auto"/>
        </w:rPr>
        <w:t>Section 6(c)</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500" w:hanging="743"/>
        <w:spacing w:after="0" w:line="273" w:lineRule="auto"/>
        <w:tabs>
          <w:tab w:leader="none" w:pos="150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Subsidiary</w:t>
      </w:r>
      <w:r>
        <w:rPr>
          <w:rFonts w:ascii="Times New Roman" w:cs="Times New Roman" w:eastAsia="Times New Roman" w:hAnsi="Times New Roman"/>
          <w:sz w:val="20"/>
          <w:szCs w:val="20"/>
          <w:color w:val="auto"/>
        </w:rPr>
        <w:t>” means with respect to the Company, any corporation or other entity of which a majority of the voting power of the voting equity securities or equity interest is owned, directly or indirectly, by the Company.</w:t>
      </w:r>
    </w:p>
    <w:p>
      <w:pPr>
        <w:spacing w:after="0" w:line="151" w:lineRule="exact"/>
        <w:rPr>
          <w:rFonts w:ascii="Times New Roman" w:cs="Times New Roman" w:eastAsia="Times New Roman" w:hAnsi="Times New Roman"/>
          <w:sz w:val="20"/>
          <w:szCs w:val="20"/>
          <w:color w:val="auto"/>
        </w:rPr>
      </w:pPr>
    </w:p>
    <w:p>
      <w:pPr>
        <w:ind w:left="1500" w:right="20" w:hanging="743"/>
        <w:spacing w:after="0" w:line="273" w:lineRule="auto"/>
        <w:tabs>
          <w:tab w:leader="none" w:pos="150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Substitute Award</w:t>
      </w:r>
      <w:r>
        <w:rPr>
          <w:rFonts w:ascii="Times New Roman" w:cs="Times New Roman" w:eastAsia="Times New Roman" w:hAnsi="Times New Roman"/>
          <w:sz w:val="20"/>
          <w:szCs w:val="20"/>
          <w:color w:val="auto"/>
        </w:rPr>
        <w:t xml:space="preserve">” means an Award granted under </w:t>
      </w:r>
      <w:r>
        <w:rPr>
          <w:rFonts w:ascii="Times New Roman" w:cs="Times New Roman" w:eastAsia="Times New Roman" w:hAnsi="Times New Roman"/>
          <w:sz w:val="20"/>
          <w:szCs w:val="20"/>
          <w:u w:val="single" w:color="auto"/>
          <w:color w:val="auto"/>
        </w:rPr>
        <w:t>Section 6(j)</w:t>
      </w:r>
      <w:r>
        <w:rPr>
          <w:rFonts w:ascii="Times New Roman" w:cs="Times New Roman" w:eastAsia="Times New Roman" w:hAnsi="Times New Roman"/>
          <w:sz w:val="20"/>
          <w:szCs w:val="20"/>
          <w:color w:val="auto"/>
        </w:rPr>
        <w:t xml:space="preserve"> hereof in substitution for a similar award as a result of certain business transactions.</w:t>
      </w:r>
    </w:p>
    <w:p>
      <w:pPr>
        <w:spacing w:after="0" w:line="151"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Administration</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left="1500" w:hanging="743"/>
        <w:spacing w:after="0"/>
        <w:tabs>
          <w:tab w:leader="none" w:pos="150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Authority of the Committee</w:t>
      </w:r>
      <w:r>
        <w:rPr>
          <w:rFonts w:ascii="Times New Roman" w:cs="Times New Roman" w:eastAsia="Times New Roman" w:hAnsi="Times New Roman"/>
          <w:sz w:val="20"/>
          <w:szCs w:val="20"/>
          <w:color w:val="auto"/>
        </w:rPr>
        <w:t xml:space="preserve">. The Plan shall be administered by the Committee except to the extent the Board elects to administer the Plan, in which case references herein to the “Committee” shall be deemed to include references to the “Board.” Subject to the express provisions of the Plan, Rule 16b-3 and other applicable laws, the Committee shall have the authority, in its sole and absolute discretion, to: (i) designate Eligible Persons as Participants; (ii) determine the type or types of Awards to be granted to an Eligible Person; (iii) determine the number of shares of Stock or amount of cash to be covered by Awards; (iv) determine the terms and conditions of any Award, as well as the modification of such terms, which may include the acceleration of vesting, waiver of forfeiture restrictions, modification of the form of settlement of the Award (for example, from cash to Stock or vice versa), or modification of any other condition or limitation regarding an Award, based on such factors as the Committee may determine; (v) determine whether, to what extent, and under what circumstances Awards may be vested, settled, exercised, canceled, or forfeited; (vi) interpret and administer the Plan and any instrument or agreement relating to an Award made under the Plan; (vii) establish, amend, suspend, or waive rules and regulations used to administer the Plan; and (viii) make any other determination and take any other action that the Committee deems necessary or desirable for the administration of the Plan. Subject to Rule 16b-3, Section 162(m), and Section 409A, the Committee may correct any defect, supply any omission, or reconcile any inconsistency in the Plan, in any Award, or in any Award Agreement in the manner and to the extent it deems necessary or desirable to carry the Plan into effect, and the Committee shall be the sole and final judge of that necessity or desirability. The express grant of any specific power to the Committee, and the taking of any action by the Committee, shall not be construed as limiting any power or authority of the Committee. Each action and determination of the Committee under the Plan shall be in the Committee’s sole and absolute discretion and shall be final, conclusive and binding on all Persons, including the Company, its Subsidiaries, Stockholders, Participants, beneficiaries, and transferees under </w:t>
      </w:r>
      <w:r>
        <w:rPr>
          <w:rFonts w:ascii="Times New Roman" w:cs="Times New Roman" w:eastAsia="Times New Roman" w:hAnsi="Times New Roman"/>
          <w:sz w:val="20"/>
          <w:szCs w:val="20"/>
          <w:u w:val="single" w:color="auto"/>
          <w:color w:val="auto"/>
        </w:rPr>
        <w:t>Section 7(a)(iii)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or other Persons claiming rights from or through a Participant.</w:t>
      </w:r>
    </w:p>
    <w:p>
      <w:pPr>
        <w:spacing w:after="0" w:line="205" w:lineRule="exact"/>
        <w:rPr>
          <w:rFonts w:ascii="Times New Roman" w:cs="Times New Roman" w:eastAsia="Times New Roman" w:hAnsi="Times New Roman"/>
          <w:sz w:val="20"/>
          <w:szCs w:val="20"/>
          <w:color w:val="auto"/>
        </w:rPr>
      </w:pPr>
    </w:p>
    <w:p>
      <w:pPr>
        <w:jc w:val="both"/>
        <w:ind w:left="1500" w:hanging="743"/>
        <w:spacing w:after="0" w:line="242" w:lineRule="auto"/>
        <w:tabs>
          <w:tab w:leader="none" w:pos="150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Manner of Exercise of Committee Authority</w:t>
      </w:r>
      <w:r>
        <w:rPr>
          <w:rFonts w:ascii="Times New Roman" w:cs="Times New Roman" w:eastAsia="Times New Roman" w:hAnsi="Times New Roman"/>
          <w:sz w:val="20"/>
          <w:szCs w:val="20"/>
          <w:color w:val="auto"/>
        </w:rPr>
        <w:t xml:space="preserve">. It is the intent of the Company that (i) Section 162(m) Awards shall qualify as “performance-based compensation” within the meaning of Section 162(m) and (ii) to the fullest extent possible, the grant of any Awards to, or other transaction by, a Participant who is subject to section 16 of the Exchange Act shall be exempt from such section pursuant to an applicable exemption (except for transactions acknowledged in writing to be non-exempt by such Participant). At any time that a member of the Committee is not a Qualified Member, any action of the Committee relating to (A) an Award granted or to be granted to an Eligible Person who is then subject to section 16 of the Exchange Act in respect of the Company where such action is not taken by the full Board, or (B) a Section 162(m) Award, may be taken either (i) by a subcommittee, designated by the Committee, composed solely of two or more Qualified Members, or (ii) by the Committee but with each such member who is not a Qualified Member abstaining or recusing himself or herself from such action;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upon such abstention or recusal, the Committee remains composed solely of two or more Qualified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4" w:name="page105"/>
    <w:bookmarkEnd w:id="104"/>
    <w:p>
      <w:pPr>
        <w:ind w:left="9603"/>
        <w:spacing w:after="0"/>
        <w:rPr>
          <w:sz w:val="20"/>
          <w:szCs w:val="20"/>
          <w:color w:val="auto"/>
        </w:rPr>
      </w:pPr>
      <w:r>
        <w:rPr>
          <w:rFonts w:ascii="Times New Roman" w:cs="Times New Roman" w:eastAsia="Times New Roman" w:hAnsi="Times New Roman"/>
          <w:sz w:val="17"/>
          <w:szCs w:val="17"/>
          <w:color w:val="auto"/>
        </w:rPr>
        <w:t>Exhibit 10.7</w:t>
      </w:r>
    </w:p>
    <w:p>
      <w:pPr>
        <w:spacing w:after="0" w:line="124" w:lineRule="exact"/>
        <w:rPr>
          <w:sz w:val="20"/>
          <w:szCs w:val="20"/>
          <w:color w:val="auto"/>
        </w:rPr>
      </w:pPr>
    </w:p>
    <w:p>
      <w:pPr>
        <w:jc w:val="both"/>
        <w:ind w:left="743"/>
        <w:spacing w:after="0" w:line="246" w:lineRule="auto"/>
        <w:rPr>
          <w:sz w:val="20"/>
          <w:szCs w:val="20"/>
          <w:color w:val="auto"/>
        </w:rPr>
      </w:pPr>
      <w:r>
        <w:rPr>
          <w:rFonts w:ascii="Times New Roman" w:cs="Times New Roman" w:eastAsia="Times New Roman" w:hAnsi="Times New Roman"/>
          <w:sz w:val="20"/>
          <w:szCs w:val="20"/>
          <w:color w:val="auto"/>
        </w:rPr>
        <w:t xml:space="preserve">Members. Such action, authorized by such a subcommittee or by the Committee upon the abstention or recusal of such non-Qualified Member(s), shall be the action of the Committee for purposes of the Plan. Any action of the Committee. For the avoidance of doubt, the full Board may take any action relating to an Award granted or to be granted to an Eligible Person who is then subject to section 16 of the Exchange Act in respect of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award is not a Section 162(m) Award.</w:t>
      </w:r>
    </w:p>
    <w:p>
      <w:pPr>
        <w:spacing w:after="0" w:line="185" w:lineRule="exact"/>
        <w:rPr>
          <w:sz w:val="20"/>
          <w:szCs w:val="20"/>
          <w:color w:val="auto"/>
        </w:rPr>
      </w:pPr>
    </w:p>
    <w:p>
      <w:pPr>
        <w:jc w:val="both"/>
        <w:ind w:left="743" w:hanging="743"/>
        <w:spacing w:after="0"/>
        <w:tabs>
          <w:tab w:leader="none" w:pos="743"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Delegation of Authority</w:t>
      </w:r>
      <w:r>
        <w:rPr>
          <w:rFonts w:ascii="Times New Roman" w:cs="Times New Roman" w:eastAsia="Times New Roman" w:hAnsi="Times New Roman"/>
          <w:sz w:val="20"/>
          <w:szCs w:val="20"/>
          <w:color w:val="auto"/>
        </w:rPr>
        <w:t xml:space="preserve">. The Committee may delegate (i) to any officer of the Company, irrespective of whether or not the officer is also a member of the Board, the power to perform administrative functions and grant all types of Awards under the Plan so long as the resolutions of the Board or Committee delegating such authority specifies (A) the total number of Awards that the officer may grant, and (B) with respect to Awards of Restricted Stock or Stock Awards, the time period during which such Awards may be granted and a minimum amount of consideration for which the Awards may be issued and (ii) to any individual member of the Board (including an officer of the Company that serves as a member of the Board), any or all of the Committee’s powers and duties under the Plan, including the power to perform administrative functions and grant all types of Awards under the Plan, in the case of both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subject to such additional terms or limitations as the Committee may provide and only to the extent that such delegation does not (x) violate state or corporate law, (y) result in the loss of an exemption under Rule 16b-3(d)(1) for Awards granted to Participants subject to section 16 of the Exchange Act in respect of the Company, or (z) cause Section 162(m) Awards to fail to so qualify. Upon any such delegation, all references in the Plan to the “Committee,” other than in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shall be deemed to include any officer of the Company or member of the Board to whom such powers have been delegated by the Committee. Any such delegation shall not limit such officer or director’s right to receive Awards under the Plan;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the officer or director may not grant Awards to himself or herself, a member of the Board, or any executive officer of the Company or an Affiliate, or take any action with respect to any Award previously granted to himself or herself, a member of the Board, or an individual who is an executive officer of the Company or an Affiliate. The Committee may also appoint agents to assist it in administering the Plan that are not executive officers of the Company or members of the Board,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individuals may not be delegated the authority to (i) grant or modify any Awards that shall, or may, be settled in Stock or (ii) take any action that would cause Section 162(m) Awards to fail to so qualify, if applicable.</w:t>
      </w:r>
    </w:p>
    <w:p>
      <w:pPr>
        <w:spacing w:after="0" w:line="205" w:lineRule="exact"/>
        <w:rPr>
          <w:rFonts w:ascii="Times New Roman" w:cs="Times New Roman" w:eastAsia="Times New Roman" w:hAnsi="Times New Roman"/>
          <w:sz w:val="20"/>
          <w:szCs w:val="20"/>
          <w:color w:val="auto"/>
        </w:rPr>
      </w:pPr>
    </w:p>
    <w:p>
      <w:pPr>
        <w:jc w:val="both"/>
        <w:ind w:left="743" w:hanging="743"/>
        <w:spacing w:after="0" w:line="244" w:lineRule="auto"/>
        <w:tabs>
          <w:tab w:leader="none" w:pos="743"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 of Liability</w:t>
      </w:r>
      <w:r>
        <w:rPr>
          <w:rFonts w:ascii="Times New Roman" w:cs="Times New Roman" w:eastAsia="Times New Roman" w:hAnsi="Times New Roman"/>
          <w:sz w:val="20"/>
          <w:szCs w:val="20"/>
          <w:color w:val="auto"/>
        </w:rPr>
        <w:t>. The Committee and each member thereof shall be entitled to, in good faith, rely or act upon any report or other information furnished to him or her by any officer or employee of the Company or any of its Subsidiaries, the Company’s legal counsel, independent auditors, consultants or any other agents assisting in the administration of the Plan. Members of the Committee and any officer or employee of the Company or any of its Subsidiaries acting at the direction or on behalf of the Committee shall not be personally liable for any action or determination taken or made in good faith with respect to the Plan, and shall, to the fullest extent permitted by law, be indemnified and held harmless by the Company with respect to any such action or determination.</w:t>
      </w:r>
    </w:p>
    <w:p>
      <w:pPr>
        <w:spacing w:after="0" w:line="185" w:lineRule="exact"/>
        <w:rPr>
          <w:rFonts w:ascii="Times New Roman" w:cs="Times New Roman" w:eastAsia="Times New Roman" w:hAnsi="Times New Roman"/>
          <w:sz w:val="20"/>
          <w:szCs w:val="20"/>
          <w:color w:val="auto"/>
        </w:rPr>
      </w:pPr>
    </w:p>
    <w:p>
      <w:pPr>
        <w:jc w:val="both"/>
        <w:ind w:left="743" w:hanging="743"/>
        <w:spacing w:after="0" w:line="257" w:lineRule="auto"/>
        <w:tabs>
          <w:tab w:leader="none" w:pos="743"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Participants in Non-U.S. Jurisdictions</w:t>
      </w:r>
      <w:r>
        <w:rPr>
          <w:rFonts w:ascii="Times New Roman" w:cs="Times New Roman" w:eastAsia="Times New Roman" w:hAnsi="Times New Roman"/>
          <w:sz w:val="19"/>
          <w:szCs w:val="19"/>
          <w:color w:val="auto"/>
        </w:rPr>
        <w:t xml:space="preserve">. Notwithstanding any provision of the Plan to the contrary, to comply with applicable laws in countries other than the United States in which the Company or any of its Affiliates operates or has employees, directors or other service providers from time to time, or to ensure that the Company complies with any applicable requirements of foreign securities exchanges, the Committee shall have the power and authority to: (i) determine which of its Affiliates shall be covered by the Plan; (ii) determine which Eligible Persons outside the United States are eligible to participate in the Plan; (iii) modify the terms and conditions of any Award granted to Eligible Persons outside the United States to comply with applicable foreign laws or listing requirements of any foreign exchange; (iv) establish sub-plans and modify exercise procedures and other terms and procedures, to the extent such actions may be necessary or advisable (any such sub-plans and/or modifications shall be attached to the Plan as appendices),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w:t>
      </w:r>
    </w:p>
    <w:p>
      <w:pPr>
        <w:spacing w:after="0" w:line="270" w:lineRule="exact"/>
        <w:rPr>
          <w:sz w:val="20"/>
          <w:szCs w:val="20"/>
          <w:color w:val="auto"/>
        </w:rPr>
      </w:pPr>
    </w:p>
    <w:p>
      <w:pPr>
        <w:ind w:left="4663"/>
        <w:spacing w:after="0"/>
        <w:rPr>
          <w:sz w:val="20"/>
          <w:szCs w:val="20"/>
          <w:color w:val="auto"/>
        </w:rPr>
      </w:pPr>
      <w:r>
        <w:rPr>
          <w:rFonts w:ascii="Times New Roman" w:cs="Times New Roman" w:eastAsia="Times New Roman" w:hAnsi="Times New Roman"/>
          <w:sz w:val="20"/>
          <w:szCs w:val="20"/>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481330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9" w:right="339" w:bottom="1440" w:gutter="0" w:footer="0" w:header="0"/>
        </w:sectPr>
      </w:pPr>
    </w:p>
    <w:bookmarkStart w:id="105" w:name="page106"/>
    <w:bookmarkEnd w:id="105"/>
    <w:p>
      <w:pPr>
        <w:ind w:left="10360"/>
        <w:spacing w:after="0"/>
        <w:rPr>
          <w:sz w:val="20"/>
          <w:szCs w:val="20"/>
          <w:color w:val="auto"/>
        </w:rPr>
      </w:pPr>
      <w:r>
        <w:rPr>
          <w:rFonts w:ascii="Times New Roman" w:cs="Times New Roman" w:eastAsia="Times New Roman" w:hAnsi="Times New Roman"/>
          <w:sz w:val="17"/>
          <w:szCs w:val="17"/>
          <w:color w:val="auto"/>
        </w:rPr>
        <w:t>Exhibit 10.7</w:t>
      </w:r>
    </w:p>
    <w:p>
      <w:pPr>
        <w:spacing w:after="0" w:line="124" w:lineRule="exact"/>
        <w:rPr>
          <w:sz w:val="20"/>
          <w:szCs w:val="20"/>
          <w:color w:val="auto"/>
        </w:rPr>
      </w:pPr>
    </w:p>
    <w:p>
      <w:pPr>
        <w:jc w:val="both"/>
        <w:ind w:left="1500"/>
        <w:spacing w:after="0" w:line="246" w:lineRule="auto"/>
        <w:rPr>
          <w:sz w:val="20"/>
          <w:szCs w:val="20"/>
          <w:color w:val="auto"/>
        </w:rPr>
      </w:pP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 such sub-plans and/or modifications shall increase the share limitations contained in </w:t>
      </w:r>
      <w:r>
        <w:rPr>
          <w:rFonts w:ascii="Times New Roman" w:cs="Times New Roman" w:eastAsia="Times New Roman" w:hAnsi="Times New Roman"/>
          <w:sz w:val="20"/>
          <w:szCs w:val="20"/>
          <w:u w:val="single" w:color="auto"/>
          <w:color w:val="auto"/>
        </w:rPr>
        <w:t>Section 4(a)</w:t>
      </w:r>
      <w:r>
        <w:rPr>
          <w:rFonts w:ascii="Times New Roman" w:cs="Times New Roman" w:eastAsia="Times New Roman" w:hAnsi="Times New Roman"/>
          <w:sz w:val="20"/>
          <w:szCs w:val="20"/>
          <w:color w:val="auto"/>
        </w:rPr>
        <w:t>; and (v) take any action, before or after an Award is granted, that it deems advisable to comply with any applicable governmental regulatory exemptions or approval or listing requirements of any such foreign securities exchange. For purposes of the Plan, all references to foreign laws, rules, regulations or taxes shall be references to the laws, rules, regulations and taxes of any applicable jurisdiction other than the United States or a political subdivision thereof.</w:t>
      </w:r>
    </w:p>
    <w:p>
      <w:pPr>
        <w:spacing w:after="0" w:line="181" w:lineRule="exact"/>
        <w:rPr>
          <w:sz w:val="20"/>
          <w:szCs w:val="20"/>
          <w:color w:val="auto"/>
        </w:rPr>
      </w:pPr>
    </w:p>
    <w:p>
      <w:pPr>
        <w:ind w:left="760" w:hanging="752"/>
        <w:spacing w:after="0"/>
        <w:tabs>
          <w:tab w:leader="none" w:pos="7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Stock Subject to Plan</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left="1500" w:hanging="743"/>
        <w:spacing w:after="0" w:line="249" w:lineRule="auto"/>
        <w:tabs>
          <w:tab w:leader="none" w:pos="150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Overall Number of Shares Available for Delivery</w:t>
      </w:r>
      <w:r>
        <w:rPr>
          <w:rFonts w:ascii="Times New Roman" w:cs="Times New Roman" w:eastAsia="Times New Roman" w:hAnsi="Times New Roman"/>
          <w:sz w:val="20"/>
          <w:szCs w:val="20"/>
          <w:color w:val="auto"/>
        </w:rPr>
        <w:t xml:space="preserve">. Subject to any adjustments made pursuant to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the total number of additional shares of Stock reserved and available for issuance in connection with Awards under the Plan shall not exceed 3,000,000 shares of Stock plus any shares of Stock that become available pursuant to </w:t>
      </w:r>
      <w:r>
        <w:rPr>
          <w:rFonts w:ascii="Times New Roman" w:cs="Times New Roman" w:eastAsia="Times New Roman" w:hAnsi="Times New Roman"/>
          <w:sz w:val="20"/>
          <w:szCs w:val="20"/>
          <w:u w:val="single" w:color="auto"/>
          <w:color w:val="auto"/>
        </w:rPr>
        <w:t>Section 4(c)(ii)</w:t>
      </w:r>
      <w:r>
        <w:rPr>
          <w:rFonts w:ascii="Times New Roman" w:cs="Times New Roman" w:eastAsia="Times New Roman" w:hAnsi="Times New Roman"/>
          <w:sz w:val="20"/>
          <w:szCs w:val="20"/>
          <w:color w:val="auto"/>
        </w:rPr>
        <w:t>, and such total shall be available for the issuance of Incentive Stock Options.</w:t>
      </w:r>
    </w:p>
    <w:p>
      <w:pPr>
        <w:spacing w:after="0" w:line="179" w:lineRule="exact"/>
        <w:rPr>
          <w:rFonts w:ascii="Times New Roman" w:cs="Times New Roman" w:eastAsia="Times New Roman" w:hAnsi="Times New Roman"/>
          <w:sz w:val="20"/>
          <w:szCs w:val="20"/>
          <w:color w:val="auto"/>
        </w:rPr>
      </w:pPr>
    </w:p>
    <w:p>
      <w:pPr>
        <w:jc w:val="both"/>
        <w:ind w:left="1500" w:hanging="743"/>
        <w:spacing w:after="0" w:line="245" w:lineRule="auto"/>
        <w:tabs>
          <w:tab w:leader="none" w:pos="150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Limitation to Grants of Awards</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4(c)</w:t>
      </w:r>
      <w:r>
        <w:rPr>
          <w:rFonts w:ascii="Times New Roman" w:cs="Times New Roman" w:eastAsia="Times New Roman" w:hAnsi="Times New Roman"/>
          <w:sz w:val="20"/>
          <w:szCs w:val="20"/>
          <w:color w:val="auto"/>
        </w:rPr>
        <w:t>, no Award may be granted if the number of shares of Stock to be delivered in connection with such Award exceeds the number of shares of Stock remaining available under the Plan minus the number of shares of Stock issuable in settlement of or relating to then-outstanding Awards. The Committee may adopt reasonable counting procedures to ensure appropriate counting, avoid double counting (as, for example, in the case of tandem or Substitute Awards) and make adjustments if the number of shares of Stock actually delivered differs from the number of shares previously counted in connection with an Award.</w:t>
      </w:r>
    </w:p>
    <w:p>
      <w:pPr>
        <w:spacing w:after="0" w:line="184"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Availability of Shares Not Issued under Awards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2260" w:hanging="755"/>
        <w:spacing w:after="0" w:line="242" w:lineRule="auto"/>
        <w:tabs>
          <w:tab w:leader="none" w:pos="2260" w:val="left"/>
        </w:tabs>
        <w:numPr>
          <w:ilvl w:val="2"/>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Share Pool</w:t>
      </w:r>
      <w:r>
        <w:rPr>
          <w:rFonts w:ascii="Times New Roman" w:cs="Times New Roman" w:eastAsia="Times New Roman" w:hAnsi="Times New Roman"/>
          <w:sz w:val="20"/>
          <w:szCs w:val="20"/>
          <w:color w:val="auto"/>
        </w:rPr>
        <w:t>. Shares of Stock subject to an Award under the Plan (including, for the avoidance of doubt, the Plan before it was amended and restated as set forth herein) that expires or is canceled, forfeited, exchanged, settled in cash or otherwise terminated without the actual delivery of shares (Awards of Restricted Stock shall not be considered “delivered shares” for this purpose), shall again be available for Awards under the Plan, except that if any such shares could not again be available for Awards to a particular Participant under any applicable law or regulation, such shares shall be available exclusively for Awards to Participants who are not subject to such limitation. Notwithstanding the foregoing, (i) the number of shares tendered or withheld in payment of any exercise or purchase price of an Award or taxes relating to an Award, (ii) shares that were subject to an Option or an SAR but were not issued or delivered as a result of the net settlement or net exercise of such Option or SAR and (iii) shares repurchased on the open market with the proceeds of an Option’s exercise price, shall not, in each case, again be available for Awards under the Plan.</w:t>
      </w:r>
    </w:p>
    <w:p>
      <w:pPr>
        <w:spacing w:after="0" w:line="185" w:lineRule="exact"/>
        <w:rPr>
          <w:rFonts w:ascii="Times New Roman" w:cs="Times New Roman" w:eastAsia="Times New Roman" w:hAnsi="Times New Roman"/>
          <w:sz w:val="20"/>
          <w:szCs w:val="20"/>
          <w:color w:val="auto"/>
        </w:rPr>
      </w:pPr>
    </w:p>
    <w:p>
      <w:pPr>
        <w:jc w:val="both"/>
        <w:ind w:left="2260" w:hanging="755"/>
        <w:spacing w:after="0" w:line="242" w:lineRule="auto"/>
        <w:tabs>
          <w:tab w:leader="none" w:pos="2260" w:val="left"/>
        </w:tabs>
        <w:numPr>
          <w:ilvl w:val="2"/>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Prior Plan</w:t>
      </w:r>
      <w:r>
        <w:rPr>
          <w:rFonts w:ascii="Times New Roman" w:cs="Times New Roman" w:eastAsia="Times New Roman" w:hAnsi="Times New Roman"/>
          <w:sz w:val="20"/>
          <w:szCs w:val="20"/>
          <w:color w:val="auto"/>
        </w:rPr>
        <w:t>. Awards that are outstanding under the Prior Plan immediately prior to the Effective Date (“</w:t>
      </w:r>
      <w:r>
        <w:rPr>
          <w:rFonts w:ascii="Times New Roman" w:cs="Times New Roman" w:eastAsia="Times New Roman" w:hAnsi="Times New Roman"/>
          <w:sz w:val="20"/>
          <w:szCs w:val="20"/>
          <w:b w:val="1"/>
          <w:bCs w:val="1"/>
          <w:i w:val="1"/>
          <w:iCs w:val="1"/>
          <w:color w:val="auto"/>
        </w:rPr>
        <w:t>Prior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Plan Awards</w:t>
      </w:r>
      <w:r>
        <w:rPr>
          <w:rFonts w:ascii="Times New Roman" w:cs="Times New Roman" w:eastAsia="Times New Roman" w:hAnsi="Times New Roman"/>
          <w:sz w:val="20"/>
          <w:szCs w:val="20"/>
          <w:color w:val="auto"/>
        </w:rPr>
        <w:t>”) shall remain outstanding following the Effective Date in accordance with their terms; however,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no new awards may be granted pursuant to the Prior Plan on or after April 19, 2016. With respect to Prior Plan Awards, in accordance with Section 4.2(a) of the Prior Plan, if such a Prior Plan Award, on or after the Effective Date, lapses, expires, terminates or is canceled prior to the issuance of shares thereunder or if shares of Stock are issued under the Prior Plan to a Participant and thereafter are reacquired by the Company, the shares subject to such Prior Plan Awards and the reacquired shares shall again be available for issuance under the Plan. In addition, the following shares of Stock shall not be treated as having been issued under the Prior Plan and shall again be available for issuance under the Plan: (i) shares tendered by a Participant or retained by the Company as full or partial payment to the Company for the purchase price of a Prior Plan Award or to satisfy tax withholding obligations in connection with a</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6" w:name="page107"/>
    <w:bookmarkEnd w:id="106"/>
    <w:p>
      <w:pPr>
        <w:ind w:left="10360"/>
        <w:spacing w:after="0"/>
        <w:rPr>
          <w:sz w:val="20"/>
          <w:szCs w:val="20"/>
          <w:color w:val="auto"/>
        </w:rPr>
      </w:pPr>
      <w:r>
        <w:rPr>
          <w:rFonts w:ascii="Times New Roman" w:cs="Times New Roman" w:eastAsia="Times New Roman" w:hAnsi="Times New Roman"/>
          <w:sz w:val="17"/>
          <w:szCs w:val="17"/>
          <w:color w:val="auto"/>
        </w:rPr>
        <w:t>Exhibit 10.7</w:t>
      </w:r>
    </w:p>
    <w:p>
      <w:pPr>
        <w:spacing w:after="0" w:line="124" w:lineRule="exact"/>
        <w:rPr>
          <w:sz w:val="20"/>
          <w:szCs w:val="20"/>
          <w:color w:val="auto"/>
        </w:rPr>
      </w:pPr>
    </w:p>
    <w:p>
      <w:pPr>
        <w:jc w:val="both"/>
        <w:ind w:left="2260"/>
        <w:spacing w:after="0" w:line="246" w:lineRule="auto"/>
        <w:rPr>
          <w:sz w:val="20"/>
          <w:szCs w:val="20"/>
          <w:color w:val="auto"/>
        </w:rPr>
      </w:pPr>
      <w:r>
        <w:rPr>
          <w:rFonts w:ascii="Times New Roman" w:cs="Times New Roman" w:eastAsia="Times New Roman" w:hAnsi="Times New Roman"/>
          <w:sz w:val="20"/>
          <w:szCs w:val="20"/>
          <w:color w:val="auto"/>
        </w:rPr>
        <w:t>Prior Plan Award, (ii) shares covered by a Prior Plan Award that is settled in cash, or (iii) the number of shares subject to a Prior Plan SAR in excess of the number of shares that are delivered to the Participant upon exercise of such Prior Plan SAR. Further, the number of shares available for issuance under the Prior Plan shall not be reduced to reflect any dividends or dividend equivalents that are reinvested into additional shares or credited as additional Restricted Stock, Restricted Stock Units or Performance Shares.</w:t>
      </w:r>
    </w:p>
    <w:p>
      <w:pPr>
        <w:spacing w:after="0" w:line="185" w:lineRule="exact"/>
        <w:rPr>
          <w:sz w:val="20"/>
          <w:szCs w:val="20"/>
          <w:color w:val="auto"/>
        </w:rPr>
      </w:pPr>
    </w:p>
    <w:p>
      <w:pPr>
        <w:jc w:val="both"/>
        <w:ind w:left="2260" w:hanging="755"/>
        <w:spacing w:after="0" w:line="254" w:lineRule="auto"/>
        <w:tabs>
          <w:tab w:leader="none" w:pos="2260" w:val="left"/>
        </w:tabs>
        <w:numPr>
          <w:ilvl w:val="2"/>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 Offered</w:t>
      </w:r>
      <w:r>
        <w:rPr>
          <w:rFonts w:ascii="Times New Roman" w:cs="Times New Roman" w:eastAsia="Times New Roman" w:hAnsi="Times New Roman"/>
          <w:sz w:val="20"/>
          <w:szCs w:val="20"/>
          <w:color w:val="auto"/>
        </w:rPr>
        <w:t>. The shares to be delivered under the Plan shall be made available from (i) authorized but unissued shares of Stock, (ii) Stock held in the treasury of the Company, or (iii) previously issued shares of Stock reacquired by the Company, including shares purchased on the open market.</w:t>
      </w:r>
    </w:p>
    <w:p>
      <w:pPr>
        <w:spacing w:after="0" w:line="170" w:lineRule="exact"/>
        <w:rPr>
          <w:rFonts w:ascii="Times New Roman" w:cs="Times New Roman" w:eastAsia="Times New Roman" w:hAnsi="Times New Roman"/>
          <w:sz w:val="20"/>
          <w:szCs w:val="20"/>
          <w:color w:val="auto"/>
        </w:rPr>
      </w:pPr>
    </w:p>
    <w:p>
      <w:pPr>
        <w:jc w:val="both"/>
        <w:ind w:left="760" w:hanging="752"/>
        <w:spacing w:after="0" w:line="242" w:lineRule="auto"/>
        <w:tabs>
          <w:tab w:leader="none" w:pos="76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Eligibility; Per Person Award Limitations</w:t>
      </w:r>
      <w:r>
        <w:rPr>
          <w:rFonts w:ascii="Times New Roman" w:cs="Times New Roman" w:eastAsia="Times New Roman" w:hAnsi="Times New Roman"/>
          <w:sz w:val="20"/>
          <w:szCs w:val="20"/>
          <w:color w:val="auto"/>
        </w:rPr>
        <w:t>. Awards may be granted under the Plan only to Persons who are Eligible Persons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time of grant thereof. In each calendar year during any part of which the Plan is in effect, a Covered Employee may not be granted (a) Awards (other than Awards designated to be paid only in cash or the settlement of which is not based on a number of shares of Stock) relating to more than 1,000,000 shares of Stock, subject to adjustment in a manner consistent with any adjustment made pursuant to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and (b) Awards designated to be paid only in cash, or the settlement of which is not based on a number of shares of Stock, having a value determined on the date of grant in excess of $5,000,000; in each case, multiplied by the number of full or partial calendar years in any performance period established with respect to the Award, if applicable. In each calendar year during any part of which the Plan is in effect, an Eligible Person who is serving as a member of the Board and who is not an employee of the Company may not be granted Awards having a value, determined, if applicable, pursuant to Financial Accounting Standards Board Accounting Standards Codification Topic 718, on the date of grant in excess of $500,000 multiplied by the number of full or partial calendar years in any performance period established with respect to an Award, if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this limit shall be without regard to grants of Awards, if any, made to a member of the Board who is not an employee of the Company as compensation for services provided by such individual to the Company or any of its Subsidiaries other than in the individual’s capacity as a member of the Board.</w:t>
      </w:r>
    </w:p>
    <w:p>
      <w:pPr>
        <w:spacing w:after="0" w:line="182"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Specific Terms of Awards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left="1500" w:hanging="743"/>
        <w:spacing w:after="0" w:line="249" w:lineRule="auto"/>
        <w:tabs>
          <w:tab w:leader="none" w:pos="150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xml:space="preserve">. Awards may be granted on the terms and conditions set forth in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Awards granted under the Plan may be granted either alone, in addition to, or in tandem with any other Award. In addition, the Committee may impose on any Award or the exercise thereof, at the date of grant or thereafter (subject to </w:t>
      </w:r>
      <w:r>
        <w:rPr>
          <w:rFonts w:ascii="Times New Roman" w:cs="Times New Roman" w:eastAsia="Times New Roman" w:hAnsi="Times New Roman"/>
          <w:sz w:val="20"/>
          <w:szCs w:val="20"/>
          <w:u w:val="single" w:color="auto"/>
          <w:color w:val="auto"/>
        </w:rPr>
        <w:t>Section 8(a)</w:t>
      </w:r>
      <w:r>
        <w:rPr>
          <w:rFonts w:ascii="Times New Roman" w:cs="Times New Roman" w:eastAsia="Times New Roman" w:hAnsi="Times New Roman"/>
          <w:sz w:val="20"/>
          <w:szCs w:val="20"/>
          <w:color w:val="auto"/>
        </w:rPr>
        <w:t>), such additional terms and conditions, not inconsistent with the provisions of the Plan, as the Committee shall determine.</w:t>
      </w:r>
    </w:p>
    <w:p>
      <w:pPr>
        <w:spacing w:after="0" w:line="179"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Options</w:t>
      </w:r>
      <w:r>
        <w:rPr>
          <w:rFonts w:ascii="Times New Roman" w:cs="Times New Roman" w:eastAsia="Times New Roman" w:hAnsi="Times New Roman"/>
          <w:sz w:val="20"/>
          <w:szCs w:val="20"/>
          <w:color w:val="auto"/>
        </w:rPr>
        <w:t>. The Committee is authorized to grant Options, which may be designated as either ISOs or Nonstatutory Stock Options, to Eligible Persons on the following terms and conditions:</w:t>
      </w:r>
    </w:p>
    <w:p>
      <w:pPr>
        <w:spacing w:after="0" w:line="159" w:lineRule="exact"/>
        <w:rPr>
          <w:rFonts w:ascii="Times New Roman" w:cs="Times New Roman" w:eastAsia="Times New Roman" w:hAnsi="Times New Roman"/>
          <w:sz w:val="20"/>
          <w:szCs w:val="20"/>
          <w:color w:val="auto"/>
        </w:rPr>
      </w:pPr>
    </w:p>
    <w:p>
      <w:pPr>
        <w:jc w:val="both"/>
        <w:ind w:left="2260" w:hanging="755"/>
        <w:spacing w:after="0" w:line="244" w:lineRule="auto"/>
        <w:tabs>
          <w:tab w:leader="none" w:pos="2260" w:val="left"/>
        </w:tabs>
        <w:numPr>
          <w:ilvl w:val="2"/>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Each Award Agreement evidencing an Option shall state the exercise price per share of Stock (the “</w:t>
      </w:r>
      <w:r>
        <w:rPr>
          <w:rFonts w:ascii="Times New Roman" w:cs="Times New Roman" w:eastAsia="Times New Roman" w:hAnsi="Times New Roman"/>
          <w:sz w:val="20"/>
          <w:szCs w:val="20"/>
          <w:b w:val="1"/>
          <w:bCs w:val="1"/>
          <w:i w:val="1"/>
          <w:iCs w:val="1"/>
          <w:color w:val="auto"/>
        </w:rPr>
        <w:t>Exercise Price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except as provided in </w:t>
      </w:r>
      <w:r>
        <w:rPr>
          <w:rFonts w:ascii="Times New Roman" w:cs="Times New Roman" w:eastAsia="Times New Roman" w:hAnsi="Times New Roman"/>
          <w:sz w:val="20"/>
          <w:szCs w:val="20"/>
          <w:u w:val="single" w:color="auto"/>
          <w:color w:val="auto"/>
        </w:rPr>
        <w:t>Section 6(j)</w:t>
      </w:r>
      <w:r>
        <w:rPr>
          <w:rFonts w:ascii="Times New Roman" w:cs="Times New Roman" w:eastAsia="Times New Roman" w:hAnsi="Times New Roman"/>
          <w:sz w:val="20"/>
          <w:szCs w:val="20"/>
          <w:color w:val="auto"/>
        </w:rPr>
        <w:t>, the Exercise Price per share of Stock subject to an Option shall not be less than the greater of (A) the par value per share of the Stock or (B) 100% of the Fair Market Value per share of the Stock as of the date of grant of the Option (or in the case of an ISO granted to an individual who owns stock possessing more than 10% of the total combined voting power of all classes of stock of the Company or its parent or any Subsidiary, 110% of the Fair Market Value per share of the Stock on the date of grant).</w:t>
      </w:r>
    </w:p>
    <w:p>
      <w:pPr>
        <w:spacing w:after="0" w:line="186" w:lineRule="exact"/>
        <w:rPr>
          <w:sz w:val="20"/>
          <w:szCs w:val="20"/>
          <w:color w:val="auto"/>
        </w:rPr>
      </w:pPr>
    </w:p>
    <w:p>
      <w:pPr>
        <w:jc w:val="both"/>
        <w:ind w:left="2260" w:hanging="755"/>
        <w:spacing w:after="0" w:line="249" w:lineRule="auto"/>
        <w:tabs>
          <w:tab w:leader="none" w:pos="22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Time and Method of Exercise</w:t>
      </w:r>
      <w:r>
        <w:rPr>
          <w:rFonts w:ascii="Times New Roman" w:cs="Times New Roman" w:eastAsia="Times New Roman" w:hAnsi="Times New Roman"/>
          <w:sz w:val="20"/>
          <w:szCs w:val="20"/>
          <w:color w:val="auto"/>
        </w:rPr>
        <w:t xml:space="preserve">. The Committee shall determine the time or times at which or the circumstances under which an Option may be exercised in whole or in part (including based on achievement of performance goals pursuant to </w:t>
      </w:r>
      <w:r>
        <w:rPr>
          <w:rFonts w:ascii="Times New Roman" w:cs="Times New Roman" w:eastAsia="Times New Roman" w:hAnsi="Times New Roman"/>
          <w:sz w:val="20"/>
          <w:szCs w:val="20"/>
          <w:u w:val="single" w:color="auto"/>
          <w:color w:val="auto"/>
        </w:rPr>
        <w:t>Section 6(k)</w:t>
      </w:r>
      <w:r>
        <w:rPr>
          <w:rFonts w:ascii="Times New Roman" w:cs="Times New Roman" w:eastAsia="Times New Roman" w:hAnsi="Times New Roman"/>
          <w:sz w:val="20"/>
          <w:szCs w:val="20"/>
          <w:color w:val="auto"/>
        </w:rPr>
        <w:t xml:space="preserve"> and/or future service requirements), the methods by which such Exercise Price may be paid or deemed to be</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7" w:name="page108"/>
    <w:bookmarkEnd w:id="107"/>
    <w:p>
      <w:pPr>
        <w:ind w:left="9603"/>
        <w:spacing w:after="0"/>
        <w:rPr>
          <w:sz w:val="20"/>
          <w:szCs w:val="20"/>
          <w:color w:val="auto"/>
        </w:rPr>
      </w:pPr>
      <w:r>
        <w:rPr>
          <w:rFonts w:ascii="Times New Roman" w:cs="Times New Roman" w:eastAsia="Times New Roman" w:hAnsi="Times New Roman"/>
          <w:sz w:val="17"/>
          <w:szCs w:val="17"/>
          <w:color w:val="auto"/>
        </w:rPr>
        <w:t>Exhibit 10.7</w:t>
      </w:r>
    </w:p>
    <w:p>
      <w:pPr>
        <w:spacing w:after="0" w:line="124" w:lineRule="exact"/>
        <w:rPr>
          <w:sz w:val="20"/>
          <w:szCs w:val="20"/>
          <w:color w:val="auto"/>
        </w:rPr>
      </w:pPr>
    </w:p>
    <w:p>
      <w:pPr>
        <w:jc w:val="both"/>
        <w:ind w:left="1503"/>
        <w:spacing w:after="0" w:line="242" w:lineRule="auto"/>
        <w:rPr>
          <w:sz w:val="20"/>
          <w:szCs w:val="20"/>
          <w:color w:val="auto"/>
        </w:rPr>
      </w:pPr>
      <w:r>
        <w:rPr>
          <w:rFonts w:ascii="Times New Roman" w:cs="Times New Roman" w:eastAsia="Times New Roman" w:hAnsi="Times New Roman"/>
          <w:sz w:val="20"/>
          <w:szCs w:val="20"/>
          <w:color w:val="auto"/>
        </w:rPr>
        <w:t xml:space="preserve">paid, the form of such payment, including cash or cash equivalents, Stock (including previously owned shares or through a cashless or broker-assisted exercise or other reduction of the amount of shares otherwise issuable pursuant to the Option), other Awards or awards granted under other plans of the Company or any Subsidiary, other property, or any other legal consideration the Committee deems appropriate (including notes or other contractual obligations of Participants to make payment on a deferred basis), and the methods by or forms in which Stock shall be delivered or deemed to be delivered to Participants, including the delivery of Restricted Stock subject to </w:t>
      </w:r>
      <w:r>
        <w:rPr>
          <w:rFonts w:ascii="Times New Roman" w:cs="Times New Roman" w:eastAsia="Times New Roman" w:hAnsi="Times New Roman"/>
          <w:sz w:val="20"/>
          <w:szCs w:val="20"/>
          <w:u w:val="single" w:color="auto"/>
          <w:color w:val="auto"/>
        </w:rPr>
        <w:t>Section 6(d)</w:t>
      </w:r>
      <w:r>
        <w:rPr>
          <w:rFonts w:ascii="Times New Roman" w:cs="Times New Roman" w:eastAsia="Times New Roman" w:hAnsi="Times New Roman"/>
          <w:sz w:val="20"/>
          <w:szCs w:val="20"/>
          <w:color w:val="auto"/>
        </w:rPr>
        <w:t>. In the case of an exercise whereby the Exercise Price is paid with Stock, such Stock shall be valued as of the date of exercise. No Option may be exercisable for a period of more than 10 years following the date of grant of the Option (or in the case of an ISO granted to an individual who owns stock possessing more than 10% of the total combined voting power of all classes of stock of the Company or its parent or any Subsidiary, for a period of no more than five years following the date of grant of the ISO).</w:t>
      </w:r>
    </w:p>
    <w:p>
      <w:pPr>
        <w:spacing w:after="0" w:line="190" w:lineRule="exact"/>
        <w:rPr>
          <w:sz w:val="20"/>
          <w:szCs w:val="20"/>
          <w:color w:val="auto"/>
        </w:rPr>
      </w:pPr>
    </w:p>
    <w:p>
      <w:pPr>
        <w:jc w:val="both"/>
        <w:ind w:left="1503" w:hanging="755"/>
        <w:spacing w:after="0" w:line="241" w:lineRule="auto"/>
        <w:tabs>
          <w:tab w:leader="none" w:pos="1503"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ISOs</w:t>
      </w:r>
      <w:r>
        <w:rPr>
          <w:rFonts w:ascii="Times New Roman" w:cs="Times New Roman" w:eastAsia="Times New Roman" w:hAnsi="Times New Roman"/>
          <w:sz w:val="20"/>
          <w:szCs w:val="20"/>
          <w:color w:val="auto"/>
        </w:rPr>
        <w:t xml:space="preserve">. The terms of any ISO granted under the Plan shall comply in all respects with the provisions of Section 422. ISOs may only be granted to Eligible Persons who are employees of the Company or a parent or subsidiary corporation (within the meaning of sections 424(e) and (f) of the Code). Except as otherwise provided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w:t>
      </w:r>
      <w:r>
        <w:rPr>
          <w:rFonts w:ascii="Times New Roman" w:cs="Times New Roman" w:eastAsia="Times New Roman" w:hAnsi="Times New Roman"/>
          <w:sz w:val="20"/>
          <w:szCs w:val="20"/>
          <w:color w:val="auto"/>
        </w:rPr>
        <w:t>, no term of the Plan relating to ISOs (including any SAR in tandem therewith) shall be interpreted, amended or altered, nor shall any discretion or authority granted under the Plan be exercised, so as to disqualify either the Plan or any ISO under Section 422, unless the Participant has first requested the change that shall result in such disqualification. ISOs shall not be granted more than 10 years after the Effective Date or the most recent approval of the Plan by the Stockholders. Notwithstanding the foregoing, the Fair Market Value of shares of Stock subject to an ISO and the aggregate Fair Market Value of shares of stock of any parent or subsidiary corporation (within the meaning of sections 424(e) and (f) of the Code) subject to any other ISO of the Company or a parent or subsidiary corporation (within the meaning of sections 424(e) and (f) of the Code) that first becomes purchasable by a Participant in any calendar year may not (with respect to that Participant) exceed $100,000, or such other amount as may be prescribed under Section 422. As used in the previous sentence, Fair Market Value shall be determined as of the date the ISOs are granted. Failure to comply with this provision shall not impair the enforceability or exercisability of any Option, but shall cause the excess amount of shares to be reclassified in accordance with the Code.</w:t>
      </w:r>
    </w:p>
    <w:p>
      <w:pPr>
        <w:spacing w:after="0" w:line="193" w:lineRule="exact"/>
        <w:rPr>
          <w:rFonts w:ascii="Times New Roman" w:cs="Times New Roman" w:eastAsia="Times New Roman" w:hAnsi="Times New Roman"/>
          <w:sz w:val="20"/>
          <w:szCs w:val="20"/>
          <w:color w:val="auto"/>
        </w:rPr>
      </w:pPr>
    </w:p>
    <w:p>
      <w:pPr>
        <w:ind w:left="743" w:hanging="743"/>
        <w:spacing w:after="0" w:line="269" w:lineRule="auto"/>
        <w:tabs>
          <w:tab w:leader="none" w:pos="743"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 Appreciation Rights</w:t>
      </w:r>
      <w:r>
        <w:rPr>
          <w:rFonts w:ascii="Times New Roman" w:cs="Times New Roman" w:eastAsia="Times New Roman" w:hAnsi="Times New Roman"/>
          <w:sz w:val="20"/>
          <w:szCs w:val="20"/>
          <w:color w:val="auto"/>
        </w:rPr>
        <w:t>. The Committee is authorized to grant SARs to Eligible Persons on the following terms and conditions:</w:t>
      </w:r>
    </w:p>
    <w:p>
      <w:pPr>
        <w:spacing w:after="0" w:line="159" w:lineRule="exact"/>
        <w:rPr>
          <w:rFonts w:ascii="Times New Roman" w:cs="Times New Roman" w:eastAsia="Times New Roman" w:hAnsi="Times New Roman"/>
          <w:sz w:val="20"/>
          <w:szCs w:val="20"/>
          <w:color w:val="auto"/>
        </w:rPr>
      </w:pPr>
    </w:p>
    <w:p>
      <w:pPr>
        <w:jc w:val="both"/>
        <w:ind w:left="1503" w:hanging="755"/>
        <w:spacing w:after="0" w:line="254" w:lineRule="auto"/>
        <w:tabs>
          <w:tab w:leader="none" w:pos="1503"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 to Payment</w:t>
      </w:r>
      <w:r>
        <w:rPr>
          <w:rFonts w:ascii="Times New Roman" w:cs="Times New Roman" w:eastAsia="Times New Roman" w:hAnsi="Times New Roman"/>
          <w:sz w:val="20"/>
          <w:szCs w:val="20"/>
          <w:color w:val="auto"/>
        </w:rPr>
        <w:t>. An SAR shall confer on the Participant to whom it is granted a right to receive, upon exercise thereof, the excess of (A) the Fair Market Value of one share of Stock on the date of exercise over (B) the grant price of the SAR as determined by the Committee.</w:t>
      </w:r>
    </w:p>
    <w:p>
      <w:pPr>
        <w:spacing w:after="0" w:line="174" w:lineRule="exact"/>
        <w:rPr>
          <w:sz w:val="20"/>
          <w:szCs w:val="20"/>
          <w:color w:val="auto"/>
        </w:rPr>
      </w:pPr>
    </w:p>
    <w:p>
      <w:pPr>
        <w:jc w:val="both"/>
        <w:ind w:left="1503" w:hanging="755"/>
        <w:spacing w:after="0" w:line="249" w:lineRule="auto"/>
        <w:tabs>
          <w:tab w:leader="none" w:pos="1503"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Price</w:t>
      </w:r>
      <w:r>
        <w:rPr>
          <w:rFonts w:ascii="Times New Roman" w:cs="Times New Roman" w:eastAsia="Times New Roman" w:hAnsi="Times New Roman"/>
          <w:sz w:val="20"/>
          <w:szCs w:val="20"/>
          <w:color w:val="auto"/>
        </w:rPr>
        <w:t xml:space="preserve">. Each Award Agreement evidencing an SAR shall state the grant price per share of Stock;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grant price per share of Stock subject to an SAR shall not be less than the greater of (A) the par value per share of the Stock or (B) 100% of the Fair Market Value per share of the Stock as of the date of grant of the SAR.</w:t>
      </w:r>
    </w:p>
    <w:p>
      <w:pPr>
        <w:spacing w:after="0" w:line="179" w:lineRule="exact"/>
        <w:rPr>
          <w:rFonts w:ascii="Times New Roman" w:cs="Times New Roman" w:eastAsia="Times New Roman" w:hAnsi="Times New Roman"/>
          <w:sz w:val="20"/>
          <w:szCs w:val="20"/>
          <w:color w:val="auto"/>
        </w:rPr>
      </w:pPr>
    </w:p>
    <w:p>
      <w:pPr>
        <w:jc w:val="both"/>
        <w:ind w:left="1503" w:hanging="755"/>
        <w:spacing w:after="0" w:line="249" w:lineRule="auto"/>
        <w:tabs>
          <w:tab w:leader="none" w:pos="1503"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Time and Method of Exercise</w:t>
      </w:r>
      <w:r>
        <w:rPr>
          <w:rFonts w:ascii="Times New Roman" w:cs="Times New Roman" w:eastAsia="Times New Roman" w:hAnsi="Times New Roman"/>
          <w:sz w:val="20"/>
          <w:szCs w:val="20"/>
          <w:color w:val="auto"/>
        </w:rPr>
        <w:t xml:space="preserve">. Except as otherwise provided herein, the Committee shall determine, at the date of grant or thereafter, the number of shares of Stock to which the SAR relates, the time or times at which and the circumstances under which an SAR may be vested and/or exercised in whole or in part (including based on achievement of performance goals pursuant to </w:t>
      </w:r>
      <w:r>
        <w:rPr>
          <w:rFonts w:ascii="Times New Roman" w:cs="Times New Roman" w:eastAsia="Times New Roman" w:hAnsi="Times New Roman"/>
          <w:sz w:val="20"/>
          <w:szCs w:val="20"/>
          <w:u w:val="single" w:color="auto"/>
          <w:color w:val="auto"/>
        </w:rPr>
        <w:t>Section 6(k)</w:t>
      </w:r>
      <w:r>
        <w:rPr>
          <w:rFonts w:ascii="Times New Roman" w:cs="Times New Roman" w:eastAsia="Times New Roman" w:hAnsi="Times New Roman"/>
          <w:sz w:val="20"/>
          <w:szCs w:val="20"/>
          <w:color w:val="auto"/>
        </w:rPr>
        <w:t xml:space="preserve"> and/or future service requirements), the method</w:t>
      </w:r>
    </w:p>
    <w:p>
      <w:pPr>
        <w:spacing w:after="0" w:line="274" w:lineRule="exact"/>
        <w:rPr>
          <w:sz w:val="20"/>
          <w:szCs w:val="20"/>
          <w:color w:val="auto"/>
        </w:rPr>
      </w:pPr>
    </w:p>
    <w:p>
      <w:pPr>
        <w:ind w:left="4663"/>
        <w:spacing w:after="0"/>
        <w:rPr>
          <w:sz w:val="20"/>
          <w:szCs w:val="20"/>
          <w:color w:val="auto"/>
        </w:rPr>
      </w:pPr>
      <w:r>
        <w:rPr>
          <w:rFonts w:ascii="Times New Roman" w:cs="Times New Roman" w:eastAsia="Times New Roman" w:hAnsi="Times New Roman"/>
          <w:sz w:val="20"/>
          <w:szCs w:val="20"/>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481330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9" w:right="339" w:bottom="1440" w:gutter="0" w:footer="0" w:header="0"/>
        </w:sectPr>
      </w:pPr>
    </w:p>
    <w:bookmarkStart w:id="108" w:name="page109"/>
    <w:bookmarkEnd w:id="108"/>
    <w:p>
      <w:pPr>
        <w:ind w:left="9603"/>
        <w:spacing w:after="0"/>
        <w:rPr>
          <w:sz w:val="20"/>
          <w:szCs w:val="20"/>
          <w:color w:val="auto"/>
        </w:rPr>
      </w:pPr>
      <w:r>
        <w:rPr>
          <w:rFonts w:ascii="Times New Roman" w:cs="Times New Roman" w:eastAsia="Times New Roman" w:hAnsi="Times New Roman"/>
          <w:sz w:val="17"/>
          <w:szCs w:val="17"/>
          <w:color w:val="auto"/>
        </w:rPr>
        <w:t>Exhibit 10.7</w:t>
      </w:r>
    </w:p>
    <w:p>
      <w:pPr>
        <w:spacing w:after="0" w:line="124" w:lineRule="exact"/>
        <w:rPr>
          <w:sz w:val="20"/>
          <w:szCs w:val="20"/>
          <w:color w:val="auto"/>
        </w:rPr>
      </w:pPr>
    </w:p>
    <w:p>
      <w:pPr>
        <w:jc w:val="both"/>
        <w:ind w:left="1503"/>
        <w:spacing w:after="0" w:line="249" w:lineRule="auto"/>
        <w:rPr>
          <w:sz w:val="20"/>
          <w:szCs w:val="20"/>
          <w:color w:val="auto"/>
        </w:rPr>
      </w:pPr>
      <w:r>
        <w:rPr>
          <w:rFonts w:ascii="Times New Roman" w:cs="Times New Roman" w:eastAsia="Times New Roman" w:hAnsi="Times New Roman"/>
          <w:sz w:val="20"/>
          <w:szCs w:val="20"/>
          <w:color w:val="auto"/>
        </w:rPr>
        <w:t>of exercise, method of settlement, form of consideration payable upon settlement, method by or forms in which Stock (if any) shall be delivered to Participants, and any other terms and conditions of any SAR. SARs may be either free-standing or in tandem with other Awards. No SAR may be exercisable for a period of more than 10 years following the date of grant of the SAR.</w:t>
      </w:r>
    </w:p>
    <w:p>
      <w:pPr>
        <w:spacing w:after="0" w:line="180" w:lineRule="exact"/>
        <w:rPr>
          <w:sz w:val="20"/>
          <w:szCs w:val="20"/>
          <w:color w:val="auto"/>
        </w:rPr>
      </w:pPr>
    </w:p>
    <w:p>
      <w:pPr>
        <w:jc w:val="both"/>
        <w:ind w:left="1503" w:hanging="755"/>
        <w:spacing w:after="0" w:line="243" w:lineRule="auto"/>
        <w:tabs>
          <w:tab w:leader="none" w:pos="1503"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Related to Options</w:t>
      </w:r>
      <w:r>
        <w:rPr>
          <w:rFonts w:ascii="Times New Roman" w:cs="Times New Roman" w:eastAsia="Times New Roman" w:hAnsi="Times New Roman"/>
          <w:sz w:val="20"/>
          <w:szCs w:val="20"/>
          <w:color w:val="auto"/>
        </w:rPr>
        <w:t>. An SAR granted in connection with an Option shall entitle a Participant, upon exercise, to surrender that Option or any portion thereof, to the extent unexercised, and to receive payment of an amount determined by multiplying (A) the difference obtained by subtracting the Exercise Price with respect to a share of Stock specified in the related Option from the Fair Market Value of a share of Stock on the date of exercise of the SAR, by (B) the number of shares as to which that SAR has been exercised. The Option shall then cease to be exercisable to the extent surrendered. SARs granted in connection with an Option shall be subject to the terms and conditions of the Award Agreement governing the Option, which shall provide that the SAR is exercisable only at such time or times and only to the extent that the related Option is exercisable and shall not be transferable except to the extent that the related Option is transferrable.</w:t>
      </w:r>
    </w:p>
    <w:p>
      <w:pPr>
        <w:spacing w:after="0" w:line="185" w:lineRule="exact"/>
        <w:rPr>
          <w:rFonts w:ascii="Times New Roman" w:cs="Times New Roman" w:eastAsia="Times New Roman" w:hAnsi="Times New Roman"/>
          <w:sz w:val="20"/>
          <w:szCs w:val="20"/>
          <w:color w:val="auto"/>
        </w:rPr>
      </w:pPr>
    </w:p>
    <w:p>
      <w:pPr>
        <w:ind w:left="743" w:right="20" w:hanging="743"/>
        <w:spacing w:after="0" w:line="269" w:lineRule="auto"/>
        <w:tabs>
          <w:tab w:leader="none" w:pos="743"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Stock</w:t>
      </w:r>
      <w:r>
        <w:rPr>
          <w:rFonts w:ascii="Times New Roman" w:cs="Times New Roman" w:eastAsia="Times New Roman" w:hAnsi="Times New Roman"/>
          <w:sz w:val="20"/>
          <w:szCs w:val="20"/>
          <w:color w:val="auto"/>
        </w:rPr>
        <w:t>. The Committee is authorized to grant Restricted Stock to Eligible Persons on the following terms and conditions:</w:t>
      </w:r>
    </w:p>
    <w:p>
      <w:pPr>
        <w:spacing w:after="0" w:line="159" w:lineRule="exact"/>
        <w:rPr>
          <w:rFonts w:ascii="Times New Roman" w:cs="Times New Roman" w:eastAsia="Times New Roman" w:hAnsi="Times New Roman"/>
          <w:sz w:val="20"/>
          <w:szCs w:val="20"/>
          <w:color w:val="auto"/>
        </w:rPr>
      </w:pPr>
    </w:p>
    <w:p>
      <w:pPr>
        <w:jc w:val="both"/>
        <w:ind w:left="1503" w:hanging="755"/>
        <w:spacing w:after="0" w:line="244" w:lineRule="auto"/>
        <w:tabs>
          <w:tab w:leader="none" w:pos="1503"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and Restrictions</w:t>
      </w:r>
      <w:r>
        <w:rPr>
          <w:rFonts w:ascii="Times New Roman" w:cs="Times New Roman" w:eastAsia="Times New Roman" w:hAnsi="Times New Roman"/>
          <w:sz w:val="20"/>
          <w:szCs w:val="20"/>
          <w:color w:val="auto"/>
        </w:rPr>
        <w:t xml:space="preserve">. Restricted Stock shall be subject to such restrictions on transferability, risk of forfeiture and other restrictions, if any, as the Committee may impose, which restrictions may lapse separately or in combination at such times, under such circumstances (including based on achievement of performance goals pursuant to </w:t>
      </w:r>
      <w:r>
        <w:rPr>
          <w:rFonts w:ascii="Times New Roman" w:cs="Times New Roman" w:eastAsia="Times New Roman" w:hAnsi="Times New Roman"/>
          <w:sz w:val="20"/>
          <w:szCs w:val="20"/>
          <w:u w:val="single" w:color="auto"/>
          <w:color w:val="auto"/>
        </w:rPr>
        <w:t>Section 6(k)</w:t>
      </w:r>
      <w:r>
        <w:rPr>
          <w:rFonts w:ascii="Times New Roman" w:cs="Times New Roman" w:eastAsia="Times New Roman" w:hAnsi="Times New Roman"/>
          <w:sz w:val="20"/>
          <w:szCs w:val="20"/>
          <w:color w:val="auto"/>
        </w:rPr>
        <w:t xml:space="preserve"> and/or future service requirements), in such installments or otherwise, as the Committee may determine at the date of grant or thereafter. During the restricted period applicable to the Restricted Stock, the Restricted Stock may not be sold, transferred, pledged, hypothecated, margined or otherwise encumbered by the Participant.</w:t>
      </w:r>
    </w:p>
    <w:p>
      <w:pPr>
        <w:spacing w:after="0" w:line="185" w:lineRule="exact"/>
        <w:rPr>
          <w:rFonts w:ascii="Times New Roman" w:cs="Times New Roman" w:eastAsia="Times New Roman" w:hAnsi="Times New Roman"/>
          <w:sz w:val="20"/>
          <w:szCs w:val="20"/>
          <w:color w:val="auto"/>
        </w:rPr>
      </w:pPr>
    </w:p>
    <w:p>
      <w:pPr>
        <w:jc w:val="both"/>
        <w:ind w:left="1503" w:hanging="755"/>
        <w:spacing w:after="0" w:line="243" w:lineRule="auto"/>
        <w:tabs>
          <w:tab w:leader="none" w:pos="1503"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Dividends and Splits</w:t>
      </w:r>
      <w:r>
        <w:rPr>
          <w:rFonts w:ascii="Times New Roman" w:cs="Times New Roman" w:eastAsia="Times New Roman" w:hAnsi="Times New Roman"/>
          <w:sz w:val="20"/>
          <w:szCs w:val="20"/>
          <w:color w:val="auto"/>
        </w:rPr>
        <w:t>. As a condition to the grant of an Award of Restricted Stock, the Committee may allow a Participant to elect, or may require, that any cash dividends paid on a share of Restricted Stock be automatically reinvested in additional shares of Restricted Stock, applied to the purchase of additional Awards under the Plan or deferred without interest to the date of vesting of the associated Award of Restricted Stock. Unless otherwise determined by the Committee and specified in the applicable Award Agreement, Stock distributed in connection with a Stock split or Stock dividend, and other property (other than cash) distributed as a dividend, shall be subject to restrictions and a risk of forfeiture to the same extent as the Restricted Stock with respect to which such Stock or other property has been distributed.</w:t>
      </w:r>
    </w:p>
    <w:p>
      <w:pPr>
        <w:spacing w:after="0" w:line="189" w:lineRule="exact"/>
        <w:rPr>
          <w:rFonts w:ascii="Times New Roman" w:cs="Times New Roman" w:eastAsia="Times New Roman" w:hAnsi="Times New Roman"/>
          <w:sz w:val="20"/>
          <w:szCs w:val="20"/>
          <w:color w:val="auto"/>
        </w:rPr>
      </w:pPr>
    </w:p>
    <w:p>
      <w:pPr>
        <w:ind w:left="743" w:hanging="743"/>
        <w:spacing w:after="0" w:line="269" w:lineRule="auto"/>
        <w:tabs>
          <w:tab w:leader="none" w:pos="743"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Stock Units</w:t>
      </w:r>
      <w:r>
        <w:rPr>
          <w:rFonts w:ascii="Times New Roman" w:cs="Times New Roman" w:eastAsia="Times New Roman" w:hAnsi="Times New Roman"/>
          <w:sz w:val="20"/>
          <w:szCs w:val="20"/>
          <w:color w:val="auto"/>
        </w:rPr>
        <w:t>. The Committee is authorized to grant Restricted Stock Units to Eligible Persons, subject to the following terms and conditions:</w:t>
      </w:r>
    </w:p>
    <w:p>
      <w:pPr>
        <w:spacing w:after="0" w:line="159" w:lineRule="exact"/>
        <w:rPr>
          <w:rFonts w:ascii="Times New Roman" w:cs="Times New Roman" w:eastAsia="Times New Roman" w:hAnsi="Times New Roman"/>
          <w:sz w:val="20"/>
          <w:szCs w:val="20"/>
          <w:color w:val="auto"/>
        </w:rPr>
      </w:pPr>
    </w:p>
    <w:p>
      <w:pPr>
        <w:jc w:val="both"/>
        <w:ind w:left="1503" w:hanging="755"/>
        <w:spacing w:after="0" w:line="249" w:lineRule="auto"/>
        <w:tabs>
          <w:tab w:leader="none" w:pos="1503"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Award and Restrictions</w:t>
      </w:r>
      <w:r>
        <w:rPr>
          <w:rFonts w:ascii="Times New Roman" w:cs="Times New Roman" w:eastAsia="Times New Roman" w:hAnsi="Times New Roman"/>
          <w:sz w:val="20"/>
          <w:szCs w:val="20"/>
          <w:color w:val="auto"/>
        </w:rPr>
        <w:t>. Restricted Stock Units shall be subject to such restrictions (which may include a risk of forfeiture) as the Committee may impose, if any, which restrictions may lapse at the expiration of the restricted period or at earlier specified times (including based on achievement of performance goals and/or future service requirements), separately or in combination, in installments or otherwise, as the Committee may determine.</w:t>
      </w:r>
    </w:p>
    <w:p>
      <w:pPr>
        <w:spacing w:after="0" w:line="179" w:lineRule="exact"/>
        <w:rPr>
          <w:rFonts w:ascii="Times New Roman" w:cs="Times New Roman" w:eastAsia="Times New Roman" w:hAnsi="Times New Roman"/>
          <w:sz w:val="20"/>
          <w:szCs w:val="20"/>
          <w:color w:val="auto"/>
        </w:rPr>
      </w:pPr>
    </w:p>
    <w:p>
      <w:pPr>
        <w:jc w:val="both"/>
        <w:ind w:left="1503" w:hanging="755"/>
        <w:spacing w:after="0" w:line="249" w:lineRule="auto"/>
        <w:tabs>
          <w:tab w:leader="none" w:pos="1503"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Settlement</w:t>
      </w:r>
      <w:r>
        <w:rPr>
          <w:rFonts w:ascii="Times New Roman" w:cs="Times New Roman" w:eastAsia="Times New Roman" w:hAnsi="Times New Roman"/>
          <w:sz w:val="20"/>
          <w:szCs w:val="20"/>
          <w:color w:val="auto"/>
        </w:rPr>
        <w:t>. Settlement of Restricted Stock Units shall occur upon expiration of the restricted period specified for such Restricted Stock Unit by the Committee (or, if permitted by the Committee, as elected by the Participant). Restricted Stock Units shall be satisfied by the delivery of (A) a number of shares of Stock equal to the number of RSUs vesting</w:t>
      </w:r>
    </w:p>
    <w:p>
      <w:pPr>
        <w:spacing w:after="0" w:line="274" w:lineRule="exact"/>
        <w:rPr>
          <w:sz w:val="20"/>
          <w:szCs w:val="20"/>
          <w:color w:val="auto"/>
        </w:rPr>
      </w:pPr>
    </w:p>
    <w:p>
      <w:pPr>
        <w:ind w:left="4663"/>
        <w:spacing w:after="0"/>
        <w:rPr>
          <w:sz w:val="20"/>
          <w:szCs w:val="20"/>
          <w:color w:val="auto"/>
        </w:rPr>
      </w:pPr>
      <w:r>
        <w:rPr>
          <w:rFonts w:ascii="Times New Roman" w:cs="Times New Roman" w:eastAsia="Times New Roman" w:hAnsi="Times New Roman"/>
          <w:sz w:val="20"/>
          <w:szCs w:val="20"/>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481330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9" w:right="339" w:bottom="1440" w:gutter="0" w:footer="0" w:header="0"/>
        </w:sectPr>
      </w:pPr>
    </w:p>
    <w:bookmarkStart w:id="109" w:name="page110"/>
    <w:bookmarkEnd w:id="109"/>
    <w:p>
      <w:pPr>
        <w:ind w:left="9603"/>
        <w:spacing w:after="0"/>
        <w:rPr>
          <w:sz w:val="20"/>
          <w:szCs w:val="20"/>
          <w:color w:val="auto"/>
        </w:rPr>
      </w:pPr>
      <w:r>
        <w:rPr>
          <w:rFonts w:ascii="Times New Roman" w:cs="Times New Roman" w:eastAsia="Times New Roman" w:hAnsi="Times New Roman"/>
          <w:sz w:val="17"/>
          <w:szCs w:val="17"/>
          <w:color w:val="auto"/>
        </w:rPr>
        <w:t>Exhibit 10.7</w:t>
      </w:r>
    </w:p>
    <w:p>
      <w:pPr>
        <w:spacing w:after="0" w:line="124" w:lineRule="exact"/>
        <w:rPr>
          <w:sz w:val="20"/>
          <w:szCs w:val="20"/>
          <w:color w:val="auto"/>
        </w:rPr>
      </w:pPr>
    </w:p>
    <w:p>
      <w:pPr>
        <w:jc w:val="both"/>
        <w:ind w:left="1503"/>
        <w:spacing w:after="0" w:line="254" w:lineRule="auto"/>
        <w:rPr>
          <w:sz w:val="20"/>
          <w:szCs w:val="20"/>
          <w:color w:val="auto"/>
        </w:rPr>
      </w:pPr>
      <w:r>
        <w:rPr>
          <w:rFonts w:ascii="Times New Roman" w:cs="Times New Roman" w:eastAsia="Times New Roman" w:hAnsi="Times New Roman"/>
          <w:sz w:val="20"/>
          <w:szCs w:val="20"/>
          <w:color w:val="auto"/>
        </w:rPr>
        <w:t>on such date, or (B) cash in an amount equal to the Fair Market Value of the specified number of shares of Stock covered by the vesting Restricted Stock Units, or a combination thereof, as determined by the Committee at the date of grant or thereafter.</w:t>
      </w:r>
    </w:p>
    <w:p>
      <w:pPr>
        <w:spacing w:after="0" w:line="174" w:lineRule="exact"/>
        <w:rPr>
          <w:sz w:val="20"/>
          <w:szCs w:val="20"/>
          <w:color w:val="auto"/>
        </w:rPr>
      </w:pPr>
    </w:p>
    <w:p>
      <w:pPr>
        <w:jc w:val="both"/>
        <w:ind w:left="743" w:hanging="743"/>
        <w:spacing w:after="0" w:line="254" w:lineRule="auto"/>
        <w:tabs>
          <w:tab w:leader="none" w:pos="743"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 Awards</w:t>
      </w:r>
      <w:r>
        <w:rPr>
          <w:rFonts w:ascii="Times New Roman" w:cs="Times New Roman" w:eastAsia="Times New Roman" w:hAnsi="Times New Roman"/>
          <w:sz w:val="20"/>
          <w:szCs w:val="20"/>
          <w:color w:val="auto"/>
        </w:rPr>
        <w:t>. The Committee is authorized to grant a Stock Award under the Plan to any Eligible Person as a bonus, as additional compensation, or in lieu of cash compensation the individual is otherwise entitled to receive, in such amounts and subject to such other terms as the Committee determines to be appropriate.</w:t>
      </w:r>
    </w:p>
    <w:p>
      <w:pPr>
        <w:spacing w:after="0" w:line="174" w:lineRule="exact"/>
        <w:rPr>
          <w:rFonts w:ascii="Times New Roman" w:cs="Times New Roman" w:eastAsia="Times New Roman" w:hAnsi="Times New Roman"/>
          <w:sz w:val="20"/>
          <w:szCs w:val="20"/>
          <w:color w:val="auto"/>
        </w:rPr>
      </w:pPr>
    </w:p>
    <w:p>
      <w:pPr>
        <w:jc w:val="both"/>
        <w:ind w:left="743" w:hanging="743"/>
        <w:spacing w:after="0" w:line="242" w:lineRule="auto"/>
        <w:tabs>
          <w:tab w:leader="none" w:pos="743"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 Equivalents</w:t>
      </w:r>
      <w:r>
        <w:rPr>
          <w:rFonts w:ascii="Times New Roman" w:cs="Times New Roman" w:eastAsia="Times New Roman" w:hAnsi="Times New Roman"/>
          <w:sz w:val="20"/>
          <w:szCs w:val="20"/>
          <w:color w:val="auto"/>
        </w:rPr>
        <w:t>. The Committee is authorized to grant Dividend Equivalents to an Eligible Person, entitling the Eligible Person to receive cash, Stock, other Awards, or other property equal in value to dividends or other distributions paid with respect to a specified number of shares of Stock, or other periodic payments. Dividend Equivalents may be awarded on a free-standing basis or in connection with another Award (other than an Award of Restricted Stock or a Stock Award). The Committee may provide that Dividend Equivalents shall be paid or distributed when accrued or at a later specified date, and if distributed at a later date may be deemed to have been reinvested in additional Stock, Awards, or other investment vehicles or accrued in a bookkeeping account without interest, and subject to such restrictions on transferability and risks of forfeiture, as the Committee may specify. With respect to Dividend Equivalents granted in connection with another Award, absent a contrary provision in the Award Agreement, such Dividend Equivalents shall be subject to the same restrictions and risk of forfeiture as the Award with respect to which the dividends accrue and shall not be paid unless and until such Award has vested and been earned.</w:t>
      </w:r>
    </w:p>
    <w:p>
      <w:pPr>
        <w:spacing w:after="0" w:line="189" w:lineRule="exact"/>
        <w:rPr>
          <w:rFonts w:ascii="Times New Roman" w:cs="Times New Roman" w:eastAsia="Times New Roman" w:hAnsi="Times New Roman"/>
          <w:sz w:val="20"/>
          <w:szCs w:val="20"/>
          <w:color w:val="auto"/>
        </w:rPr>
      </w:pPr>
    </w:p>
    <w:p>
      <w:pPr>
        <w:jc w:val="both"/>
        <w:ind w:left="743" w:hanging="743"/>
        <w:spacing w:after="0" w:line="242" w:lineRule="auto"/>
        <w:tabs>
          <w:tab w:leader="none" w:pos="743"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Stock-Based Awards</w:t>
      </w:r>
      <w:r>
        <w:rPr>
          <w:rFonts w:ascii="Times New Roman" w:cs="Times New Roman" w:eastAsia="Times New Roman" w:hAnsi="Times New Roman"/>
          <w:sz w:val="20"/>
          <w:szCs w:val="20"/>
          <w:color w:val="auto"/>
        </w:rPr>
        <w:t xml:space="preserve">. The Committee is authorized, subject to limitations under applicable law, to grant to Eligible Persons such other Awards that may be denominated or payable in, valued in whole or in part by reference to, or otherwise based on, or related to, Stock, as deemed by the Committee to be consistent with the purposes of the Plan, including convertible or exchangeable debt securities, other rights convertible or exchangeable into Stock, purchase rights for Stock, Awards with value and payment contingent upon performance of the Company or any other factors designated by the Committee, and Awards valued by reference to the book value of Stock or the value of securities of or the performance of specified Subsidiaries of the Company. The Committee shall determine the terms and conditions of such Other Stock-Based Awards. Stock delivered pursuant to an Other-Stock Based Award in the nature of a purchase right granted under this </w:t>
      </w:r>
      <w:r>
        <w:rPr>
          <w:rFonts w:ascii="Times New Roman" w:cs="Times New Roman" w:eastAsia="Times New Roman" w:hAnsi="Times New Roman"/>
          <w:sz w:val="20"/>
          <w:szCs w:val="20"/>
          <w:u w:val="single" w:color="auto"/>
          <w:color w:val="auto"/>
        </w:rPr>
        <w:t>Section 6(h)</w:t>
      </w:r>
      <w:r>
        <w:rPr>
          <w:rFonts w:ascii="Times New Roman" w:cs="Times New Roman" w:eastAsia="Times New Roman" w:hAnsi="Times New Roman"/>
          <w:sz w:val="20"/>
          <w:szCs w:val="20"/>
          <w:color w:val="auto"/>
        </w:rPr>
        <w:t xml:space="preserve"> shall be purchased for such consideration, paid for at such times, by such methods, and in such forms, including cash, Stock, other Awards, or other property, as the Committee may determine.</w:t>
      </w:r>
    </w:p>
    <w:p>
      <w:pPr>
        <w:spacing w:after="0" w:line="192" w:lineRule="exact"/>
        <w:rPr>
          <w:rFonts w:ascii="Times New Roman" w:cs="Times New Roman" w:eastAsia="Times New Roman" w:hAnsi="Times New Roman"/>
          <w:sz w:val="20"/>
          <w:szCs w:val="20"/>
          <w:color w:val="auto"/>
        </w:rPr>
      </w:pPr>
    </w:p>
    <w:p>
      <w:pPr>
        <w:jc w:val="both"/>
        <w:ind w:left="743" w:hanging="743"/>
        <w:spacing w:after="0" w:line="249" w:lineRule="auto"/>
        <w:tabs>
          <w:tab w:leader="none" w:pos="743"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Awards</w:t>
      </w:r>
      <w:r>
        <w:rPr>
          <w:rFonts w:ascii="Times New Roman" w:cs="Times New Roman" w:eastAsia="Times New Roman" w:hAnsi="Times New Roman"/>
          <w:sz w:val="20"/>
          <w:szCs w:val="20"/>
          <w:color w:val="auto"/>
        </w:rPr>
        <w:t xml:space="preserve">. The Committee is authorized to grant Cash Awards, on a free-standing basis or as an element of or supplement to, or in lieu of, any other Award under the Plan to Eligible Persons in such amounts and subject to such other terms (including the achievement of performance goals pursuant to </w:t>
      </w:r>
      <w:r>
        <w:rPr>
          <w:rFonts w:ascii="Times New Roman" w:cs="Times New Roman" w:eastAsia="Times New Roman" w:hAnsi="Times New Roman"/>
          <w:sz w:val="20"/>
          <w:szCs w:val="20"/>
          <w:u w:val="single" w:color="auto"/>
          <w:color w:val="auto"/>
        </w:rPr>
        <w:t>Section 6(k)</w:t>
      </w:r>
      <w:r>
        <w:rPr>
          <w:rFonts w:ascii="Times New Roman" w:cs="Times New Roman" w:eastAsia="Times New Roman" w:hAnsi="Times New Roman"/>
          <w:sz w:val="20"/>
          <w:szCs w:val="20"/>
          <w:color w:val="auto"/>
        </w:rPr>
        <w:t xml:space="preserve"> and/or future service requirements) as the Committee determines to be appropriate.</w:t>
      </w:r>
    </w:p>
    <w:p>
      <w:pPr>
        <w:spacing w:after="0" w:line="179" w:lineRule="exact"/>
        <w:rPr>
          <w:rFonts w:ascii="Times New Roman" w:cs="Times New Roman" w:eastAsia="Times New Roman" w:hAnsi="Times New Roman"/>
          <w:sz w:val="20"/>
          <w:szCs w:val="20"/>
          <w:color w:val="auto"/>
        </w:rPr>
      </w:pPr>
    </w:p>
    <w:p>
      <w:pPr>
        <w:jc w:val="both"/>
        <w:ind w:left="743" w:hanging="743"/>
        <w:spacing w:after="0" w:line="242" w:lineRule="auto"/>
        <w:tabs>
          <w:tab w:leader="none" w:pos="743"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Substitute Awards; No Repricing</w:t>
      </w:r>
      <w:r>
        <w:rPr>
          <w:rFonts w:ascii="Times New Roman" w:cs="Times New Roman" w:eastAsia="Times New Roman" w:hAnsi="Times New Roman"/>
          <w:sz w:val="20"/>
          <w:szCs w:val="20"/>
          <w:color w:val="auto"/>
        </w:rPr>
        <w:t xml:space="preserve">. Awards may be granted in substitution or exchange for any other Award granted under the Plan or under another plan of the Company or any other right of an Eligible Person to receive payment from the Company. Awards may be also be granted under the Plan in substitution for similar awards held by individuals who become Eligible Persons as a result of a merger, consolidation or acquisition of another entity or the assets of another entity by or with the Company or an Affiliate of the Company. Such Substitute Awards referred to in the immediately preceding sentence that are Options or Stock Appreciation Rights may have an exercise price that is less than the Fair Market Value of a share of Stock on the date of the substitution if such substitution complies with Section 409A and other applicable laws and exchange rules. Except as provided in this </w:t>
      </w:r>
      <w:r>
        <w:rPr>
          <w:rFonts w:ascii="Times New Roman" w:cs="Times New Roman" w:eastAsia="Times New Roman" w:hAnsi="Times New Roman"/>
          <w:sz w:val="20"/>
          <w:szCs w:val="20"/>
          <w:u w:val="single" w:color="auto"/>
          <w:color w:val="auto"/>
        </w:rPr>
        <w:t>Section 6(j)</w:t>
      </w:r>
      <w:r>
        <w:rPr>
          <w:rFonts w:ascii="Times New Roman" w:cs="Times New Roman" w:eastAsia="Times New Roman" w:hAnsi="Times New Roman"/>
          <w:sz w:val="20"/>
          <w:szCs w:val="20"/>
          <w:color w:val="auto"/>
        </w:rPr>
        <w:t xml:space="preserve"> or in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the terms of outstanding Awards may not be amended to reduce the Exercise Price or grant price of outstanding Options or SARs or to cancel outstanding Options and SARs in exchange for cash, other Awards or Options</w:t>
      </w:r>
    </w:p>
    <w:p>
      <w:pPr>
        <w:spacing w:after="0" w:line="287" w:lineRule="exact"/>
        <w:rPr>
          <w:sz w:val="20"/>
          <w:szCs w:val="20"/>
          <w:color w:val="auto"/>
        </w:rPr>
      </w:pPr>
    </w:p>
    <w:p>
      <w:pPr>
        <w:ind w:left="4663"/>
        <w:spacing w:after="0"/>
        <w:rPr>
          <w:sz w:val="20"/>
          <w:szCs w:val="20"/>
          <w:color w:val="auto"/>
        </w:rPr>
      </w:pPr>
      <w:r>
        <w:rPr>
          <w:rFonts w:ascii="Times New Roman" w:cs="Times New Roman" w:eastAsia="Times New Roman" w:hAnsi="Times New Roman"/>
          <w:sz w:val="20"/>
          <w:szCs w:val="20"/>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481330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9" w:right="339" w:bottom="1440" w:gutter="0" w:footer="0" w:header="0"/>
        </w:sectPr>
      </w:pPr>
    </w:p>
    <w:bookmarkStart w:id="110" w:name="page111"/>
    <w:bookmarkEnd w:id="110"/>
    <w:p>
      <w:pPr>
        <w:ind w:left="9603"/>
        <w:spacing w:after="0"/>
        <w:rPr>
          <w:sz w:val="20"/>
          <w:szCs w:val="20"/>
          <w:color w:val="auto"/>
        </w:rPr>
      </w:pPr>
      <w:r>
        <w:rPr>
          <w:rFonts w:ascii="Times New Roman" w:cs="Times New Roman" w:eastAsia="Times New Roman" w:hAnsi="Times New Roman"/>
          <w:sz w:val="17"/>
          <w:szCs w:val="17"/>
          <w:color w:val="auto"/>
        </w:rPr>
        <w:t>Exhibit 10.7</w:t>
      </w:r>
    </w:p>
    <w:p>
      <w:pPr>
        <w:spacing w:after="0" w:line="124" w:lineRule="exact"/>
        <w:rPr>
          <w:sz w:val="20"/>
          <w:szCs w:val="20"/>
          <w:color w:val="auto"/>
        </w:rPr>
      </w:pPr>
    </w:p>
    <w:p>
      <w:pPr>
        <w:jc w:val="both"/>
        <w:ind w:left="743" w:right="20"/>
        <w:spacing w:after="0" w:line="269" w:lineRule="auto"/>
        <w:rPr>
          <w:sz w:val="20"/>
          <w:szCs w:val="20"/>
          <w:color w:val="auto"/>
        </w:rPr>
      </w:pPr>
      <w:r>
        <w:rPr>
          <w:rFonts w:ascii="Times New Roman" w:cs="Times New Roman" w:eastAsia="Times New Roman" w:hAnsi="Times New Roman"/>
          <w:sz w:val="20"/>
          <w:szCs w:val="20"/>
          <w:color w:val="auto"/>
        </w:rPr>
        <w:t>or SARs with an Exercise Price or grant price that is less than the Exercise Price or grant price of the original Options or SARs without the approval of the Stockholders.</w:t>
      </w:r>
    </w:p>
    <w:p>
      <w:pPr>
        <w:spacing w:after="0" w:line="159" w:lineRule="exact"/>
        <w:rPr>
          <w:sz w:val="20"/>
          <w:szCs w:val="20"/>
          <w:color w:val="auto"/>
        </w:rPr>
      </w:pPr>
    </w:p>
    <w:p>
      <w:pPr>
        <w:jc w:val="both"/>
        <w:ind w:left="743" w:hanging="743"/>
        <w:spacing w:after="0" w:line="258" w:lineRule="auto"/>
        <w:tabs>
          <w:tab w:leader="none" w:pos="743"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Performance Awards</w:t>
      </w:r>
      <w:r>
        <w:rPr>
          <w:rFonts w:ascii="Times New Roman" w:cs="Times New Roman" w:eastAsia="Times New Roman" w:hAnsi="Times New Roman"/>
          <w:sz w:val="19"/>
          <w:szCs w:val="19"/>
          <w:color w:val="auto"/>
        </w:rPr>
        <w:t xml:space="preserve">. The Committee is authorized to designate any of the Awards granted under the foregoing provisions of this </w:t>
      </w:r>
      <w:r>
        <w:rPr>
          <w:rFonts w:ascii="Times New Roman" w:cs="Times New Roman" w:eastAsia="Times New Roman" w:hAnsi="Times New Roman"/>
          <w:sz w:val="19"/>
          <w:szCs w:val="19"/>
          <w:u w:val="single" w:color="auto"/>
          <w:color w:val="auto"/>
        </w:rPr>
        <w:t>Section 6</w:t>
      </w:r>
      <w:r>
        <w:rPr>
          <w:rFonts w:ascii="Times New Roman" w:cs="Times New Roman" w:eastAsia="Times New Roman" w:hAnsi="Times New Roman"/>
          <w:sz w:val="19"/>
          <w:szCs w:val="19"/>
          <w:color w:val="auto"/>
        </w:rPr>
        <w:t xml:space="preserve"> as Performance Awards. The Committee may use such business criteria and other measures of performance as it may deem appropriate in establishing any performance conditions applicable to a Performance Award, and may exercise its discretion to reduce or increase the amounts payable under any Performance Award, except as limited under Section 162(m). Performance conditions may differ for Performance Awards granted to any one Participant or to different Participants. The performance period applicable to any Performance Award shall be set by the Committee but shall not exceed 10 years. The performance goals for Performance Awards shall consist of one or more business criteria and a targeted level or levels of performance with respect to each of such criteria as specified by the Committee.</w:t>
      </w:r>
    </w:p>
    <w:p>
      <w:pPr>
        <w:spacing w:after="0" w:line="173" w:lineRule="exact"/>
        <w:rPr>
          <w:rFonts w:ascii="Times New Roman" w:cs="Times New Roman" w:eastAsia="Times New Roman" w:hAnsi="Times New Roman"/>
          <w:sz w:val="19"/>
          <w:szCs w:val="19"/>
          <w:color w:val="auto"/>
        </w:rPr>
      </w:pPr>
    </w:p>
    <w:p>
      <w:pPr>
        <w:jc w:val="both"/>
        <w:ind w:left="1503" w:hanging="755"/>
        <w:spacing w:after="0" w:line="254" w:lineRule="auto"/>
        <w:tabs>
          <w:tab w:leader="none" w:pos="1503" w:val="left"/>
        </w:tabs>
        <w:numPr>
          <w:ilvl w:val="1"/>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Business Criteria</w:t>
      </w:r>
      <w:r>
        <w:rPr>
          <w:rFonts w:ascii="Times New Roman" w:cs="Times New Roman" w:eastAsia="Times New Roman" w:hAnsi="Times New Roman"/>
          <w:sz w:val="19"/>
          <w:szCs w:val="19"/>
          <w:color w:val="auto"/>
        </w:rPr>
        <w:t>. One or more of the following business criteria for the Company, on a consolidated basis, and/or for specified Subsidiaries or business or geographical units of the Company (except with respect to the total Stockholder return and earnings per share criteria), may be used by the Committee in establishing performance goals for Performance Awards: (1) earnings per share; (2) revenues; (3) cash flow; (4) cash flow from operations; (5) cash flow return; (6) return on net assets; (7) return on assets; (8) return on investment; (9) return on capital; (10) return on equity; (11) economic value added; (12) operating margin; (13) contribution margin; (14) net income; (15) net income per share; (16) earnings; (17) earnings before interest, depreciation and amortization; (18) operating earnings after interest expense and before incentives, service fees, and extraordinary or special items; (19) total Stockholder return; (20) debt reduction or management; (21) market share; (22) change in the Fair Market Value of the Stock; (23) operating income; (24) share price; (25) effective equipment utilization; (26) achievement of savings from business improvement projects; (27) capital projects deliverables;</w:t>
      </w:r>
    </w:p>
    <w:p>
      <w:pPr>
        <w:spacing w:after="0" w:line="3" w:lineRule="exact"/>
        <w:rPr>
          <w:rFonts w:ascii="Times New Roman" w:cs="Times New Roman" w:eastAsia="Times New Roman" w:hAnsi="Times New Roman"/>
          <w:sz w:val="19"/>
          <w:szCs w:val="19"/>
          <w:color w:val="auto"/>
        </w:rPr>
      </w:pPr>
    </w:p>
    <w:p>
      <w:pPr>
        <w:jc w:val="both"/>
        <w:ind w:left="1503" w:hanging="6"/>
        <w:spacing w:after="0" w:line="256" w:lineRule="auto"/>
        <w:tabs>
          <w:tab w:leader="none" w:pos="1933" w:val="left"/>
        </w:tabs>
        <w:numPr>
          <w:ilvl w:val="2"/>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performance against environmental targets; (29) safety performance and/or incident rate; (30) human resources management targets, including medical cost reductions and time to hire; (31) satisfactory internal or external audits; and (32) any of the above goals determined pre-tax or post-tax, on an absolute or relative basis, as a ratio with other business criteria, or as compared to the performance of a published or special index deemed applicable by the Committee including the Standard &amp; Poor’s 500 Stock Index or a group of comparable companies. The terms above are used as applied under generally accepted accounting principles, as applicable.</w:t>
      </w:r>
    </w:p>
    <w:p>
      <w:pPr>
        <w:spacing w:after="0" w:line="172" w:lineRule="exact"/>
        <w:rPr>
          <w:rFonts w:ascii="Times New Roman" w:cs="Times New Roman" w:eastAsia="Times New Roman" w:hAnsi="Times New Roman"/>
          <w:sz w:val="19"/>
          <w:szCs w:val="19"/>
          <w:color w:val="auto"/>
        </w:rPr>
      </w:pPr>
    </w:p>
    <w:p>
      <w:pPr>
        <w:jc w:val="both"/>
        <w:ind w:left="1503" w:hanging="755"/>
        <w:spacing w:after="0" w:line="241" w:lineRule="auto"/>
        <w:tabs>
          <w:tab w:leader="none" w:pos="1503"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Certain Events</w:t>
      </w:r>
      <w:r>
        <w:rPr>
          <w:rFonts w:ascii="Times New Roman" w:cs="Times New Roman" w:eastAsia="Times New Roman" w:hAnsi="Times New Roman"/>
          <w:sz w:val="20"/>
          <w:szCs w:val="20"/>
          <w:color w:val="auto"/>
        </w:rPr>
        <w:t>. The Committee may provide for the manner in which actual performance and performance goals with regard to the business criteria selected shall reflect the impact of specified events during the relevant performance period, which may mean excluding the impact of any or all of the following events or occurrences for such performance period: (a) asset write-downs or impairments to assets; (b) litigation, claims, judgments or settlements; (c) the effect of changes in tax law or other such laws or regulations affecting reported results; (d) accruals for reorganization and restructuring programs; (e) any unusual or infrequent items as described in the Accounting Standards Codification Topic 225, as amended by Accounting Standards Update 2015-01, and as the same may be further amended or superseded from time to time; (f) any change in accounting principles as defined in the Accounting Standards Codification Topic 250, as the same may be amended or superseded from time to time; (g) any loss from a discontinued operation as described in the Accounting Standards Codification Topic 360, as the same may be amended or superseded from time to time; (h) goodwill impairment charges; (i) operating results for any business acquired during the calendar year; (j) third party expenses associated with any investment or acquisition by the Company or any Subsidiary; (k) any amounts accrued by the Company or its Subsidiaries pursuant to</w:t>
      </w:r>
    </w:p>
    <w:p>
      <w:pPr>
        <w:spacing w:after="0" w:line="290" w:lineRule="exact"/>
        <w:rPr>
          <w:sz w:val="20"/>
          <w:szCs w:val="20"/>
          <w:color w:val="auto"/>
        </w:rPr>
      </w:pPr>
    </w:p>
    <w:p>
      <w:pPr>
        <w:ind w:left="4663"/>
        <w:spacing w:after="0"/>
        <w:rPr>
          <w:sz w:val="20"/>
          <w:szCs w:val="20"/>
          <w:color w:val="auto"/>
        </w:rPr>
      </w:pPr>
      <w:r>
        <w:rPr>
          <w:rFonts w:ascii="Times New Roman" w:cs="Times New Roman" w:eastAsia="Times New Roman" w:hAnsi="Times New Roman"/>
          <w:sz w:val="20"/>
          <w:szCs w:val="20"/>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481330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9" w:right="339" w:bottom="1440" w:gutter="0" w:footer="0" w:header="0"/>
        </w:sectPr>
      </w:pPr>
    </w:p>
    <w:bookmarkStart w:id="111" w:name="page112"/>
    <w:bookmarkEnd w:id="111"/>
    <w:p>
      <w:pPr>
        <w:ind w:left="10360"/>
        <w:spacing w:after="0"/>
        <w:rPr>
          <w:sz w:val="20"/>
          <w:szCs w:val="20"/>
          <w:color w:val="auto"/>
        </w:rPr>
      </w:pPr>
      <w:r>
        <w:rPr>
          <w:rFonts w:ascii="Times New Roman" w:cs="Times New Roman" w:eastAsia="Times New Roman" w:hAnsi="Times New Roman"/>
          <w:sz w:val="17"/>
          <w:szCs w:val="17"/>
          <w:color w:val="auto"/>
        </w:rPr>
        <w:t>Exhibit 10.7</w:t>
      </w:r>
    </w:p>
    <w:p>
      <w:pPr>
        <w:spacing w:after="0" w:line="124" w:lineRule="exact"/>
        <w:rPr>
          <w:sz w:val="20"/>
          <w:szCs w:val="20"/>
          <w:color w:val="auto"/>
        </w:rPr>
      </w:pPr>
    </w:p>
    <w:p>
      <w:pPr>
        <w:jc w:val="both"/>
        <w:ind w:left="2260"/>
        <w:spacing w:after="0" w:line="249" w:lineRule="auto"/>
        <w:rPr>
          <w:sz w:val="20"/>
          <w:szCs w:val="20"/>
          <w:color w:val="auto"/>
        </w:rPr>
      </w:pPr>
      <w:r>
        <w:rPr>
          <w:rFonts w:ascii="Times New Roman" w:cs="Times New Roman" w:eastAsia="Times New Roman" w:hAnsi="Times New Roman"/>
          <w:sz w:val="20"/>
          <w:szCs w:val="20"/>
          <w:color w:val="auto"/>
        </w:rPr>
        <w:t>management bonus plans or cash profit sharing plans and related employer payroll taxes for the fiscal year; (l) any discretionary or matching contributions made to a savings and deferred profit-sharing plan or deferred compensation plan for the fiscal year; (m) interest, expenses, taxes, depreciation and depletion, amortization and accretion charges; and (n) marked-to-market adjustments for financial instruments.</w:t>
      </w:r>
    </w:p>
    <w:p>
      <w:pPr>
        <w:spacing w:after="0" w:line="180" w:lineRule="exact"/>
        <w:rPr>
          <w:sz w:val="20"/>
          <w:szCs w:val="20"/>
          <w:color w:val="auto"/>
        </w:rPr>
      </w:pPr>
    </w:p>
    <w:p>
      <w:pPr>
        <w:jc w:val="both"/>
        <w:ind w:left="2260" w:hanging="755"/>
        <w:spacing w:after="0" w:line="249" w:lineRule="auto"/>
        <w:tabs>
          <w:tab w:leader="none" w:pos="2260" w:val="left"/>
        </w:tabs>
        <w:numPr>
          <w:ilvl w:val="2"/>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Settlement or Payout of Awards; Other Terms</w:t>
      </w:r>
      <w:r>
        <w:rPr>
          <w:rFonts w:ascii="Times New Roman" w:cs="Times New Roman" w:eastAsia="Times New Roman" w:hAnsi="Times New Roman"/>
          <w:sz w:val="20"/>
          <w:szCs w:val="20"/>
          <w:color w:val="auto"/>
        </w:rPr>
        <w:t>. After the end of each performance period and before any Performance Award is settled or paid, the Committee shall determine the level of performance achieved with regard to each business criteria established with respect to each Performance Award and shall determine the amount of cash or Stock, if any, payable to each Participant with respect to each Performance Award.</w:t>
      </w:r>
    </w:p>
    <w:p>
      <w:pPr>
        <w:spacing w:after="0" w:line="179" w:lineRule="exact"/>
        <w:rPr>
          <w:rFonts w:ascii="Times New Roman" w:cs="Times New Roman" w:eastAsia="Times New Roman" w:hAnsi="Times New Roman"/>
          <w:sz w:val="20"/>
          <w:szCs w:val="20"/>
          <w:color w:val="auto"/>
        </w:rPr>
      </w:pPr>
    </w:p>
    <w:p>
      <w:pPr>
        <w:jc w:val="both"/>
        <w:ind w:left="2260" w:hanging="755"/>
        <w:spacing w:after="0" w:line="246" w:lineRule="auto"/>
        <w:tabs>
          <w:tab w:leader="none" w:pos="2260" w:val="left"/>
        </w:tabs>
        <w:numPr>
          <w:ilvl w:val="2"/>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Section 162(m) Awards</w:t>
      </w:r>
      <w:r>
        <w:rPr>
          <w:rFonts w:ascii="Times New Roman" w:cs="Times New Roman" w:eastAsia="Times New Roman" w:hAnsi="Times New Roman"/>
          <w:sz w:val="20"/>
          <w:szCs w:val="20"/>
          <w:color w:val="auto"/>
        </w:rPr>
        <w:t>. The terms governing Section 162(m) Awards shall be interpreted in a manner consistent with Section 162(m) and, if any provision of the Plan as in effect on the date of adoption of any Award Agreements relating to Performance Awards that are designated as Section 162(m) Awards does not comply or is inconsistent with the requirements of Section 162(m), such provision shall be construed or deemed amended to the extent necessary to conform to such requirements.</w:t>
      </w:r>
    </w:p>
    <w:p>
      <w:pPr>
        <w:spacing w:after="0" w:line="180"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Certain Provisions Applicable to Awards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 on Transfer of Awards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2260" w:hanging="755"/>
        <w:spacing w:after="0" w:line="249" w:lineRule="auto"/>
        <w:tabs>
          <w:tab w:leader="none" w:pos="2260" w:val="left"/>
        </w:tabs>
        <w:numPr>
          <w:ilvl w:val="2"/>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provided in </w:t>
      </w:r>
      <w:r>
        <w:rPr>
          <w:rFonts w:ascii="Times New Roman" w:cs="Times New Roman" w:eastAsia="Times New Roman" w:hAnsi="Times New Roman"/>
          <w:sz w:val="20"/>
          <w:szCs w:val="20"/>
          <w:u w:val="single" w:color="auto"/>
          <w:color w:val="auto"/>
        </w:rPr>
        <w:t>Section 7(a)(iii)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each Option and SAR shall be exercisable only by the Participant during the Participant’s lifetime, or by the Person to whom the Participant’s rights shall pass by will or the laws of descent and distribution. Notwithstanding the foregoing, an ISO shall not be transferable other than by will or the laws of descent and distribution.</w:t>
      </w:r>
    </w:p>
    <w:p>
      <w:pPr>
        <w:spacing w:after="0" w:line="179" w:lineRule="exact"/>
        <w:rPr>
          <w:rFonts w:ascii="Times New Roman" w:cs="Times New Roman" w:eastAsia="Times New Roman" w:hAnsi="Times New Roman"/>
          <w:sz w:val="20"/>
          <w:szCs w:val="20"/>
          <w:color w:val="auto"/>
        </w:rPr>
      </w:pPr>
    </w:p>
    <w:p>
      <w:pPr>
        <w:jc w:val="both"/>
        <w:ind w:left="2260" w:hanging="755"/>
        <w:spacing w:after="0" w:line="249" w:lineRule="auto"/>
        <w:tabs>
          <w:tab w:leader="none" w:pos="2260" w:val="left"/>
        </w:tabs>
        <w:numPr>
          <w:ilvl w:val="2"/>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provided in </w:t>
      </w:r>
      <w:r>
        <w:rPr>
          <w:rFonts w:ascii="Times New Roman" w:cs="Times New Roman" w:eastAsia="Times New Roman" w:hAnsi="Times New Roman"/>
          <w:sz w:val="20"/>
          <w:szCs w:val="20"/>
          <w:u w:val="single" w:color="auto"/>
          <w:color w:val="auto"/>
        </w:rPr>
        <w:t>Section 7(a)(iii)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no Award other than a Stock Award, and no right under any such Award may be assigned, alienated, pledged, attached, sold or otherwise transferred or encumbered by a Participant and any such purported assignment, alienation, pledge, attachment, sale, transfer or encumbrance shall be void and unenforceable against the Company or any Affiliate.</w:t>
      </w:r>
    </w:p>
    <w:p>
      <w:pPr>
        <w:spacing w:after="0" w:line="179" w:lineRule="exact"/>
        <w:rPr>
          <w:rFonts w:ascii="Times New Roman" w:cs="Times New Roman" w:eastAsia="Times New Roman" w:hAnsi="Times New Roman"/>
          <w:sz w:val="20"/>
          <w:szCs w:val="20"/>
          <w:color w:val="auto"/>
        </w:rPr>
      </w:pPr>
    </w:p>
    <w:p>
      <w:pPr>
        <w:ind w:left="2260" w:hanging="755"/>
        <w:spacing w:after="0" w:line="269" w:lineRule="auto"/>
        <w:tabs>
          <w:tab w:leader="none" w:pos="2260" w:val="left"/>
        </w:tabs>
        <w:numPr>
          <w:ilvl w:val="2"/>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specifically provided by the Committee, an Award may be transferred by a Participant without consideration to immediate family members or related family trusts, limited partnerships or similar entities.</w:t>
      </w:r>
    </w:p>
    <w:p>
      <w:pPr>
        <w:spacing w:after="0" w:line="159" w:lineRule="exact"/>
        <w:rPr>
          <w:rFonts w:ascii="Times New Roman" w:cs="Times New Roman" w:eastAsia="Times New Roman" w:hAnsi="Times New Roman"/>
          <w:sz w:val="20"/>
          <w:szCs w:val="20"/>
          <w:color w:val="auto"/>
        </w:rPr>
      </w:pPr>
    </w:p>
    <w:p>
      <w:pPr>
        <w:jc w:val="both"/>
        <w:ind w:left="2260" w:hanging="755"/>
        <w:spacing w:after="0" w:line="254" w:lineRule="auto"/>
        <w:tabs>
          <w:tab w:leader="none" w:pos="2260" w:val="left"/>
        </w:tabs>
        <w:numPr>
          <w:ilvl w:val="2"/>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Award may be transferred pursuant to a domestic relations order entered or approved by a court of competent jurisdiction upon delivery to the Company of a written request for such transfer and a certified copy of such order.</w:t>
      </w:r>
    </w:p>
    <w:p>
      <w:pPr>
        <w:spacing w:after="0" w:line="174" w:lineRule="exact"/>
        <w:rPr>
          <w:rFonts w:ascii="Times New Roman" w:cs="Times New Roman" w:eastAsia="Times New Roman" w:hAnsi="Times New Roman"/>
          <w:sz w:val="20"/>
          <w:szCs w:val="20"/>
          <w:color w:val="auto"/>
        </w:rPr>
      </w:pPr>
    </w:p>
    <w:p>
      <w:pPr>
        <w:jc w:val="both"/>
        <w:ind w:left="1500" w:hanging="743"/>
        <w:spacing w:after="0" w:line="243" w:lineRule="auto"/>
        <w:tabs>
          <w:tab w:leader="none" w:pos="150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Form and Timing of Payment under Awards; Deferrals</w:t>
      </w:r>
      <w:r>
        <w:rPr>
          <w:rFonts w:ascii="Times New Roman" w:cs="Times New Roman" w:eastAsia="Times New Roman" w:hAnsi="Times New Roman"/>
          <w:sz w:val="20"/>
          <w:szCs w:val="20"/>
          <w:color w:val="auto"/>
        </w:rPr>
        <w:t xml:space="preserve">. Subject to the terms of the Plan and any applicable Award Agreement, payments to be made by the Company or any of its Subsidiaries upon the exercise or settlement of an Award may be made in such forms as the Committee shall determine, including cash, Stock, other Awards or other property, and may be made in a single payment or transfer, in installments, or on a deferred basis (which may be required by the Committee or permitted at the election of the Participant on terms and conditions established by the Committee);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 such deferred or installment payments shall be set forth in the Award Agreement and/or otherwise made in a manner that shall not result in additional taxes under Section 409A. Payments may include provisions for the payment or crediting of reasonable interest on installment or deferred payments or the grant or crediting of Dividend Equivalents or other amounts in respect of installment or deferred payments denominated in Stock.</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2" w:name="page113"/>
    <w:bookmarkEnd w:id="112"/>
    <w:p>
      <w:pPr>
        <w:ind w:left="10360"/>
        <w:spacing w:after="0"/>
        <w:rPr>
          <w:sz w:val="20"/>
          <w:szCs w:val="20"/>
          <w:color w:val="auto"/>
        </w:rPr>
      </w:pPr>
      <w:r>
        <w:rPr>
          <w:rFonts w:ascii="Times New Roman" w:cs="Times New Roman" w:eastAsia="Times New Roman" w:hAnsi="Times New Roman"/>
          <w:sz w:val="17"/>
          <w:szCs w:val="17"/>
          <w:color w:val="auto"/>
        </w:rPr>
        <w:t>Exhibit 10.7</w:t>
      </w:r>
    </w:p>
    <w:p>
      <w:pPr>
        <w:spacing w:after="0" w:line="12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This Plan shall not constitute an “employee benefit plan” under the Employee Retirement Income Security Act of 1974.</w:t>
      </w:r>
    </w:p>
    <w:p>
      <w:pPr>
        <w:spacing w:after="0" w:line="216" w:lineRule="exact"/>
        <w:rPr>
          <w:sz w:val="20"/>
          <w:szCs w:val="20"/>
          <w:color w:val="auto"/>
        </w:rPr>
      </w:pPr>
    </w:p>
    <w:p>
      <w:pPr>
        <w:jc w:val="both"/>
        <w:ind w:left="1500" w:hanging="743"/>
        <w:spacing w:after="0" w:line="242" w:lineRule="auto"/>
        <w:tabs>
          <w:tab w:leader="none" w:pos="150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Evidencing Stock</w:t>
      </w:r>
      <w:r>
        <w:rPr>
          <w:rFonts w:ascii="Times New Roman" w:cs="Times New Roman" w:eastAsia="Times New Roman" w:hAnsi="Times New Roman"/>
          <w:sz w:val="20"/>
          <w:szCs w:val="20"/>
          <w:color w:val="auto"/>
        </w:rPr>
        <w:t>. The Stock or other securities of the Company delivered pursuant to an Award may be evidenced in any manner deemed appropriate by the Committee, including in the form of a certificate issued in the name of the Participant or by book entry, electronic or otherwise and shall be subject to such stop transfer orders and other restrictions as the Committee may deem advisable under the Plan or the rules, regulations, and other requirements of the Securities and Exchange Commission, any stock exchange upon which such Stock or other securities are then listed, and any applicable federal, state or other laws, and the Committee may cause a legend or legends to be inscribed on any such certificates to make appropriate reference to such restrictions. If 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related to the Restricted Stock</w:t>
      </w:r>
    </w:p>
    <w:p>
      <w:pPr>
        <w:spacing w:after="0" w:line="189"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Consideration for Grants</w:t>
      </w:r>
      <w:r>
        <w:rPr>
          <w:rFonts w:ascii="Times New Roman" w:cs="Times New Roman" w:eastAsia="Times New Roman" w:hAnsi="Times New Roman"/>
          <w:sz w:val="20"/>
          <w:szCs w:val="20"/>
          <w:color w:val="auto"/>
        </w:rPr>
        <w:t>. Awards may be granted for such consideration, including services, as the Committee shall determine, but shall not be granted for less than the minimum lawful consideration.</w:t>
      </w:r>
    </w:p>
    <w:p>
      <w:pPr>
        <w:spacing w:after="0" w:line="159" w:lineRule="exact"/>
        <w:rPr>
          <w:rFonts w:ascii="Times New Roman" w:cs="Times New Roman" w:eastAsia="Times New Roman" w:hAnsi="Times New Roman"/>
          <w:sz w:val="20"/>
          <w:szCs w:val="20"/>
          <w:color w:val="auto"/>
        </w:rPr>
      </w:pPr>
    </w:p>
    <w:p>
      <w:pPr>
        <w:jc w:val="both"/>
        <w:ind w:left="1500" w:hanging="743"/>
        <w:spacing w:after="0" w:line="246" w:lineRule="auto"/>
        <w:tabs>
          <w:tab w:leader="none" w:pos="150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Agreements</w:t>
      </w:r>
      <w:r>
        <w:rPr>
          <w:rFonts w:ascii="Times New Roman" w:cs="Times New Roman" w:eastAsia="Times New Roman" w:hAnsi="Times New Roman"/>
          <w:sz w:val="20"/>
          <w:szCs w:val="20"/>
          <w:color w:val="auto"/>
        </w:rPr>
        <w:t>. Each Eligible Person to whom an Award is granted under the Plan may be required to agree in writing, as a condition to the grant of such Award or otherwise, to subject an Award that is exercised or settled following such Eligible Person’s Separation from Service to a general release of claims and/or a noncompetition or other restricted covenant agreement in favor of the Company and its Affiliates, with the terms and conditions of such agreement(s) to be determined in good faith by the Committee.</w:t>
      </w:r>
    </w:p>
    <w:p>
      <w:pPr>
        <w:spacing w:after="0" w:line="184"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Separation from Service</w:t>
      </w:r>
      <w:r>
        <w:rPr>
          <w:rFonts w:ascii="Times New Roman" w:cs="Times New Roman" w:eastAsia="Times New Roman" w:hAnsi="Times New Roman"/>
          <w:sz w:val="20"/>
          <w:szCs w:val="20"/>
          <w:color w:val="auto"/>
        </w:rPr>
        <w:t>. Except as provided herein, the treatment of an Award upon a Participant’s Separation from Service shall be specified in the applicable Award Agreement.</w:t>
      </w:r>
    </w:p>
    <w:p>
      <w:pPr>
        <w:spacing w:after="0" w:line="155"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Amendment; Subdivision or Consolidation; Recapitalization; Change of Control; Reorganization</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left="1500" w:hanging="743"/>
        <w:spacing w:after="0" w:line="241" w:lineRule="auto"/>
        <w:tabs>
          <w:tab w:leader="none" w:pos="150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the Plan and Awards</w:t>
      </w:r>
      <w:r>
        <w:rPr>
          <w:rFonts w:ascii="Times New Roman" w:cs="Times New Roman" w:eastAsia="Times New Roman" w:hAnsi="Times New Roman"/>
          <w:sz w:val="20"/>
          <w:szCs w:val="20"/>
          <w:color w:val="auto"/>
        </w:rPr>
        <w:t xml:space="preserve">. The Board may amend, alter, suspend, discontinue or terminate the Plan or the Committee’s authority to grant Awards under the Plan without the consent of Stockholders or Participants, except that any amendment or alteration to the Plan, including any increase in any share limitation, shall be subject to the approval of the Stockholders not later than the annual meeting next following such Board action if such Stockholder approval is required by any federal or state law or regulation or the rules of any stock exchange or automated quotation system on which the Stock may then be listed or quoted, and the Board may otherwise determine to submit other such changes to the Plan to Stockholders for approval;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without the consent of an affected Participant, no such Board action may materially and adversely affect the rights of such Participant under any previously granted and outstanding Award. The Committee may waive any conditions or rights under, or amend, alter, suspend, discontinue or terminate any Award theretofore granted and any Award Agreement relating thereto, except as otherwise provided in the Plan;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without the consent of an affected Participant, no such Committee action may materially and adversely affect the rights of such Participant under such Award. For purposes of clarity, any adjustments made to Awards pursuant to </w:t>
      </w:r>
      <w:r>
        <w:rPr>
          <w:rFonts w:ascii="Times New Roman" w:cs="Times New Roman" w:eastAsia="Times New Roman" w:hAnsi="Times New Roman"/>
          <w:sz w:val="20"/>
          <w:szCs w:val="20"/>
          <w:u w:val="single" w:color="auto"/>
          <w:color w:val="auto"/>
        </w:rPr>
        <w:t>Section 8(b)</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8(g)</w:t>
      </w:r>
      <w:r>
        <w:rPr>
          <w:rFonts w:ascii="Times New Roman" w:cs="Times New Roman" w:eastAsia="Times New Roman" w:hAnsi="Times New Roman"/>
          <w:sz w:val="20"/>
          <w:szCs w:val="20"/>
          <w:color w:val="auto"/>
        </w:rPr>
        <w:t xml:space="preserve"> shall be deemed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to materially and adversely affect the rights of any Participant under any previously granted and outstanding Award and therefore may be made without the consent of affected Participants.</w:t>
      </w:r>
    </w:p>
    <w:p>
      <w:pPr>
        <w:spacing w:after="0" w:line="195"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Existence of Plans and Awards</w:t>
      </w:r>
      <w:r>
        <w:rPr>
          <w:rFonts w:ascii="Times New Roman" w:cs="Times New Roman" w:eastAsia="Times New Roman" w:hAnsi="Times New Roman"/>
          <w:sz w:val="20"/>
          <w:szCs w:val="20"/>
          <w:color w:val="auto"/>
        </w:rPr>
        <w:t>. The existence of the Plan and the Awards granted hereunder shall not affect in any way the right or power of the Company, the Board or the Stockholders to make or</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3" w:name="page114"/>
    <w:bookmarkEnd w:id="113"/>
    <w:p>
      <w:pPr>
        <w:ind w:left="9603"/>
        <w:spacing w:after="0"/>
        <w:rPr>
          <w:sz w:val="20"/>
          <w:szCs w:val="20"/>
          <w:color w:val="auto"/>
        </w:rPr>
      </w:pPr>
      <w:r>
        <w:rPr>
          <w:rFonts w:ascii="Times New Roman" w:cs="Times New Roman" w:eastAsia="Times New Roman" w:hAnsi="Times New Roman"/>
          <w:sz w:val="17"/>
          <w:szCs w:val="17"/>
          <w:color w:val="auto"/>
        </w:rPr>
        <w:t>Exhibit 10.7</w:t>
      </w:r>
    </w:p>
    <w:p>
      <w:pPr>
        <w:spacing w:after="0" w:line="124" w:lineRule="exact"/>
        <w:rPr>
          <w:sz w:val="20"/>
          <w:szCs w:val="20"/>
          <w:color w:val="auto"/>
        </w:rPr>
      </w:pPr>
    </w:p>
    <w:p>
      <w:pPr>
        <w:jc w:val="both"/>
        <w:ind w:left="743"/>
        <w:spacing w:after="0" w:line="249" w:lineRule="auto"/>
        <w:rPr>
          <w:sz w:val="20"/>
          <w:szCs w:val="20"/>
          <w:color w:val="auto"/>
        </w:rPr>
      </w:pPr>
      <w:r>
        <w:rPr>
          <w:rFonts w:ascii="Times New Roman" w:cs="Times New Roman" w:eastAsia="Times New Roman" w:hAnsi="Times New Roman"/>
          <w:sz w:val="20"/>
          <w:szCs w:val="20"/>
          <w:color w:val="auto"/>
        </w:rPr>
        <w:t>authorize any adjustment, recapitalization, reorganization or other change in the Company’s capital structure or its business, any merger or consolidation of the Company, any issue of debt or equity securities ahead of or affecting Stock or the rights thereof, the dissolution or liquidation of the Company or any sale, lease, exchange or other disposition of all or any part of its assets or business or any other corporate act or proceeding.</w:t>
      </w:r>
    </w:p>
    <w:p>
      <w:pPr>
        <w:spacing w:after="0" w:line="180" w:lineRule="exact"/>
        <w:rPr>
          <w:sz w:val="20"/>
          <w:szCs w:val="20"/>
          <w:color w:val="auto"/>
        </w:rPr>
      </w:pPr>
    </w:p>
    <w:p>
      <w:pPr>
        <w:ind w:left="743" w:hanging="743"/>
        <w:spacing w:after="0" w:line="269" w:lineRule="auto"/>
        <w:tabs>
          <w:tab w:leader="none" w:pos="743"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Subdivision or Consolidation of Shares</w:t>
      </w:r>
      <w:r>
        <w:rPr>
          <w:rFonts w:ascii="Times New Roman" w:cs="Times New Roman" w:eastAsia="Times New Roman" w:hAnsi="Times New Roman"/>
          <w:sz w:val="20"/>
          <w:szCs w:val="20"/>
          <w:color w:val="auto"/>
        </w:rPr>
        <w:t>. The terms of an Award and the share limitations under the Plan shall be subject to adjustment by the Committee from time to time, in accordance with the following provisions:</w:t>
      </w:r>
    </w:p>
    <w:p>
      <w:pPr>
        <w:spacing w:after="0" w:line="159" w:lineRule="exact"/>
        <w:rPr>
          <w:rFonts w:ascii="Times New Roman" w:cs="Times New Roman" w:eastAsia="Times New Roman" w:hAnsi="Times New Roman"/>
          <w:sz w:val="20"/>
          <w:szCs w:val="20"/>
          <w:color w:val="auto"/>
        </w:rPr>
      </w:pPr>
    </w:p>
    <w:p>
      <w:pPr>
        <w:jc w:val="both"/>
        <w:ind w:left="1503" w:hanging="755"/>
        <w:spacing w:after="0" w:line="242" w:lineRule="auto"/>
        <w:tabs>
          <w:tab w:leader="none" w:pos="1503"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at any time, or from time to time, the Company shall subdivide as a whole (by reclassification, by a Stock split, by the issuance of a distribution on Stock payable in Stock, or otherwise) the number of shares of Stock then outstanding into a greater number of shares of Stock or in the event the Company distributes an extraordinary cash dividend, then, as appropriate (A) the maximum number of shares of Stock available for the Plan or in connection with Awards as provided in </w:t>
      </w:r>
      <w:r>
        <w:rPr>
          <w:rFonts w:ascii="Times New Roman" w:cs="Times New Roman" w:eastAsia="Times New Roman" w:hAnsi="Times New Roman"/>
          <w:sz w:val="20"/>
          <w:szCs w:val="20"/>
          <w:u w:val="single" w:color="auto"/>
          <w:color w:val="auto"/>
        </w:rPr>
        <w:t>Sections 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xml:space="preserve"> shall be increased proportionately, and the kind of shares or other securities available for the Plan shall be appropriately adjusted, (B) the number of shares of Stock (or other kind of shares or securities) that may be acquired under any then outstanding Award shall be increased proportionately, and (C) the price (including the Exercise Price or grant price) for each share of Stock (or other kind of shares or securities) subject to then outstanding Awards shall be reduced proportionately, without changing the aggregate purchase price or value as to which outstanding Awards remain exercisable or subject to restrictions.</w:t>
      </w:r>
    </w:p>
    <w:p>
      <w:pPr>
        <w:spacing w:after="0" w:line="189" w:lineRule="exact"/>
        <w:rPr>
          <w:rFonts w:ascii="Times New Roman" w:cs="Times New Roman" w:eastAsia="Times New Roman" w:hAnsi="Times New Roman"/>
          <w:sz w:val="20"/>
          <w:szCs w:val="20"/>
          <w:color w:val="auto"/>
        </w:rPr>
      </w:pPr>
    </w:p>
    <w:p>
      <w:pPr>
        <w:jc w:val="both"/>
        <w:ind w:left="1503" w:hanging="755"/>
        <w:spacing w:after="0" w:line="243" w:lineRule="auto"/>
        <w:tabs>
          <w:tab w:leader="none" w:pos="1503"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at any time, or from time to time, the Company shall consolidate as a whole (by reclassification, by reverse Stock split, or otherwise) the number of shares of Stock then outstanding into a lesser number of shares of Stock, then, as appropriate (A) the maximum number of shares of Stock available for the Plan or in connection with Awards as provided in </w:t>
      </w:r>
      <w:r>
        <w:rPr>
          <w:rFonts w:ascii="Times New Roman" w:cs="Times New Roman" w:eastAsia="Times New Roman" w:hAnsi="Times New Roman"/>
          <w:sz w:val="20"/>
          <w:szCs w:val="20"/>
          <w:u w:val="single" w:color="auto"/>
          <w:color w:val="auto"/>
        </w:rPr>
        <w:t>Sections 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xml:space="preserve"> shall be decreased proportionately, and the kind of shares or other securities available for the Plan shall be appropriately adjusted, (B) the number of shares of Stock (or other kind of shares or securities) that may be acquired under any then outstanding Award shall be decreased proportionately, and (C) the price (including the exercise price) for each share of Stock (or other kind of shares or securities) subject to then outstanding Awards shall be increased proportionately, without changing the aggregate purchase price or value as to which outstanding Awards remain exercisable or subject to restrictions.</w:t>
      </w:r>
    </w:p>
    <w:p>
      <w:pPr>
        <w:spacing w:after="0" w:line="185" w:lineRule="exact"/>
        <w:rPr>
          <w:rFonts w:ascii="Times New Roman" w:cs="Times New Roman" w:eastAsia="Times New Roman" w:hAnsi="Times New Roman"/>
          <w:sz w:val="20"/>
          <w:szCs w:val="20"/>
          <w:color w:val="auto"/>
        </w:rPr>
      </w:pPr>
    </w:p>
    <w:p>
      <w:pPr>
        <w:jc w:val="both"/>
        <w:ind w:left="1503" w:hanging="755"/>
        <w:spacing w:after="0" w:line="245" w:lineRule="auto"/>
        <w:tabs>
          <w:tab w:leader="none" w:pos="1503"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Whenever the number of shares of Stock subject to outstanding Awards and the price for each share of Stock subject to outstanding Awards are required to be adjusted as provided in this </w:t>
      </w:r>
      <w:r>
        <w:rPr>
          <w:rFonts w:ascii="Times New Roman" w:cs="Times New Roman" w:eastAsia="Times New Roman" w:hAnsi="Times New Roman"/>
          <w:sz w:val="20"/>
          <w:szCs w:val="20"/>
          <w:u w:val="single" w:color="auto"/>
          <w:color w:val="auto"/>
        </w:rPr>
        <w:t>Section 8(c)</w:t>
      </w:r>
      <w:r>
        <w:rPr>
          <w:rFonts w:ascii="Times New Roman" w:cs="Times New Roman" w:eastAsia="Times New Roman" w:hAnsi="Times New Roman"/>
          <w:sz w:val="20"/>
          <w:szCs w:val="20"/>
          <w:color w:val="auto"/>
        </w:rPr>
        <w:t>, the Committee shall promptly prepare a notice setting forth, in reasonable detail, the event requiring adjustment, the amount of the adjustment, the method by which such adjustment was calculated, and the change in price and the number of shares of Stock, other securities, cash, or property purchasable subject to each Award after giving effect to the adjustments. The Committee shall promptly provide each affected Participant with such notice.</w:t>
      </w:r>
    </w:p>
    <w:p>
      <w:pPr>
        <w:spacing w:after="0" w:line="184" w:lineRule="exact"/>
        <w:rPr>
          <w:rFonts w:ascii="Times New Roman" w:cs="Times New Roman" w:eastAsia="Times New Roman" w:hAnsi="Times New Roman"/>
          <w:sz w:val="20"/>
          <w:szCs w:val="20"/>
          <w:color w:val="auto"/>
        </w:rPr>
      </w:pPr>
    </w:p>
    <w:p>
      <w:pPr>
        <w:jc w:val="both"/>
        <w:ind w:left="743" w:hanging="743"/>
        <w:spacing w:after="0" w:line="244" w:lineRule="auto"/>
        <w:tabs>
          <w:tab w:leader="none" w:pos="743"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Recapitalization</w:t>
      </w:r>
      <w:r>
        <w:rPr>
          <w:rFonts w:ascii="Times New Roman" w:cs="Times New Roman" w:eastAsia="Times New Roman" w:hAnsi="Times New Roman"/>
          <w:sz w:val="20"/>
          <w:szCs w:val="20"/>
          <w:color w:val="auto"/>
        </w:rPr>
        <w:t>. If the Company recapitalizes, reclassifies its capital stock, or otherwise changes its capital structure (a “</w:t>
      </w:r>
      <w:r>
        <w:rPr>
          <w:rFonts w:ascii="Times New Roman" w:cs="Times New Roman" w:eastAsia="Times New Roman" w:hAnsi="Times New Roman"/>
          <w:sz w:val="20"/>
          <w:szCs w:val="20"/>
          <w:b w:val="1"/>
          <w:bCs w:val="1"/>
          <w:i w:val="1"/>
          <w:iCs w:val="1"/>
          <w:color w:val="auto"/>
        </w:rPr>
        <w:t>recapitalization</w:t>
      </w:r>
      <w:r>
        <w:rPr>
          <w:rFonts w:ascii="Times New Roman" w:cs="Times New Roman" w:eastAsia="Times New Roman" w:hAnsi="Times New Roman"/>
          <w:sz w:val="20"/>
          <w:szCs w:val="20"/>
          <w:color w:val="auto"/>
        </w:rPr>
        <w:t xml:space="preserve">”) without the occurrence of a Change of Control, the number and class of shares of Stock covered by an Award theretofore granted shall be adjusted so that such Award shall thereafter cover the number and class of shares of Stock and securities to which the holder would have been entitled pursuant to the terms of the recapitalization if, immediately prior to the recapitalization, the holder had been the holder of record of the number of shares of Stock then covered by such Award and the share limitations provided in </w:t>
      </w:r>
      <w:r>
        <w:rPr>
          <w:rFonts w:ascii="Times New Roman" w:cs="Times New Roman" w:eastAsia="Times New Roman" w:hAnsi="Times New Roman"/>
          <w:sz w:val="20"/>
          <w:szCs w:val="20"/>
          <w:u w:val="single" w:color="auto"/>
          <w:color w:val="auto"/>
        </w:rPr>
        <w:t>Sections 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xml:space="preserve"> shall be adjusted in a manner consistent with the recapitalization.</w:t>
      </w:r>
    </w:p>
    <w:p>
      <w:pPr>
        <w:spacing w:after="0" w:line="280" w:lineRule="exact"/>
        <w:rPr>
          <w:sz w:val="20"/>
          <w:szCs w:val="20"/>
          <w:color w:val="auto"/>
        </w:rPr>
      </w:pPr>
    </w:p>
    <w:p>
      <w:pPr>
        <w:ind w:left="4663"/>
        <w:spacing w:after="0"/>
        <w:rPr>
          <w:sz w:val="20"/>
          <w:szCs w:val="20"/>
          <w:color w:val="auto"/>
        </w:rPr>
      </w:pPr>
      <w:r>
        <w:rPr>
          <w:rFonts w:ascii="Times New Roman" w:cs="Times New Roman" w:eastAsia="Times New Roman" w:hAnsi="Times New Roman"/>
          <w:sz w:val="20"/>
          <w:szCs w:val="20"/>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481330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9"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color w:val="auto"/>
        </w:rPr>
        <w:t>Exhibit 10.7</w:t>
      </w:r>
    </w:p>
    <w:p>
      <w:pPr>
        <w:spacing w:after="0" w:line="113" w:lineRule="exact"/>
        <w:rPr>
          <w:sz w:val="20"/>
          <w:szCs w:val="20"/>
          <w:color w:val="auto"/>
        </w:rPr>
      </w:pPr>
    </w:p>
    <w:p>
      <w:pPr>
        <w:jc w:val="both"/>
        <w:ind w:left="743" w:hanging="743"/>
        <w:spacing w:after="0" w:line="245" w:lineRule="auto"/>
        <w:tabs>
          <w:tab w:leader="none" w:pos="743"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Issuances</w:t>
      </w:r>
      <w:r>
        <w:rPr>
          <w:rFonts w:ascii="Times New Roman" w:cs="Times New Roman" w:eastAsia="Times New Roman" w:hAnsi="Times New Roman"/>
          <w:sz w:val="20"/>
          <w:szCs w:val="20"/>
          <w:color w:val="auto"/>
        </w:rPr>
        <w:t>. Except as expressly provided herein, the issuance by the Company of shares of stock of any class or securities convertible into shares of stock of any class, for cash, property, labor or services, upon direct sale, upon the exercise of rights or warrants to subscribe therefor, or upon conversion of shares or obligations of the Company convertible into such shares or other securities, and in any case whether or not for fair value, shall not affect, and no adjustment by reason thereof shall be made with respect to, the number of shares of Stock subject to Awards theretofore granted or the purchase price per share of Stock, if applicable.</w:t>
      </w:r>
    </w:p>
    <w:p>
      <w:pPr>
        <w:spacing w:after="0" w:line="184" w:lineRule="exact"/>
        <w:rPr>
          <w:rFonts w:ascii="Times New Roman" w:cs="Times New Roman" w:eastAsia="Times New Roman" w:hAnsi="Times New Roman"/>
          <w:sz w:val="20"/>
          <w:szCs w:val="20"/>
          <w:color w:val="auto"/>
        </w:rPr>
      </w:pPr>
    </w:p>
    <w:p>
      <w:pPr>
        <w:jc w:val="both"/>
        <w:ind w:left="743" w:hanging="743"/>
        <w:spacing w:after="0" w:line="254" w:lineRule="auto"/>
        <w:tabs>
          <w:tab w:leader="none" w:pos="743"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 of Control and Other Events</w:t>
      </w:r>
      <w:r>
        <w:rPr>
          <w:rFonts w:ascii="Times New Roman" w:cs="Times New Roman" w:eastAsia="Times New Roman" w:hAnsi="Times New Roman"/>
          <w:sz w:val="19"/>
          <w:szCs w:val="19"/>
          <w:color w:val="auto"/>
        </w:rPr>
        <w:t xml:space="preserve">. Notwithstanding any other provisions of the Plan or an Award Agreement to the contrary, upon a Change of Control or changes in the outstanding Stock by reason of a recapitalization, reorganization, merger, consolidation, combination, exchange or other relevant change in capitalization occurring after the date of the grant of any Award and not otherwise provided for by this </w:t>
      </w:r>
      <w:r>
        <w:rPr>
          <w:rFonts w:ascii="Times New Roman" w:cs="Times New Roman" w:eastAsia="Times New Roman" w:hAnsi="Times New Roman"/>
          <w:sz w:val="19"/>
          <w:szCs w:val="19"/>
          <w:u w:val="single" w:color="auto"/>
          <w:color w:val="auto"/>
        </w:rPr>
        <w:t>Section 8</w:t>
      </w:r>
      <w:r>
        <w:rPr>
          <w:rFonts w:ascii="Times New Roman" w:cs="Times New Roman" w:eastAsia="Times New Roman" w:hAnsi="Times New Roman"/>
          <w:sz w:val="19"/>
          <w:szCs w:val="19"/>
          <w:color w:val="auto"/>
        </w:rPr>
        <w:t>, the Committee, acting without the consent or approval of any holder, may effect one or more of the following alternatives, which may vary among individual holders and which may vary among Options, SARs or other Awards held by any individual holder: (i) remove any applicable forfeiture restrictions on any Award; (ii) accelerate the time of exercisability of an Award so that such Award may be exercised in full or in part for a limited period of time on or before a date specified by the Committee, before or after such Change of Control, after which specified date all unexercised Awards and all rights of holders thereunder shall terminate;</w:t>
      </w:r>
    </w:p>
    <w:p>
      <w:pPr>
        <w:spacing w:after="0" w:line="6" w:lineRule="exact"/>
        <w:rPr>
          <w:rFonts w:ascii="Times New Roman" w:cs="Times New Roman" w:eastAsia="Times New Roman" w:hAnsi="Times New Roman"/>
          <w:sz w:val="19"/>
          <w:szCs w:val="19"/>
          <w:color w:val="auto"/>
        </w:rPr>
      </w:pPr>
    </w:p>
    <w:p>
      <w:pPr>
        <w:jc w:val="both"/>
        <w:ind w:left="743" w:firstLine="6"/>
        <w:spacing w:after="0" w:line="252" w:lineRule="auto"/>
        <w:tabs>
          <w:tab w:leader="none" w:pos="1092" w:val="left"/>
        </w:tabs>
        <w:numPr>
          <w:ilvl w:val="1"/>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provide for a cash payment with respect to outstanding Awards by requiring the mandatory surrender to the Company by selected holders of some or all of the outstanding Awards held by such holders (irrespective of whether such Awards are then vested or exercisable pursuant to the Plan) as of a date, before or after such Change of Control, specified by the Committee, in which event the Committee shall thereupon cancel such Awards (with respect to all shares subject to such Awards) and pay to each holder an amount of cash (or other consideration including securities or other property) per Award (other than a Dividend Equivalent or Cash Award) equal to the Change of Control Price (as defined below), less the Exercise Price with respect to an Option and less the grant price with respect to a SAR, as applicable to such Awards;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to the extent the exercise price of an Option or an SAR exceeds the Change of Control Price, such award may be canceled for no consideration; (iv) cancel Awards that remain subject to a restricted period as of the date of a Change of Control without payment of any consideration to the Participant for such Awards; or (v) make such adjustments to Awards then outstanding as the Committee deems appropriate to reflect such Change of Control (including</w:t>
      </w:r>
    </w:p>
    <w:p>
      <w:pPr>
        <w:spacing w:after="0" w:line="1" w:lineRule="exact"/>
        <w:rPr>
          <w:rFonts w:ascii="Times New Roman" w:cs="Times New Roman" w:eastAsia="Times New Roman" w:hAnsi="Times New Roman"/>
          <w:sz w:val="19"/>
          <w:szCs w:val="19"/>
          <w:color w:val="auto"/>
        </w:rPr>
      </w:pPr>
    </w:p>
    <w:p>
      <w:pPr>
        <w:jc w:val="both"/>
        <w:ind w:left="743" w:firstLine="6"/>
        <w:spacing w:after="0" w:line="241" w:lineRule="auto"/>
        <w:tabs>
          <w:tab w:leader="none" w:pos="1027"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substitution, assumption, or continuation of Awards by the successor company or a parent or subsidiary thereof for new awards, and (y) the adjustment as to the number and price of shares of Stock or other consideration subject to such Awards);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Committee may determine that no adjustment is necessary to Awards then outstanding.</w:t>
      </w:r>
    </w:p>
    <w:p>
      <w:pPr>
        <w:spacing w:after="0" w:line="184" w:lineRule="exact"/>
        <w:rPr>
          <w:rFonts w:ascii="Times New Roman" w:cs="Times New Roman" w:eastAsia="Times New Roman" w:hAnsi="Times New Roman"/>
          <w:sz w:val="20"/>
          <w:szCs w:val="20"/>
          <w:color w:val="auto"/>
        </w:rPr>
      </w:pPr>
    </w:p>
    <w:p>
      <w:pPr>
        <w:jc w:val="both"/>
        <w:ind w:left="743" w:hanging="743"/>
        <w:spacing w:after="0" w:line="242" w:lineRule="auto"/>
        <w:tabs>
          <w:tab w:leader="none" w:pos="743"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Control Price</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i w:val="1"/>
          <w:iCs w:val="1"/>
          <w:color w:val="auto"/>
        </w:rPr>
        <w:t>Change of Control Price</w:t>
      </w:r>
      <w:r>
        <w:rPr>
          <w:rFonts w:ascii="Times New Roman" w:cs="Times New Roman" w:eastAsia="Times New Roman" w:hAnsi="Times New Roman"/>
          <w:sz w:val="20"/>
          <w:szCs w:val="20"/>
          <w:color w:val="auto"/>
        </w:rPr>
        <w:t xml:space="preserve">” shall equal the amount determined in the following clause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whichever is applicable, as follows: (i) the price per share offered to holders of Stock in any merger or consolidation, (ii) the per share Fair Market Value of the Stock immediately before the Change of Control without regard to assets sold in the Change of Control and assuming the Company has received the consideration paid for the assets in the case of a sale of the assets, (iii) the amount distributed per share of Stock in a dissolution transaction, (iv) the price per share offered to holders of Stock in any tender offer or exchange offer whereby a Change of Control takes place, or (v) if such Change of Control occurs other than pursuant to a transaction described in clauses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8(g)</w:t>
      </w:r>
      <w:r>
        <w:rPr>
          <w:rFonts w:ascii="Times New Roman" w:cs="Times New Roman" w:eastAsia="Times New Roman" w:hAnsi="Times New Roman"/>
          <w:sz w:val="20"/>
          <w:szCs w:val="20"/>
          <w:color w:val="auto"/>
        </w:rPr>
        <w:t xml:space="preserve">, the Fair Market Value per share of the Stock that may otherwise be obtained with respect to such Awards or to which such Awards track, as determined by the Committee as of the date determined by the Committee to be the date of cancellation and surrender of such Awards. In the event that the consideration offered to Stockholders in any transaction described in this </w:t>
      </w:r>
      <w:r>
        <w:rPr>
          <w:rFonts w:ascii="Times New Roman" w:cs="Times New Roman" w:eastAsia="Times New Roman" w:hAnsi="Times New Roman"/>
          <w:sz w:val="20"/>
          <w:szCs w:val="20"/>
          <w:u w:val="single" w:color="auto"/>
          <w:color w:val="auto"/>
        </w:rPr>
        <w:t>Section 8(g)</w:t>
      </w:r>
      <w:r>
        <w:rPr>
          <w:rFonts w:ascii="Times New Roman" w:cs="Times New Roman" w:eastAsia="Times New Roman" w:hAnsi="Times New Roman"/>
          <w:sz w:val="20"/>
          <w:szCs w:val="20"/>
          <w:color w:val="auto"/>
        </w:rPr>
        <w:t xml:space="preserve"> or in </w:t>
      </w:r>
      <w:r>
        <w:rPr>
          <w:rFonts w:ascii="Times New Roman" w:cs="Times New Roman" w:eastAsia="Times New Roman" w:hAnsi="Times New Roman"/>
          <w:sz w:val="20"/>
          <w:szCs w:val="20"/>
          <w:u w:val="single" w:color="auto"/>
          <w:color w:val="auto"/>
        </w:rPr>
        <w:t>Section 8(f)</w:t>
      </w:r>
      <w:r>
        <w:rPr>
          <w:rFonts w:ascii="Times New Roman" w:cs="Times New Roman" w:eastAsia="Times New Roman" w:hAnsi="Times New Roman"/>
          <w:sz w:val="20"/>
          <w:szCs w:val="20"/>
          <w:color w:val="auto"/>
        </w:rPr>
        <w:t xml:space="preserve"> consists of anything other than cash, the Committee shall determine the fair cash equivalent of the portion of the consideration offered which is other than cash and such determination shall be binding on all affected Participants to the extent applicable to Awards held by such Participants.</w:t>
      </w:r>
    </w:p>
    <w:p>
      <w:pPr>
        <w:spacing w:after="0" w:line="283" w:lineRule="exact"/>
        <w:rPr>
          <w:sz w:val="20"/>
          <w:szCs w:val="20"/>
          <w:color w:val="auto"/>
        </w:rPr>
      </w:pPr>
    </w:p>
    <w:p>
      <w:pPr>
        <w:ind w:left="4663"/>
        <w:spacing w:after="0"/>
        <w:rPr>
          <w:sz w:val="20"/>
          <w:szCs w:val="20"/>
          <w:color w:val="auto"/>
        </w:rPr>
      </w:pPr>
      <w:r>
        <w:rPr>
          <w:rFonts w:ascii="Times New Roman" w:cs="Times New Roman" w:eastAsia="Times New Roman" w:hAnsi="Times New Roman"/>
          <w:sz w:val="20"/>
          <w:szCs w:val="20"/>
          <w:color w:val="auto"/>
        </w:rPr>
        <w:t>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481330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9"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color w:val="auto"/>
        </w:rPr>
        <w:t>Exhibit 10.7</w:t>
      </w:r>
    </w:p>
    <w:p>
      <w:pPr>
        <w:spacing w:after="0" w:line="109" w:lineRule="exact"/>
        <w:rPr>
          <w:sz w:val="20"/>
          <w:szCs w:val="20"/>
          <w:color w:val="auto"/>
        </w:rPr>
      </w:pPr>
    </w:p>
    <w:p>
      <w:pPr>
        <w:ind w:left="760" w:hanging="752"/>
        <w:spacing w:after="0"/>
        <w:tabs>
          <w:tab w:leader="none" w:pos="7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General Provisions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left="1500" w:hanging="743"/>
        <w:spacing w:after="0" w:line="241" w:lineRule="auto"/>
        <w:tabs>
          <w:tab w:leader="none" w:pos="150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 The Company and any of its Subsidiaries are authorized to withhold from any Award granted, or any payment relating to an Award under the Plan, including from a distribution of Stock, amounts of withholding and other taxes due or potentially payable in connection with any transaction involving an Award, and to take such other action as the Committee may deem advisable to enable the Company, its Subsidiaries and Participants to satisfy obligations for the payment of withholding taxes and other tax obligations relating to any Award. The Committee shall determine the form of payment acceptable for such tax withholding obligations, including the delivery of cash or cash equivalents, Stock (including previously owned shares, net settlement, a broker-assisted sale, or other cashless withholding or reduction of the amount of shares otherwise issuable or delivered pursuant to the Award), other property, or any other legal consideration the Committee deems appropriate. Any determination made by the Committee to allow a Participant who is subject to Rule 16b-3 to pay taxes with shares of Stock through net settlement or previously owned shares shall be approved by a committee made up of two or more Qualified Members or the full Board. If such tax obligations are satisfied through the withholding of shares of Stock that are otherwise issuable to the Participant pursuant to an Award (or through the surrender of shares of Stock by the Participant to the Company), the maximum number of shares of Stock that may be so withheld (or surrendered) shall be the number of shares of Stock that have an aggregate Fair Market Value on the date of withholding or repurchase equal to the aggregate amount of such tax liabilities determined based on the greatest withholding rates for federal, state, foreign and/or local tax purposes, including payroll taxes, that may be utilized without creating adverse accounting treatment with respect to such Award, as determined by the Committee.</w:t>
      </w:r>
    </w:p>
    <w:p>
      <w:pPr>
        <w:spacing w:after="0" w:line="191" w:lineRule="exact"/>
        <w:rPr>
          <w:rFonts w:ascii="Times New Roman" w:cs="Times New Roman" w:eastAsia="Times New Roman" w:hAnsi="Times New Roman"/>
          <w:sz w:val="20"/>
          <w:szCs w:val="20"/>
          <w:color w:val="auto"/>
        </w:rPr>
      </w:pPr>
    </w:p>
    <w:p>
      <w:pPr>
        <w:jc w:val="both"/>
        <w:ind w:left="1500" w:hanging="743"/>
        <w:spacing w:after="0" w:line="243" w:lineRule="auto"/>
        <w:tabs>
          <w:tab w:leader="none" w:pos="150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 on Rights Conferred under Plan</w:t>
      </w:r>
      <w:r>
        <w:rPr>
          <w:rFonts w:ascii="Times New Roman" w:cs="Times New Roman" w:eastAsia="Times New Roman" w:hAnsi="Times New Roman"/>
          <w:sz w:val="20"/>
          <w:szCs w:val="20"/>
          <w:color w:val="auto"/>
        </w:rPr>
        <w:t>. Neither the Plan nor any action taken hereunder shall be construed as (i) giving any Eligible Person or Participant the right to continue as an Eligible Person or Participant or in the employ or service of the Company or any of its Subsidiaries, (ii) interfering in any way with the right of the Company or any of its Subsidiaries to terminate any Eligible Person’s or Participant’s employment or service relationship at any time, (iii) giving an Eligible Person or Participant any claim to be granted any Award under the Plan or to be treated uniformly with other Participants and/or employees and/or other service providers, or (iv) conferring on a Participant any of the rights of a Stockholder unless and until the Participant is duly issued or transferred shares of Stock in accordance with the terms of an Award.</w:t>
      </w:r>
    </w:p>
    <w:p>
      <w:pPr>
        <w:spacing w:after="0" w:line="189" w:lineRule="exact"/>
        <w:rPr>
          <w:rFonts w:ascii="Times New Roman" w:cs="Times New Roman" w:eastAsia="Times New Roman" w:hAnsi="Times New Roman"/>
          <w:sz w:val="20"/>
          <w:szCs w:val="20"/>
          <w:color w:val="auto"/>
        </w:rPr>
      </w:pPr>
    </w:p>
    <w:p>
      <w:pPr>
        <w:jc w:val="both"/>
        <w:ind w:left="1500" w:hanging="743"/>
        <w:spacing w:after="0" w:line="244" w:lineRule="auto"/>
        <w:tabs>
          <w:tab w:leader="none" w:pos="150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Submission to Jurisdiction</w:t>
      </w:r>
      <w:r>
        <w:rPr>
          <w:rFonts w:ascii="Times New Roman" w:cs="Times New Roman" w:eastAsia="Times New Roman" w:hAnsi="Times New Roman"/>
          <w:sz w:val="20"/>
          <w:szCs w:val="20"/>
          <w:color w:val="auto"/>
        </w:rPr>
        <w:t>. All questions arising with respect to the provisions of the Plan and Awards shall be determined by application of the laws of the State of Delaware, without giving effect to any conflict of law provisions thereof, except to the extent Delaware law is preempted by federal law. The obligation of the Company to sell and deliver Stock hereunder is subject to applicable federal and state laws and to the approval of any governmental authority required in connection with the authorization, issuance, sale, or delivery of such Stock. With respect to any claim or dispute related to or arising under the Plan, the Company and the Participants consent to the exclusive jurisdiction, forum and venue of the state and federal courts located in Oklahoma City, Oklahoma.</w:t>
      </w:r>
    </w:p>
    <w:p>
      <w:pPr>
        <w:spacing w:after="0" w:line="185" w:lineRule="exact"/>
        <w:rPr>
          <w:rFonts w:ascii="Times New Roman" w:cs="Times New Roman" w:eastAsia="Times New Roman" w:hAnsi="Times New Roman"/>
          <w:sz w:val="20"/>
          <w:szCs w:val="20"/>
          <w:color w:val="auto"/>
        </w:rPr>
      </w:pPr>
    </w:p>
    <w:p>
      <w:pPr>
        <w:jc w:val="both"/>
        <w:ind w:left="1500" w:hanging="743"/>
        <w:spacing w:after="0" w:line="258" w:lineRule="auto"/>
        <w:tabs>
          <w:tab w:leader="none" w:pos="1500"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 and Reformation</w:t>
      </w:r>
      <w:r>
        <w:rPr>
          <w:rFonts w:ascii="Times New Roman" w:cs="Times New Roman" w:eastAsia="Times New Roman" w:hAnsi="Times New Roman"/>
          <w:sz w:val="19"/>
          <w:szCs w:val="19"/>
          <w:color w:val="auto"/>
        </w:rPr>
        <w:t>. 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 If any of the terms or provisions of the Plan or any Award Agreement conflict with the requirements of Rule 16b-3 (as those terms or provisions are applied to Eligible Persons who are subject to section 16(b) of the Exchange Act) or Section 422 (with respect to Incentive Stock</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6" w:name="page117"/>
    <w:bookmarkEnd w:id="116"/>
    <w:p>
      <w:pPr>
        <w:ind w:left="9603"/>
        <w:spacing w:after="0"/>
        <w:rPr>
          <w:sz w:val="20"/>
          <w:szCs w:val="20"/>
          <w:color w:val="auto"/>
        </w:rPr>
      </w:pPr>
      <w:r>
        <w:rPr>
          <w:rFonts w:ascii="Times New Roman" w:cs="Times New Roman" w:eastAsia="Times New Roman" w:hAnsi="Times New Roman"/>
          <w:sz w:val="17"/>
          <w:szCs w:val="17"/>
          <w:color w:val="auto"/>
        </w:rPr>
        <w:t>Exhibit 10.7</w:t>
      </w:r>
    </w:p>
    <w:p>
      <w:pPr>
        <w:spacing w:after="0" w:line="124" w:lineRule="exact"/>
        <w:rPr>
          <w:sz w:val="20"/>
          <w:szCs w:val="20"/>
          <w:color w:val="auto"/>
        </w:rPr>
      </w:pPr>
    </w:p>
    <w:p>
      <w:pPr>
        <w:jc w:val="both"/>
        <w:ind w:left="743"/>
        <w:spacing w:after="0" w:line="244" w:lineRule="auto"/>
        <w:rPr>
          <w:sz w:val="20"/>
          <w:szCs w:val="20"/>
          <w:color w:val="auto"/>
        </w:rPr>
      </w:pPr>
      <w:r>
        <w:rPr>
          <w:rFonts w:ascii="Times New Roman" w:cs="Times New Roman" w:eastAsia="Times New Roman" w:hAnsi="Times New Roman"/>
          <w:sz w:val="20"/>
          <w:szCs w:val="20"/>
          <w:color w:val="auto"/>
        </w:rPr>
        <w:t xml:space="preserve">Options), then those conflicting terms or provisions shall be deemed inoperative to the extent they so conflict with the requirements of Rule 16b-3 (unless the Board or the Committee, as appropriate, has expressly determined that the Plan or such Award should not comply with Rule 16b-3) or Section 422. With respect to Incentive Stock Options, if the Plan does not contain any provision required to be included herein under Section 422, that provision shall be deemed to be incorporated herein with the same force and effect as if that provision had been set out at length 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any Option that is intended to qualify as an Incentive Stock Option cannot so qualify, that Option (to that extent) shall be deemed a Nonstatutory Stock Option for all purposes of the Plan.</w:t>
      </w:r>
    </w:p>
    <w:p>
      <w:pPr>
        <w:spacing w:after="0" w:line="186" w:lineRule="exact"/>
        <w:rPr>
          <w:sz w:val="20"/>
          <w:szCs w:val="20"/>
          <w:color w:val="auto"/>
        </w:rPr>
      </w:pPr>
    </w:p>
    <w:p>
      <w:pPr>
        <w:jc w:val="both"/>
        <w:ind w:left="743" w:hanging="743"/>
        <w:spacing w:after="0" w:line="246" w:lineRule="auto"/>
        <w:tabs>
          <w:tab w:leader="none" w:pos="743"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Unfunded Status of Awards; No Trust or Fund Created</w:t>
      </w:r>
      <w:r>
        <w:rPr>
          <w:rFonts w:ascii="Times New Roman" w:cs="Times New Roman" w:eastAsia="Times New Roman" w:hAnsi="Times New Roman"/>
          <w:sz w:val="20"/>
          <w:szCs w:val="20"/>
          <w:color w:val="auto"/>
        </w:rPr>
        <w:t>. This Plan is intended to constitute an “unfunded” plan for certain incentive awards. Neither the Plan nor any Award shall create or be construed to create a trust or separate fund of any kind or a fiduciary relationship between the Company or any Affiliate and a Participant or any other Person. To the extent that any Person acquires a right to receive payments from the Company or any Affiliate pursuant to an Award, such right shall be no greater than the right of any general unsecured creditor of the Company or such Affiliate.</w:t>
      </w:r>
    </w:p>
    <w:p>
      <w:pPr>
        <w:spacing w:after="0" w:line="184" w:lineRule="exact"/>
        <w:rPr>
          <w:rFonts w:ascii="Times New Roman" w:cs="Times New Roman" w:eastAsia="Times New Roman" w:hAnsi="Times New Roman"/>
          <w:sz w:val="20"/>
          <w:szCs w:val="20"/>
          <w:color w:val="auto"/>
        </w:rPr>
      </w:pPr>
    </w:p>
    <w:p>
      <w:pPr>
        <w:jc w:val="both"/>
        <w:ind w:left="743" w:hanging="743"/>
        <w:spacing w:after="0" w:line="244" w:lineRule="auto"/>
        <w:tabs>
          <w:tab w:leader="none" w:pos="743"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Nonexclusivity of the Plan</w:t>
      </w:r>
      <w:r>
        <w:rPr>
          <w:rFonts w:ascii="Times New Roman" w:cs="Times New Roman" w:eastAsia="Times New Roman" w:hAnsi="Times New Roman"/>
          <w:sz w:val="20"/>
          <w:szCs w:val="20"/>
          <w:color w:val="auto"/>
        </w:rPr>
        <w:t>. Neither the adoption of the Plan by the Board nor its submission to the Stockholders for approval shall be construed as creating any limitations on the power of the Board or a committee thereof to adopt such other incentive arrangements as it may deem desirable. Nothing contained in the Plan shall be construed to prevent the Company or any of its Subsidiaries from taking any corporate action which is deemed by the Company or such Subsidiary to be appropriate or in its best interest, whether or not such action would have an adverse effect on the Plan or any Award made under the Plan. No employee, beneficiary or other Person shall have any claim against the Company or any of its Subsidiaries as a result of any such action.</w:t>
      </w:r>
    </w:p>
    <w:p>
      <w:pPr>
        <w:spacing w:after="0" w:line="185" w:lineRule="exact"/>
        <w:rPr>
          <w:rFonts w:ascii="Times New Roman" w:cs="Times New Roman" w:eastAsia="Times New Roman" w:hAnsi="Times New Roman"/>
          <w:sz w:val="20"/>
          <w:szCs w:val="20"/>
          <w:color w:val="auto"/>
        </w:rPr>
      </w:pPr>
    </w:p>
    <w:p>
      <w:pPr>
        <w:jc w:val="both"/>
        <w:ind w:left="743" w:hanging="743"/>
        <w:spacing w:after="0" w:line="249" w:lineRule="auto"/>
        <w:tabs>
          <w:tab w:leader="none" w:pos="743"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Fractional Shares</w:t>
      </w:r>
      <w:r>
        <w:rPr>
          <w:rFonts w:ascii="Times New Roman" w:cs="Times New Roman" w:eastAsia="Times New Roman" w:hAnsi="Times New Roman"/>
          <w:sz w:val="20"/>
          <w:szCs w:val="20"/>
          <w:color w:val="auto"/>
        </w:rPr>
        <w:t>. No fractional shares of Stock shall be issued or delivered pursuant to the Plan or any Award, and the Committee shall determine whether cash, other securities, or other property shall be paid or transferred in lieu of any fractional shares of Stock or whether such fractional shares of Stock or any rights thereto shall be canceled, terminated, or otherwise eliminated with or without consideration.</w:t>
      </w:r>
    </w:p>
    <w:p>
      <w:pPr>
        <w:spacing w:after="0" w:line="179" w:lineRule="exact"/>
        <w:rPr>
          <w:rFonts w:ascii="Times New Roman" w:cs="Times New Roman" w:eastAsia="Times New Roman" w:hAnsi="Times New Roman"/>
          <w:sz w:val="20"/>
          <w:szCs w:val="20"/>
          <w:color w:val="auto"/>
        </w:rPr>
      </w:pPr>
    </w:p>
    <w:p>
      <w:pPr>
        <w:jc w:val="both"/>
        <w:ind w:left="743" w:hanging="743"/>
        <w:spacing w:after="0" w:line="255" w:lineRule="auto"/>
        <w:tabs>
          <w:tab w:leader="none" w:pos="743"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Construction</w:t>
      </w:r>
      <w:r>
        <w:rPr>
          <w:rFonts w:ascii="Times New Roman" w:cs="Times New Roman" w:eastAsia="Times New Roman" w:hAnsi="Times New Roman"/>
          <w:sz w:val="19"/>
          <w:szCs w:val="19"/>
          <w:color w:val="auto"/>
        </w:rPr>
        <w:t>. Unless otherwise expressly provided in the Plan, (i) references to a statute or law refer to the statute or law and any amendments and supplements thereto and any successor statutes or laws, and to all valid and binding rules and regulations promulgated thereunder, court decisions and other regulatory and judicial authority issued or rendered thereunder, in each case as amended or supplemented, or their successors, as in effect at the relevant time; (ii) the words “include,” “includes” and “including” do not limit the preceding words or terms and shall be deemed to be followed by the words “without limitation”; (iii) where specific language is used to clarify by example a general statement contained herein (such as by using the words “such as”), such specific language shall not be deemed to modify, limit or restrict in any manner the construction of the general statement to which it relates; (iv) whenever required by the context, any pronoun used in the Plan shall include the corresponding masculine, feminine or neuter forms, and the singular form of nouns, pronouns and verbs shall include the plural and vice versa; (v) all references to articles, sections, exhibits and annexes are to articles, sections, exhibits and annexes in or to the Plan; (vi) the captions and headings of articles, sections, exhibits and annexes have been inserted solely for convenience of reference and shall not be considered a part of the Plan, nor shall any of them affect the meaning or interpretation of the Plan; and (vii) any reference to an agreement, plan, policy, form, document or set of documents, and the rights and obligations of the parties under any such agreement, plan, policy, form, document or set of documents, shall mean the agreement, plan, policy, form, document or set of documents as amended from time to time, and any and all modifications, extensions, renewals, substitutions or replacements thereof.</w:t>
      </w:r>
    </w:p>
    <w:p>
      <w:pPr>
        <w:spacing w:after="0" w:line="268" w:lineRule="exact"/>
        <w:rPr>
          <w:sz w:val="20"/>
          <w:szCs w:val="20"/>
          <w:color w:val="auto"/>
        </w:rPr>
      </w:pPr>
    </w:p>
    <w:p>
      <w:pPr>
        <w:ind w:left="4663"/>
        <w:spacing w:after="0"/>
        <w:rPr>
          <w:sz w:val="20"/>
          <w:szCs w:val="20"/>
          <w:color w:val="auto"/>
        </w:rPr>
      </w:pPr>
      <w:r>
        <w:rPr>
          <w:rFonts w:ascii="Times New Roman" w:cs="Times New Roman" w:eastAsia="Times New Roman" w:hAnsi="Times New Roman"/>
          <w:sz w:val="20"/>
          <w:szCs w:val="20"/>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481330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9"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color w:val="auto"/>
        </w:rPr>
        <w:t>Exhibit 10.7</w:t>
      </w:r>
    </w:p>
    <w:p>
      <w:pPr>
        <w:spacing w:after="0" w:line="113" w:lineRule="exact"/>
        <w:rPr>
          <w:sz w:val="20"/>
          <w:szCs w:val="20"/>
          <w:color w:val="auto"/>
        </w:rPr>
      </w:pPr>
    </w:p>
    <w:p>
      <w:pPr>
        <w:jc w:val="both"/>
        <w:ind w:left="743" w:hanging="743"/>
        <w:spacing w:after="0" w:line="249" w:lineRule="auto"/>
        <w:tabs>
          <w:tab w:leader="none" w:pos="743"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Facility of Payment</w:t>
      </w:r>
      <w:r>
        <w:rPr>
          <w:rFonts w:ascii="Times New Roman" w:cs="Times New Roman" w:eastAsia="Times New Roman" w:hAnsi="Times New Roman"/>
          <w:sz w:val="20"/>
          <w:szCs w:val="20"/>
          <w:color w:val="auto"/>
        </w:rPr>
        <w:t>. Any amounts payable hereunder to any individual under legal disability or who, in the judgment of the Committee, is unable to manage properly his financial affairs, may be paid to the legal representative of such individual, or may be applied for the benefit of such individual in any manner that the Committee may select, and the Company shall be relieved of any further liability for payment of such amounts.</w:t>
      </w:r>
    </w:p>
    <w:p>
      <w:pPr>
        <w:spacing w:after="0" w:line="179" w:lineRule="exact"/>
        <w:rPr>
          <w:rFonts w:ascii="Times New Roman" w:cs="Times New Roman" w:eastAsia="Times New Roman" w:hAnsi="Times New Roman"/>
          <w:sz w:val="20"/>
          <w:szCs w:val="20"/>
          <w:color w:val="auto"/>
        </w:rPr>
      </w:pPr>
    </w:p>
    <w:p>
      <w:pPr>
        <w:jc w:val="both"/>
        <w:ind w:left="743" w:hanging="743"/>
        <w:spacing w:after="0" w:line="241" w:lineRule="auto"/>
        <w:tabs>
          <w:tab w:leader="none" w:pos="743"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to Delivery of Stock</w:t>
      </w:r>
      <w:r>
        <w:rPr>
          <w:rFonts w:ascii="Times New Roman" w:cs="Times New Roman" w:eastAsia="Times New Roman" w:hAnsi="Times New Roman"/>
          <w:sz w:val="20"/>
          <w:szCs w:val="20"/>
          <w:color w:val="auto"/>
        </w:rPr>
        <w:t>. Nothing herein or in any Award Agreement shall require the Company to issue any shares with respect to any Award if that issuance would, in the opinion of counsel for the Company, constitute a violation of the Securities Act or any similar or superseding statute or statutes, any other applicable statute or regulation, or the rules of any applicable securities exchange or securities association, as then in effect. In addition, each Participant who receives an Award under the Plan shall not sell or otherwise dispose of Stock that is acquired upon grant or vesting of an Award in any manner that would constitute a violation of any applicable federal or state securities laws, the Plan or the rules, regulations or other requirements of the Securities and Exchange Commission or any stock exchange upon which the Stock is then listed. At the time of any exercise of an Option or Stock Appreciation Right, or at the time of any grant of any other Award the Company may, as a condition precedent to the exercise of such Option or Stock Appreciation Right or settlement of any other Award, require from the Participant (or in the event of his or her death, his or her legal representatives, heirs, legatees, or distributees) such written representations, if any, concerning the holder’s intentions with regard to the retention or disposition of the shares of Stock being acquired pursuant to the Award and such written covenants and agreements, if any, as to the manner of disposal of such shares as, in the opinion of counsel to the Company, may be necessary to ensure that any disposition by that holder (or in the event of the holder’s death, his or her legal representatives, heirs, legatees, or distributees) shall not involve a violation of the Securities Act or any similar or superseding statute or statutes, any other applicable state or federal statute or regulation, or any rule of any applicable securities exchange or securities association, as then in effect. Stock or other securities shall not be delivered pursuant to any Award until payment in full of any amount required to be paid pursuant to the Plan or the applicable Award Agreement (including any Exercise Price, grant price, or tax withholding) is received by the Company.</w:t>
      </w:r>
    </w:p>
    <w:p>
      <w:pPr>
        <w:spacing w:after="0" w:line="188" w:lineRule="exact"/>
        <w:rPr>
          <w:rFonts w:ascii="Times New Roman" w:cs="Times New Roman" w:eastAsia="Times New Roman" w:hAnsi="Times New Roman"/>
          <w:sz w:val="20"/>
          <w:szCs w:val="20"/>
          <w:color w:val="auto"/>
        </w:rPr>
      </w:pPr>
    </w:p>
    <w:p>
      <w:pPr>
        <w:jc w:val="both"/>
        <w:ind w:left="743" w:hanging="743"/>
        <w:spacing w:after="0" w:line="241" w:lineRule="auto"/>
        <w:tabs>
          <w:tab w:leader="none" w:pos="743"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xml:space="preserve">. It is the general intention, but not the obligation, of the Committee to design Awards to comply with or to be exempt from Section 409A, and Awards shall be operated and construed accordingly. Neither this </w:t>
      </w:r>
      <w:r>
        <w:rPr>
          <w:rFonts w:ascii="Times New Roman" w:cs="Times New Roman" w:eastAsia="Times New Roman" w:hAnsi="Times New Roman"/>
          <w:sz w:val="20"/>
          <w:szCs w:val="20"/>
          <w:u w:val="single" w:color="auto"/>
          <w:color w:val="auto"/>
        </w:rPr>
        <w:t>Section 9(k)</w:t>
      </w:r>
      <w:r>
        <w:rPr>
          <w:rFonts w:ascii="Times New Roman" w:cs="Times New Roman" w:eastAsia="Times New Roman" w:hAnsi="Times New Roman"/>
          <w:sz w:val="20"/>
          <w:szCs w:val="20"/>
          <w:color w:val="auto"/>
        </w:rPr>
        <w:t xml:space="preserve"> nor any other provision of the Plan is or contains a representation to any Participant regarding the tax consequences of the grant, vesting, exercise, settlement, or sale of any Award (or the Stock underlying such Award) granted hereunder, and should not be interpreted as such. In no event shall the Company be liable for all or any portion of any taxes, penalties, interest or other expenses that may be incurred by the Employee on account of non-compliance with Section 409A. Notwithstanding any provision in the Plan or an Award Agreement to the contrary, in the event that a “specified employee” (as defined under Section 409A) becomes entitled to a payment under an Award that would be subject to additional taxes and interest under Section 409A if the Participant’s receipt of such payment or benefits is not delayed until the earlier of (i) the date of the Participant’s death, or (ii) the date that is six months after the Participant’s “separation from service,” as defined under Section 409A (such date, the “</w:t>
      </w:r>
      <w:r>
        <w:rPr>
          <w:rFonts w:ascii="Times New Roman" w:cs="Times New Roman" w:eastAsia="Times New Roman" w:hAnsi="Times New Roman"/>
          <w:sz w:val="20"/>
          <w:szCs w:val="20"/>
          <w:b w:val="1"/>
          <w:bCs w:val="1"/>
          <w:i w:val="1"/>
          <w:iCs w:val="1"/>
          <w:color w:val="auto"/>
        </w:rPr>
        <w:t>Section 409A Payment Date</w:t>
      </w:r>
      <w:r>
        <w:rPr>
          <w:rFonts w:ascii="Times New Roman" w:cs="Times New Roman" w:eastAsia="Times New Roman" w:hAnsi="Times New Roman"/>
          <w:sz w:val="20"/>
          <w:szCs w:val="20"/>
          <w:color w:val="auto"/>
        </w:rPr>
        <w:t>”), then such payment or benefit shall not be provided to the Participant until the Section 409A Payment Date. Any amounts subject to the preceding sentence that would otherwise be payable prior to the Section 409A Payment Date shall be aggregated and paid in a lump sum without interest on the Section 409A Payment Date. The applicable provisions of Section 409A are hereby incorporated by reference and shall control over any Plan or Award Agreement provision in conflict therewith. All installment payments under the Plan shall be treated as separate payments under Section 409A.</w:t>
      </w:r>
    </w:p>
    <w:p>
      <w:pPr>
        <w:spacing w:after="0" w:line="193" w:lineRule="exact"/>
        <w:rPr>
          <w:rFonts w:ascii="Times New Roman" w:cs="Times New Roman" w:eastAsia="Times New Roman" w:hAnsi="Times New Roman"/>
          <w:sz w:val="20"/>
          <w:szCs w:val="20"/>
          <w:color w:val="auto"/>
        </w:rPr>
      </w:pPr>
    </w:p>
    <w:p>
      <w:pPr>
        <w:ind w:left="743" w:hanging="743"/>
        <w:spacing w:after="0" w:line="269" w:lineRule="auto"/>
        <w:tabs>
          <w:tab w:leader="none" w:pos="743"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Clawback</w:t>
      </w:r>
      <w:r>
        <w:rPr>
          <w:rFonts w:ascii="Times New Roman" w:cs="Times New Roman" w:eastAsia="Times New Roman" w:hAnsi="Times New Roman"/>
          <w:sz w:val="20"/>
          <w:szCs w:val="20"/>
          <w:color w:val="auto"/>
        </w:rPr>
        <w:t>. This Plan is subject to any written clawback policies that the Company, with the approval of the Board, may adopt. Any such policy may subject a Participant’s Awards and</w:t>
      </w:r>
    </w:p>
    <w:p>
      <w:pPr>
        <w:spacing w:after="0" w:line="254" w:lineRule="exact"/>
        <w:rPr>
          <w:sz w:val="20"/>
          <w:szCs w:val="20"/>
          <w:color w:val="auto"/>
        </w:rPr>
      </w:pPr>
    </w:p>
    <w:p>
      <w:pPr>
        <w:ind w:left="4663"/>
        <w:spacing w:after="0"/>
        <w:rPr>
          <w:sz w:val="20"/>
          <w:szCs w:val="20"/>
          <w:color w:val="auto"/>
        </w:rPr>
      </w:pPr>
      <w:r>
        <w:rPr>
          <w:rFonts w:ascii="Times New Roman" w:cs="Times New Roman" w:eastAsia="Times New Roman" w:hAnsi="Times New Roman"/>
          <w:sz w:val="20"/>
          <w:szCs w:val="20"/>
          <w:color w:val="auto"/>
        </w:rPr>
        <w:t>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481330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9" w:right="339" w:bottom="1440" w:gutter="0" w:footer="0" w:header="0"/>
        </w:sectPr>
      </w:pPr>
    </w:p>
    <w:bookmarkStart w:id="118" w:name="page119"/>
    <w:bookmarkEnd w:id="118"/>
    <w:p>
      <w:pPr>
        <w:ind w:left="9603"/>
        <w:spacing w:after="0"/>
        <w:rPr>
          <w:sz w:val="20"/>
          <w:szCs w:val="20"/>
          <w:color w:val="auto"/>
        </w:rPr>
      </w:pPr>
      <w:r>
        <w:rPr>
          <w:rFonts w:ascii="Times New Roman" w:cs="Times New Roman" w:eastAsia="Times New Roman" w:hAnsi="Times New Roman"/>
          <w:sz w:val="17"/>
          <w:szCs w:val="17"/>
          <w:color w:val="auto"/>
        </w:rPr>
        <w:t>Exhibit 10.7</w:t>
      </w:r>
    </w:p>
    <w:p>
      <w:pPr>
        <w:spacing w:after="0" w:line="124" w:lineRule="exact"/>
        <w:rPr>
          <w:sz w:val="20"/>
          <w:szCs w:val="20"/>
          <w:color w:val="auto"/>
        </w:rPr>
      </w:pPr>
    </w:p>
    <w:p>
      <w:pPr>
        <w:jc w:val="both"/>
        <w:ind w:left="743"/>
        <w:spacing w:after="0" w:line="245" w:lineRule="auto"/>
        <w:rPr>
          <w:sz w:val="20"/>
          <w:szCs w:val="20"/>
          <w:color w:val="auto"/>
        </w:rPr>
      </w:pPr>
      <w:r>
        <w:rPr>
          <w:rFonts w:ascii="Times New Roman" w:cs="Times New Roman" w:eastAsia="Times New Roman" w:hAnsi="Times New Roman"/>
          <w:sz w:val="20"/>
          <w:szCs w:val="20"/>
          <w:color w:val="auto"/>
        </w:rPr>
        <w:t>amounts paid or realized with respect to Awards under the Plan to reduction, cancelation, forfeiture or recoupment if certain specified events or wrongful conduct occur, including an accounting restatement due to the Company’s material noncompliance with financial reporting regulations or other events or wrongful conduct specified in any such clawback policy adopted to conform to the Dodd-Frank Wall Street Reform and Consumer Protection Act of 2010 and rules promulgated thereunder by the Securities and Exchange Commission and that the Company determines should apply to the Plan.</w:t>
      </w:r>
    </w:p>
    <w:p>
      <w:pPr>
        <w:spacing w:after="0" w:line="184" w:lineRule="exact"/>
        <w:rPr>
          <w:sz w:val="20"/>
          <w:szCs w:val="20"/>
          <w:color w:val="auto"/>
        </w:rPr>
      </w:pPr>
    </w:p>
    <w:p>
      <w:pPr>
        <w:jc w:val="both"/>
        <w:ind w:left="743" w:hanging="743"/>
        <w:spacing w:after="0" w:line="243" w:lineRule="auto"/>
        <w:tabs>
          <w:tab w:leader="none" w:pos="743"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Plan Effective Date and Term</w:t>
      </w:r>
      <w:r>
        <w:rPr>
          <w:rFonts w:ascii="Times New Roman" w:cs="Times New Roman" w:eastAsia="Times New Roman" w:hAnsi="Times New Roman"/>
          <w:sz w:val="20"/>
          <w:szCs w:val="20"/>
          <w:color w:val="auto"/>
        </w:rPr>
        <w:t xml:space="preserve">. This Plan was originally adopted by the Board on April 19, 2016, and approved by the Stockholders on June 2, 2016, to be effective on April 19, 2016. When the Plan was originally adopted, it replaced the Prior Plan as set for in </w:t>
      </w:r>
      <w:r>
        <w:rPr>
          <w:rFonts w:ascii="Times New Roman" w:cs="Times New Roman" w:eastAsia="Times New Roman" w:hAnsi="Times New Roman"/>
          <w:sz w:val="20"/>
          <w:szCs w:val="20"/>
          <w:u w:val="single" w:color="auto"/>
          <w:color w:val="auto"/>
        </w:rPr>
        <w:t>Section 4(c)(2)</w:t>
      </w:r>
      <w:r>
        <w:rPr>
          <w:rFonts w:ascii="Times New Roman" w:cs="Times New Roman" w:eastAsia="Times New Roman" w:hAnsi="Times New Roman"/>
          <w:sz w:val="20"/>
          <w:szCs w:val="20"/>
          <w:color w:val="auto"/>
        </w:rPr>
        <w:t>. The Plan is being amended and restated effective on the Effective Date March 4, 2021), subject to approval by the Stockholders at the Company’s 2021 annual meeting of Stockholders. No Awards may be granted under the Plan on and after the 10th anniversary of the Effective Date. However, any Award granted prior to such termination, and the authority of the Board or Committee to amend, alter, adjust, suspend, discontinue, or terminate any such Award or to waive any conditions or rights under such Award in accordance with the terms of the Plan, shall extend beyond such termination date until the final disposition of such Award.</w:t>
      </w:r>
    </w:p>
    <w:p>
      <w:pPr>
        <w:spacing w:after="0" w:line="284" w:lineRule="exact"/>
        <w:rPr>
          <w:sz w:val="20"/>
          <w:szCs w:val="20"/>
          <w:color w:val="auto"/>
        </w:rPr>
      </w:pPr>
    </w:p>
    <w:p>
      <w:pPr>
        <w:ind w:left="4663"/>
        <w:spacing w:after="0"/>
        <w:rPr>
          <w:sz w:val="20"/>
          <w:szCs w:val="20"/>
          <w:color w:val="auto"/>
        </w:rPr>
      </w:pPr>
      <w:r>
        <w:rPr>
          <w:rFonts w:ascii="Times New Roman" w:cs="Times New Roman" w:eastAsia="Times New Roman" w:hAnsi="Times New Roman"/>
          <w:sz w:val="20"/>
          <w:szCs w:val="20"/>
          <w:color w:val="auto"/>
        </w:rPr>
        <w:t>B-24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481330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9" w:right="339" w:bottom="1440" w:gutter="0" w:footer="0" w:header="0"/>
        </w:sectPr>
      </w:pPr>
    </w:p>
    <w:bookmarkStart w:id="119" w:name="page120"/>
    <w:bookmarkEnd w:id="119"/>
    <w:p>
      <w:pPr>
        <w:ind w:left="10260"/>
        <w:spacing w:after="0"/>
        <w:rPr>
          <w:sz w:val="20"/>
          <w:szCs w:val="20"/>
          <w:color w:val="auto"/>
        </w:rPr>
      </w:pPr>
      <w:r>
        <w:rPr>
          <w:rFonts w:ascii="Times New Roman" w:cs="Times New Roman" w:eastAsia="Times New Roman" w:hAnsi="Times New Roman"/>
          <w:sz w:val="17"/>
          <w:szCs w:val="17"/>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w:t>
      </w:r>
      <w:r>
        <w:rPr>
          <w:rFonts w:ascii="Times New Roman" w:cs="Times New Roman" w:eastAsia="Times New Roman" w:hAnsi="Times New Roman"/>
          <w:sz w:val="17"/>
          <w:szCs w:val="17"/>
          <w:b w:val="1"/>
          <w:bCs w:val="1"/>
          <w:color w:val="auto"/>
        </w:rPr>
        <w:t>ndemnification</w:t>
      </w:r>
      <w:r>
        <w:rPr>
          <w:rFonts w:ascii="Times New Roman" w:cs="Times New Roman" w:eastAsia="Times New Roman" w:hAnsi="Times New Roman"/>
          <w:sz w:val="25"/>
          <w:szCs w:val="25"/>
          <w:b w:val="1"/>
          <w:bCs w:val="1"/>
          <w:color w:val="auto"/>
        </w:rPr>
        <w:t xml:space="preserve"> A</w:t>
      </w:r>
      <w:r>
        <w:rPr>
          <w:rFonts w:ascii="Times New Roman" w:cs="Times New Roman" w:eastAsia="Times New Roman" w:hAnsi="Times New Roman"/>
          <w:sz w:val="17"/>
          <w:szCs w:val="17"/>
          <w:b w:val="1"/>
          <w:bCs w:val="1"/>
          <w:color w:val="auto"/>
        </w:rPr>
        <w:t>greement</w:t>
      </w:r>
    </w:p>
    <w:p>
      <w:pPr>
        <w:spacing w:after="0" w:line="349" w:lineRule="exact"/>
        <w:rPr>
          <w:sz w:val="20"/>
          <w:szCs w:val="20"/>
          <w:color w:val="auto"/>
        </w:rPr>
      </w:pPr>
    </w:p>
    <w:p>
      <w:pPr>
        <w:jc w:val="both"/>
        <w:ind w:firstLine="432"/>
        <w:spacing w:after="0" w:line="219" w:lineRule="auto"/>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his</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ndemnification</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into this 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November, by and between LSB Industries,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______________ (“</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w:t>
      </w:r>
    </w:p>
    <w:p>
      <w:pPr>
        <w:spacing w:after="0" w:line="69" w:lineRule="exact"/>
        <w:rPr>
          <w:sz w:val="20"/>
          <w:szCs w:val="20"/>
          <w:color w:val="auto"/>
        </w:rPr>
      </w:pPr>
    </w:p>
    <w:p>
      <w:pPr>
        <w:jc w:val="both"/>
        <w:ind w:firstLine="749"/>
        <w:spacing w:after="0" w:line="308" w:lineRule="auto"/>
        <w:rPr>
          <w:sz w:val="20"/>
          <w:szCs w:val="20"/>
          <w:color w:val="auto"/>
        </w:rPr>
      </w:pPr>
      <w:r>
        <w:rPr>
          <w:rFonts w:ascii="Times New Roman" w:cs="Times New Roman" w:eastAsia="Times New Roman" w:hAnsi="Times New Roman"/>
          <w:sz w:val="20"/>
          <w:szCs w:val="20"/>
          <w:color w:val="auto"/>
        </w:rPr>
        <w:t>W</w:t>
      </w:r>
      <w:r>
        <w:rPr>
          <w:rFonts w:ascii="Times New Roman" w:cs="Times New Roman" w:eastAsia="Times New Roman" w:hAnsi="Times New Roman"/>
          <w:sz w:val="13"/>
          <w:szCs w:val="13"/>
          <w:color w:val="auto"/>
        </w:rPr>
        <w:t>hereas</w:t>
      </w:r>
      <w:r>
        <w:rPr>
          <w:rFonts w:ascii="Times New Roman" w:cs="Times New Roman" w:eastAsia="Times New Roman" w:hAnsi="Times New Roman"/>
          <w:sz w:val="20"/>
          <w:szCs w:val="20"/>
          <w:color w:val="auto"/>
        </w:rPr>
        <w:t>, qualified persons are reluctant to serve corporations as directors or otherwise unless they are provided with broad indemnification and insurance against claims arising out of their service to and activities on behalf of the corporations; and</w:t>
      </w:r>
    </w:p>
    <w:p>
      <w:pPr>
        <w:spacing w:after="0" w:line="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w:t>
      </w:r>
      <w:r>
        <w:rPr>
          <w:rFonts w:ascii="Times New Roman" w:cs="Times New Roman" w:eastAsia="Times New Roman" w:hAnsi="Times New Roman"/>
          <w:sz w:val="14"/>
          <w:szCs w:val="14"/>
          <w:color w:val="auto"/>
        </w:rPr>
        <w:t>hereas</w:t>
      </w:r>
      <w:r>
        <w:rPr>
          <w:rFonts w:ascii="Times New Roman" w:cs="Times New Roman" w:eastAsia="Times New Roman" w:hAnsi="Times New Roman"/>
          <w:sz w:val="22"/>
          <w:szCs w:val="22"/>
          <w:color w:val="auto"/>
        </w:rPr>
        <w:t>, the Company has determined that attracting and retaining such persons is in the best interests of the Company’s stockholders and that it is reasonable, prudent and necessary for the Company to indemnify such persons to the fullest extent permitted by applicable law and to provide reasonable assurance regarding insurance;</w:t>
      </w:r>
    </w:p>
    <w:p>
      <w:pPr>
        <w:spacing w:after="0" w:line="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4"/>
          <w:szCs w:val="14"/>
          <w:color w:val="auto"/>
        </w:rPr>
        <w:t>ow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therefore</w:t>
      </w:r>
      <w:r>
        <w:rPr>
          <w:rFonts w:ascii="Times New Roman" w:cs="Times New Roman" w:eastAsia="Times New Roman" w:hAnsi="Times New Roman"/>
          <w:sz w:val="22"/>
          <w:szCs w:val="22"/>
          <w:color w:val="auto"/>
        </w:rPr>
        <w:t>, the Company and Indemnitee hereby agree as follows:</w:t>
      </w:r>
    </w:p>
    <w:p>
      <w:pPr>
        <w:spacing w:after="0" w:line="98" w:lineRule="exact"/>
        <w:rPr>
          <w:sz w:val="20"/>
          <w:szCs w:val="20"/>
          <w:color w:val="auto"/>
        </w:rPr>
      </w:pPr>
    </w:p>
    <w:p>
      <w:pPr>
        <w:ind w:left="1020" w:hanging="263"/>
        <w:spacing w:after="0"/>
        <w:tabs>
          <w:tab w:leader="none" w:pos="102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 Construction</w:t>
      </w: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As used in this Agreement, the following terms shall have the following meanings:</w:t>
      </w:r>
    </w:p>
    <w:p>
      <w:pPr>
        <w:spacing w:after="0" w:line="98"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and shall be deemed to have occurred if, on or after the date of this Agreement,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any “person” (as such term is used in Sections 13(d) and 14(d) of the Securities Exchange Act of 1934, as amended), other than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a trustee or other fiduciary holding securities under an employee benefit plan of the Company or any of its subsidiaries acting in such capacity,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a corporation owned directly or indirectly by the stockholders of the Company in substantially the same proportions as their ownership of stock of the Company, is or becomes the “beneficial owner” (as defined in Rule 13d-3 under said Act), directly or indirectly, of securities of the Company representing more than 35% of the total voting power represented by the Company’s then outstanding Voting Securities,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during any period of two consecutive years, individuals who at the beginning of such period constitute the board of directors of the Company and any new director whose election by the board of directors of the Company or nomination for election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 majority thereof,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the stockholders of the Company approve a merger or consolidation of the Company with any other corporation other than a merger or consolidation that would result in the Voting Securities of the Company outstanding immediately prior thereto continuing to represent (either by remaining outstanding or by being converted into Voting Securities of the surviving entity) at least 50% of the total voting power represented by the Voting Securities of the Company or such surviving entity outstanding immediately after such merger or consolidation,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the stockholders of the Company approve a plan of complete liquidation of the Company or an agreement for the sale or disposition by the Company of (in one transaction or a series of related transactions) all or substantially all of its assets, or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the Company shall file or have filed against it, and such filing shall not be dismissed, any bankruptcy, insolvency or dissolution proceedings, or a trustee, administrator or creditors committee shall be appointed to manage or supervise the affairs of the Company.</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1</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NUMPAGES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Corporate Status</w:t>
      </w:r>
      <w:r>
        <w:rPr>
          <w:rFonts w:ascii="Times New Roman" w:cs="Times New Roman" w:eastAsia="Times New Roman" w:hAnsi="Times New Roman"/>
          <w:sz w:val="22"/>
          <w:szCs w:val="22"/>
          <w:color w:val="auto"/>
        </w:rPr>
        <w:t>” means the status of a person who is or was a director (or a member of any committee of a board of directors), officer, employee or agent (including without limitation a manager of a limited liability company) of the Company or any of its subsidiaries, or of any predecessor thereof, or is or was serving at the request of the Company as a director (or a member of any committee of a board of directors), officer, employee or agent (including without limitation a manager of a limited liability company) of another entity, or of any predecessor thereof, including service with respect to an employee benefit plan.</w:t>
      </w:r>
    </w:p>
    <w:p>
      <w:pPr>
        <w:spacing w:after="0" w:line="7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Determination</w:t>
      </w:r>
      <w:r>
        <w:rPr>
          <w:rFonts w:ascii="Times New Roman" w:cs="Times New Roman" w:eastAsia="Times New Roman" w:hAnsi="Times New Roman"/>
          <w:sz w:val="22"/>
          <w:szCs w:val="22"/>
          <w:color w:val="auto"/>
        </w:rPr>
        <w:t>” means a determination that either (</w:t>
      </w:r>
      <w:r>
        <w:rPr>
          <w:rFonts w:ascii="Times New Roman" w:cs="Times New Roman" w:eastAsia="Times New Roman" w:hAnsi="Times New Roman"/>
          <w:sz w:val="22"/>
          <w:szCs w:val="22"/>
          <w:u w:val="single" w:color="auto"/>
          <w:color w:val="auto"/>
        </w:rPr>
        <w:t>x</w:t>
      </w:r>
      <w:r>
        <w:rPr>
          <w:rFonts w:ascii="Times New Roman" w:cs="Times New Roman" w:eastAsia="Times New Roman" w:hAnsi="Times New Roman"/>
          <w:sz w:val="22"/>
          <w:szCs w:val="22"/>
          <w:color w:val="auto"/>
        </w:rPr>
        <w:t>) there is a reasonable basis for the conclusion that indemnification of Indemnitee is proper in the circumstances because Indemnitee met a particular standard of conduct (a “</w:t>
      </w:r>
      <w:r>
        <w:rPr>
          <w:rFonts w:ascii="Times New Roman" w:cs="Times New Roman" w:eastAsia="Times New Roman" w:hAnsi="Times New Roman"/>
          <w:sz w:val="22"/>
          <w:szCs w:val="22"/>
          <w:u w:val="single" w:color="auto"/>
          <w:color w:val="auto"/>
        </w:rPr>
        <w:t>Favorable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Determination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there is no reasonable basis for the conclusion that indemnification of Indemnitee is proper in the circumstances because Indemnitee met a particular standard of conduct (an “</w:t>
      </w:r>
      <w:r>
        <w:rPr>
          <w:rFonts w:ascii="Times New Roman" w:cs="Times New Roman" w:eastAsia="Times New Roman" w:hAnsi="Times New Roman"/>
          <w:sz w:val="22"/>
          <w:szCs w:val="22"/>
          <w:u w:val="single" w:color="auto"/>
          <w:color w:val="auto"/>
        </w:rPr>
        <w:t>Adverse Determination</w:t>
      </w:r>
      <w:r>
        <w:rPr>
          <w:rFonts w:ascii="Times New Roman" w:cs="Times New Roman" w:eastAsia="Times New Roman" w:hAnsi="Times New Roman"/>
          <w:sz w:val="22"/>
          <w:szCs w:val="22"/>
          <w:color w:val="auto"/>
        </w:rPr>
        <w:t>”). An Adverse Determination shall include the decision that a Determination was required in connection with indemnification and the decision as to the applicable standard of conduct.</w:t>
      </w:r>
    </w:p>
    <w:p>
      <w:pPr>
        <w:spacing w:after="0" w:line="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 means the General Corporation Law of the State of Delaware, as amended from time to time.</w:t>
      </w:r>
    </w:p>
    <w:p>
      <w:pPr>
        <w:spacing w:after="0" w:line="9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means all (i) attorneys’ fees and expenses, retainers, court, arbitration and mediation costs, transcript costs, fees and expenses of experts, witness and public relations consultants bonds and fees, traveling expenses, costs of collecting and producing documents,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appealing or otherwise participating in a Proceeding or responding to, or objecting to, a request to provide discovery in any Proceeding, (ii) damages, judgments, fines and amounts paid in settlement and any other amounts that Indemnitee becomes legally obligated to pay (including any federal, state or local taxes imposed on Indemnitee as a result of receipt of reimbursements or advances of expenses under this Agreement) and</w:t>
      </w:r>
    </w:p>
    <w:p>
      <w:pPr>
        <w:spacing w:after="0" w:line="4" w:lineRule="exact"/>
        <w:rPr>
          <w:sz w:val="20"/>
          <w:szCs w:val="20"/>
          <w:color w:val="auto"/>
        </w:rPr>
      </w:pPr>
    </w:p>
    <w:p>
      <w:pPr>
        <w:jc w:val="both"/>
        <w:ind w:firstLine="8"/>
        <w:spacing w:after="0" w:line="232" w:lineRule="auto"/>
        <w:tabs>
          <w:tab w:leader="none" w:pos="383"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premium, security for, and other costs relating to any costs bond, supersedes bond or other appeal bond or its equivalent, whether civil, criminal, arbitrational, administrative or investigative with respect to any Proceeding actually and reasonably incurred by Indemnitee, or on Indemnitee’s behalf, because of any claim or claims made against or by him in connection with any Proceeding, whether formal or informal (including an action by or in the right of the Company), to which Indemnitee is, was or at any time becomes a party or a witness, or is threatened to be made a party to, participant in or a witness with respect to, by reason of Indemnitee’ Corporate Status.</w:t>
      </w:r>
    </w:p>
    <w:p>
      <w:pPr>
        <w:spacing w:after="0" w:line="7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Independent Legal Counsel</w:t>
      </w:r>
      <w:r>
        <w:rPr>
          <w:rFonts w:ascii="Times New Roman" w:cs="Times New Roman" w:eastAsia="Times New Roman" w:hAnsi="Times New Roman"/>
          <w:sz w:val="22"/>
          <w:szCs w:val="22"/>
          <w:color w:val="auto"/>
        </w:rPr>
        <w:t>” means an attorney or firm of attorneys competent to render an opinion under the applicable law, selected in accordance with the provisions of Section 5(e), who has not performed any services (other than services similar to those contemplated to be performed by Independent Legal Counsel under this Agreement) for the Company or any of its subsidiaries or for Indemnitee within the last three years.</w:t>
      </w:r>
    </w:p>
    <w:p>
      <w:pPr>
        <w:spacing w:after="0" w:line="7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means a threatened, pending or completed action, suit or proceeding, whether civil, criminal, administrative or investigative, including without limitation a claim, demand, discovery request, formal or informal investigation, inquiry, administrative hearing, arbitration or other form of alternative dispute resolution, including an appeal from any of the foregoing.</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2</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NUMPAGES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Voting Securities</w:t>
      </w:r>
      <w:r>
        <w:rPr>
          <w:rFonts w:ascii="Times New Roman" w:cs="Times New Roman" w:eastAsia="Times New Roman" w:hAnsi="Times New Roman"/>
          <w:sz w:val="22"/>
          <w:szCs w:val="22"/>
          <w:color w:val="auto"/>
        </w:rPr>
        <w:t>” means any securities of the Company that vote generally in the election of directors.</w:t>
      </w:r>
    </w:p>
    <w:p>
      <w:pPr>
        <w:spacing w:after="0" w:line="98" w:lineRule="exact"/>
        <w:rPr>
          <w:sz w:val="20"/>
          <w:szCs w:val="20"/>
          <w:color w:val="auto"/>
        </w:rPr>
      </w:pPr>
    </w:p>
    <w:p>
      <w:pPr>
        <w:ind w:left="2040" w:hanging="535"/>
        <w:spacing w:after="0"/>
        <w:tabs>
          <w:tab w:leader="none" w:pos="204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For purposes of this Agreement,</w:t>
      </w:r>
    </w:p>
    <w:p>
      <w:pPr>
        <w:spacing w:after="0" w:line="98" w:lineRule="exact"/>
        <w:rPr>
          <w:rFonts w:ascii="Times New Roman" w:cs="Times New Roman" w:eastAsia="Times New Roman" w:hAnsi="Times New Roman"/>
          <w:sz w:val="22"/>
          <w:szCs w:val="22"/>
          <w:color w:val="auto"/>
        </w:rPr>
      </w:pPr>
    </w:p>
    <w:p>
      <w:pPr>
        <w:jc w:val="both"/>
        <w:ind w:left="760" w:firstLine="1494"/>
        <w:spacing w:after="0" w:line="238" w:lineRule="auto"/>
        <w:tabs>
          <w:tab w:leader="none" w:pos="2557"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the Company and any of its “subsidiaries” shall include any corporation, limited liability company, partnership, joint venture, trust or other entity or enterprise that before or after the date of this Agreement is party to a merger or consolidation with the Company or any such subsidiary or that is a successor to the Company as contemplated by Section 8(e) (whether or not such successor has executed and delivered the written agreement contemplated by Section 8(e)).</w:t>
      </w:r>
    </w:p>
    <w:p>
      <w:pPr>
        <w:spacing w:after="0" w:line="68" w:lineRule="exact"/>
        <w:rPr>
          <w:rFonts w:ascii="Times New Roman" w:cs="Times New Roman" w:eastAsia="Times New Roman" w:hAnsi="Times New Roman"/>
          <w:sz w:val="22"/>
          <w:szCs w:val="22"/>
          <w:color w:val="auto"/>
        </w:rPr>
      </w:pPr>
    </w:p>
    <w:p>
      <w:pPr>
        <w:ind w:left="760" w:right="20" w:firstLine="1494"/>
        <w:spacing w:after="0" w:line="258" w:lineRule="auto"/>
        <w:tabs>
          <w:tab w:leader="none" w:pos="2557"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“fines” shall include any excise taxes assessed on Indemnitee with respect to an employee benefit plan.</w:t>
      </w:r>
    </w:p>
    <w:p>
      <w:pPr>
        <w:spacing w:after="0" w:line="50" w:lineRule="exact"/>
        <w:rPr>
          <w:sz w:val="20"/>
          <w:szCs w:val="20"/>
          <w:color w:val="auto"/>
        </w:rPr>
      </w:pPr>
    </w:p>
    <w:p>
      <w:pPr>
        <w:ind w:left="760" w:firstLine="1497"/>
        <w:spacing w:after="0" w:line="258" w:lineRule="auto"/>
        <w:rPr>
          <w:sz w:val="20"/>
          <w:szCs w:val="20"/>
          <w:color w:val="auto"/>
        </w:rPr>
      </w:pPr>
      <w:r>
        <w:rPr>
          <w:rFonts w:ascii="Times New Roman" w:cs="Times New Roman" w:eastAsia="Times New Roman" w:hAnsi="Times New Roman"/>
          <w:sz w:val="22"/>
          <w:szCs w:val="22"/>
          <w:color w:val="auto"/>
        </w:rPr>
        <w:t>(iii)References to a “witness” in connection with a Proceeding shall include any interviewee or person called upon to produce documents in connection with such Proceeding.</w:t>
      </w:r>
    </w:p>
    <w:p>
      <w:pPr>
        <w:spacing w:after="0" w:line="50" w:lineRule="exact"/>
        <w:rPr>
          <w:sz w:val="20"/>
          <w:szCs w:val="20"/>
          <w:color w:val="auto"/>
        </w:rPr>
      </w:pPr>
    </w:p>
    <w:p>
      <w:pPr>
        <w:ind w:left="1020" w:hanging="263"/>
        <w:spacing w:after="0"/>
        <w:tabs>
          <w:tab w:leader="none" w:pos="102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to Serve</w:t>
      </w:r>
      <w:r>
        <w:rPr>
          <w:rFonts w:ascii="Times New Roman" w:cs="Times New Roman" w:eastAsia="Times New Roman" w:hAnsi="Times New Roman"/>
          <w:sz w:val="22"/>
          <w:szCs w:val="22"/>
          <w:color w:val="auto"/>
        </w:rPr>
        <w:t>.</w:t>
      </w:r>
    </w:p>
    <w:p>
      <w:pPr>
        <w:spacing w:after="0" w:line="9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Indemnitee agrees to serve as a director of the Company or one or more of its subsidiaries and in such other capacities as Indemnitee may serve at the request of the Company from time to time, and by its execution of this Agreement the Company confirms its request that Indemnitee serve as a director and in such other capacities. Indemnitee shall be entitled to resign or otherwise terminate such service with immediate effect at any time, and neither such resignation or termination nor the length of such service shall affect Indemnitee’s rights under this Agreement. This Agreement shall not constitute an employment agreement, supersede any employment agreement to which Indemnitee is a party or create any right of Indemnitee to continued employment or appointment.</w:t>
      </w:r>
    </w:p>
    <w:p>
      <w:pPr>
        <w:spacing w:after="0" w:line="75" w:lineRule="exact"/>
        <w:rPr>
          <w:sz w:val="20"/>
          <w:szCs w:val="20"/>
          <w:color w:val="auto"/>
        </w:rPr>
      </w:pPr>
    </w:p>
    <w:p>
      <w:pPr>
        <w:ind w:left="1020" w:hanging="263"/>
        <w:spacing w:after="0"/>
        <w:tabs>
          <w:tab w:leader="none" w:pos="102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Indemnification</w:t>
      </w:r>
      <w:r>
        <w:rPr>
          <w:rFonts w:ascii="Times New Roman" w:cs="Times New Roman" w:eastAsia="Times New Roman" w:hAnsi="Times New Roman"/>
          <w:sz w:val="22"/>
          <w:szCs w:val="22"/>
          <w:color w:val="auto"/>
        </w:rPr>
        <w:t>. The Company shall indemnify Indemnitee, to the fullest extent permitted by applicable law in effect on the date hereof or as amended to increase the scope of permitted indemnification, against Expenses, losses, liabilities, judgments, fines, penalties and amounts paid in settlement (including all interest, taxes, assessments and other charges in connection therewith) incurred by Indemnitee or on Indemnitee’s behalf in connection with any Proceeding in any way connected with, resulting from or relating to Indemnitee’s Corporate Status.</w:t>
      </w:r>
    </w:p>
    <w:p>
      <w:pPr>
        <w:spacing w:after="0" w:line="68"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Indemnification Regarding Expenses</w:t>
      </w:r>
      <w:r>
        <w:rPr>
          <w:rFonts w:ascii="Times New Roman" w:cs="Times New Roman" w:eastAsia="Times New Roman" w:hAnsi="Times New Roman"/>
          <w:sz w:val="22"/>
          <w:szCs w:val="22"/>
          <w:color w:val="auto"/>
        </w:rPr>
        <w:t>. Without limiting the foregoing, in the event any Proceeding is initiated by Indemnitee, the Company or any other person to enforce or interpret this Agreement or any rights of Indemnitee to indemnification or advancement of Expenses (or related obligations of Indemnitee) under the Company’s or any such subsidiary’s certificate of incorporation, bylaws or other organizational agreement or instrument, any other agreement to which Indemnitee and the Company or any of its subsidiaries are party, any vote of stockholders or directors of the Company or any of its subsidiaries, the DGCL, any other applicable law or any liability insurance policy, the Company shall indemnify Indemnitee against Expenses incurred by Indemnitee or on Indemnitee’s behalf in connection with such Proceeding in proportion to the success achieved by Indemnitee in such Proceeding and the efforts required to obtain such success, as determined by the court presiding over such Proceeding.</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3</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NUMPAGES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1505"/>
        <w:spacing w:after="0" w:line="239" w:lineRule="auto"/>
        <w:tabs>
          <w:tab w:leader="none" w:pos="203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Partial Indemnification</w:t>
      </w:r>
      <w:r>
        <w:rPr>
          <w:rFonts w:ascii="Times New Roman" w:cs="Times New Roman" w:eastAsia="Times New Roman" w:hAnsi="Times New Roman"/>
          <w:sz w:val="22"/>
          <w:szCs w:val="22"/>
          <w:color w:val="auto"/>
        </w:rPr>
        <w:t>. If Indemnitee is entitled under any provision of this Agreement to indemnification by the Company for a portion of any Expenses, losses, liabilities, judgments, fines, penalties and amounts paid in settlement incurred by Indemnitee, but not for the total amount thereof, the Company shall nevertheless indemnify Indemnitee for such portion.</w:t>
      </w:r>
    </w:p>
    <w:p>
      <w:pPr>
        <w:spacing w:after="0" w:line="72"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Nonexclusivity</w:t>
      </w:r>
      <w:r>
        <w:rPr>
          <w:rFonts w:ascii="Times New Roman" w:cs="Times New Roman" w:eastAsia="Times New Roman" w:hAnsi="Times New Roman"/>
          <w:sz w:val="22"/>
          <w:szCs w:val="22"/>
          <w:color w:val="auto"/>
        </w:rPr>
        <w:t>. The indemnification provided by this Agreement shall not be deemed exclusive of any rights to which Indemnitee may be entitled under the certificate of incorporation, bylaws or other organizational agreement or instrument of the Company or any of its subsidiaries, any other agreement, any vote of stockholders or directors, the DGCL, any other applicable law or any liability insurance policy.</w:t>
      </w:r>
    </w:p>
    <w:p>
      <w:pPr>
        <w:spacing w:after="0" w:line="72"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Exceptions</w:t>
      </w:r>
      <w:r>
        <w:rPr>
          <w:rFonts w:ascii="Times New Roman" w:cs="Times New Roman" w:eastAsia="Times New Roman" w:hAnsi="Times New Roman"/>
          <w:sz w:val="22"/>
          <w:szCs w:val="22"/>
          <w:color w:val="auto"/>
        </w:rPr>
        <w:t>. Any other provision herein to the contrary notwithstanding, the Company shall not be obligated under the Agreement to indemnify Indemnitee:</w:t>
      </w:r>
    </w:p>
    <w:p>
      <w:pPr>
        <w:spacing w:after="0" w:line="50" w:lineRule="exact"/>
        <w:rPr>
          <w:rFonts w:ascii="Times New Roman" w:cs="Times New Roman" w:eastAsia="Times New Roman" w:hAnsi="Times New Roman"/>
          <w:sz w:val="22"/>
          <w:szCs w:val="22"/>
          <w:color w:val="auto"/>
        </w:rPr>
      </w:pPr>
    </w:p>
    <w:p>
      <w:pPr>
        <w:jc w:val="both"/>
        <w:ind w:left="760" w:firstLine="1494"/>
        <w:spacing w:after="0" w:line="239" w:lineRule="auto"/>
        <w:tabs>
          <w:tab w:leader="none" w:pos="2557"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Expenses incurred in connection with Proceedings initiated or brought voluntarily by the Indemnitee and not by way of defense, counterclaim or crossclaim, except (</w:t>
      </w:r>
      <w:r>
        <w:rPr>
          <w:rFonts w:ascii="Times New Roman" w:cs="Times New Roman" w:eastAsia="Times New Roman" w:hAnsi="Times New Roman"/>
          <w:sz w:val="22"/>
          <w:szCs w:val="22"/>
          <w:u w:val="single" w:color="auto"/>
          <w:color w:val="auto"/>
        </w:rPr>
        <w:t>x</w:t>
      </w:r>
      <w:r>
        <w:rPr>
          <w:rFonts w:ascii="Times New Roman" w:cs="Times New Roman" w:eastAsia="Times New Roman" w:hAnsi="Times New Roman"/>
          <w:sz w:val="22"/>
          <w:szCs w:val="22"/>
          <w:color w:val="auto"/>
        </w:rPr>
        <w:t>) as contemplated by Section 3(b),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in specific cases if the board of directors of the Company has approved the initiation or bringing of such Proceeding, and (</w:t>
      </w:r>
      <w:r>
        <w:rPr>
          <w:rFonts w:ascii="Times New Roman" w:cs="Times New Roman" w:eastAsia="Times New Roman" w:hAnsi="Times New Roman"/>
          <w:sz w:val="22"/>
          <w:szCs w:val="22"/>
          <w:u w:val="single" w:color="auto"/>
          <w:color w:val="auto"/>
        </w:rPr>
        <w:t>z</w:t>
      </w:r>
      <w:r>
        <w:rPr>
          <w:rFonts w:ascii="Times New Roman" w:cs="Times New Roman" w:eastAsia="Times New Roman" w:hAnsi="Times New Roman"/>
          <w:sz w:val="22"/>
          <w:szCs w:val="22"/>
          <w:color w:val="auto"/>
        </w:rPr>
        <w:t>) as may be required by law.</w:t>
      </w:r>
    </w:p>
    <w:p>
      <w:pPr>
        <w:spacing w:after="0" w:line="72" w:lineRule="exact"/>
        <w:rPr>
          <w:rFonts w:ascii="Times New Roman" w:cs="Times New Roman" w:eastAsia="Times New Roman" w:hAnsi="Times New Roman"/>
          <w:sz w:val="22"/>
          <w:szCs w:val="22"/>
          <w:color w:val="auto"/>
        </w:rPr>
      </w:pPr>
    </w:p>
    <w:p>
      <w:pPr>
        <w:jc w:val="both"/>
        <w:ind w:left="760" w:firstLine="1494"/>
        <w:spacing w:after="0" w:line="239" w:lineRule="auto"/>
        <w:tabs>
          <w:tab w:leader="none" w:pos="2557"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 accounting of profits arising from the purchase and sale by the Indemnitee of securities within the meaning of Section 16(b) of the Securities Exchange Act of 1934, as amended, or any similar provisions of any federal, state or local law if the final, non-appealable judgment of a court of competent jurisdiction finds Indemnitee to be liable for disgorgement under such Section 16(b).</w:t>
      </w:r>
    </w:p>
    <w:p>
      <w:pPr>
        <w:spacing w:after="0" w:line="72" w:lineRule="exact"/>
        <w:rPr>
          <w:sz w:val="20"/>
          <w:szCs w:val="20"/>
          <w:color w:val="auto"/>
        </w:rPr>
      </w:pPr>
    </w:p>
    <w:p>
      <w:pPr>
        <w:jc w:val="both"/>
        <w:ind w:left="760" w:firstLine="1497"/>
        <w:spacing w:after="0" w:line="282" w:lineRule="auto"/>
        <w:rPr>
          <w:sz w:val="20"/>
          <w:szCs w:val="20"/>
          <w:color w:val="auto"/>
        </w:rPr>
      </w:pPr>
      <w:r>
        <w:rPr>
          <w:rFonts w:ascii="Times New Roman" w:cs="Times New Roman" w:eastAsia="Times New Roman" w:hAnsi="Times New Roman"/>
          <w:sz w:val="21"/>
          <w:szCs w:val="21"/>
          <w:color w:val="auto"/>
        </w:rPr>
        <w:t>(iii)On account of Indemnitee’s conduct that is established by a final, non-appealable judgment of a court of competent jurisdiction as knowingly fraudulent or deliberately dishonest or that constituted willful misconduct.</w:t>
      </w:r>
    </w:p>
    <w:p>
      <w:pPr>
        <w:spacing w:after="0" w:line="27" w:lineRule="exact"/>
        <w:rPr>
          <w:sz w:val="20"/>
          <w:szCs w:val="20"/>
          <w:color w:val="auto"/>
        </w:rPr>
      </w:pPr>
    </w:p>
    <w:p>
      <w:pPr>
        <w:jc w:val="both"/>
        <w:ind w:left="760" w:firstLine="1497"/>
        <w:spacing w:after="0" w:line="244" w:lineRule="auto"/>
        <w:rPr>
          <w:sz w:val="20"/>
          <w:szCs w:val="20"/>
          <w:color w:val="auto"/>
        </w:rPr>
      </w:pPr>
      <w:r>
        <w:rPr>
          <w:rFonts w:ascii="Times New Roman" w:cs="Times New Roman" w:eastAsia="Times New Roman" w:hAnsi="Times New Roman"/>
          <w:sz w:val="22"/>
          <w:szCs w:val="22"/>
          <w:color w:val="auto"/>
        </w:rPr>
        <w:t>(iv)For which payment is actually made to Indemnitee under a valid and collectible insurance policy or under a valid and enforceable indemnity clause, bylaw or agreement, except in respect of any excess beyond payment actually received by Indemnitee under such insurance, clause, bylaw or agreement.</w:t>
      </w:r>
    </w:p>
    <w:p>
      <w:pPr>
        <w:spacing w:after="0" w:line="65" w:lineRule="exact"/>
        <w:rPr>
          <w:sz w:val="20"/>
          <w:szCs w:val="20"/>
          <w:color w:val="auto"/>
        </w:rPr>
      </w:pPr>
    </w:p>
    <w:p>
      <w:pPr>
        <w:ind w:left="2560" w:hanging="306"/>
        <w:spacing w:after="0"/>
        <w:tabs>
          <w:tab w:leader="none" w:pos="2560" w:val="left"/>
        </w:tabs>
        <w:numPr>
          <w:ilvl w:val="2"/>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and to the extent indemnification is prohibited by applicable law.</w:t>
      </w:r>
    </w:p>
    <w:p>
      <w:pPr>
        <w:spacing w:after="0" w:line="9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Subrogation</w:t>
      </w:r>
      <w:r>
        <w:rPr>
          <w:rFonts w:ascii="Times New Roman" w:cs="Times New Roman" w:eastAsia="Times New Roman" w:hAnsi="Times New Roman"/>
          <w:sz w:val="22"/>
          <w:szCs w:val="22"/>
          <w:color w:val="auto"/>
        </w:rPr>
        <w:t>. In the event of payment under this Agreement, the Company shall be subrogated to the extent of such payment to all of the rights of recovery of the Indemnitee, who shall execute such documents and do such acts as the Company may reasonably request to secure such rights and to enable the Company effectively to bring suit to enforce such rights.</w:t>
      </w:r>
    </w:p>
    <w:p>
      <w:pPr>
        <w:spacing w:after="0" w:line="72"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Advancement of Expenses</w:t>
      </w:r>
      <w:r>
        <w:rPr>
          <w:rFonts w:ascii="Times New Roman" w:cs="Times New Roman" w:eastAsia="Times New Roman" w:hAnsi="Times New Roman"/>
          <w:sz w:val="22"/>
          <w:szCs w:val="22"/>
          <w:color w:val="auto"/>
        </w:rPr>
        <w:t>.</w:t>
      </w:r>
    </w:p>
    <w:p>
      <w:pPr>
        <w:spacing w:after="0" w:line="98"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The Company shall pay all Expenses incurred by Indemnitee in connection with any Proceeding in any way connected with, resulting from or relating to Indemnitee’s Corporate Status, other than a Proceeding initiated by Indemnitee for which the Company would not be obligated to indemnify Indemnitee pursuant to Section 3(e)(i), in advance of the final disposition (in accordance with Section 5(c)) of such Proceeding and without regard to whether Indemnitee will ultimately be entitled to be indemnified for such Expenses and without regard to whether an Adverse Determination has been made, except as contemplated by the last sentence of Section 5(f). The right to advances under this Section 4 shall in all events continue until final disposition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4</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NUMPAGES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of any Proceeding, including any appeal therein. Advances shall be made without regard to Indemnitee’s ability to repay the expenses and without regard to Indemnitee’s ultimate entitlement to indemnification under the other provisions of this Agreement. Indemnitee shall qualify for advances upon the execution and delivery to the Company of this Agreement, and Indemnitee shall repay such amounts advanced only if and to the extent that it shall ultimately be determined in a decision by a court of competent jurisdiction from which no appeal can be taken that Indemnitee is not entitled to be indemnified by the Company for such Expenses. The right to advancement described in this Section 4 is vested. Such repayment obligation shall be unsecured and shall not bear interest. The Company shall not impose on Indemnitee additional conditions to advancement or require from Indemnitee additional undertakings regarding repayment.</w:t>
      </w:r>
    </w:p>
    <w:p>
      <w:pPr>
        <w:spacing w:after="0" w:line="70" w:lineRule="exact"/>
        <w:rPr>
          <w:sz w:val="20"/>
          <w:szCs w:val="20"/>
          <w:color w:val="auto"/>
        </w:rPr>
      </w:pPr>
    </w:p>
    <w:p>
      <w:pPr>
        <w:ind w:left="1020" w:hanging="263"/>
        <w:spacing w:after="0"/>
        <w:tabs>
          <w:tab w:leader="none" w:pos="102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Procedure.</w:t>
      </w:r>
    </w:p>
    <w:p>
      <w:pPr>
        <w:spacing w:after="0" w:line="98"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Proceeding; Cooperation</w:t>
      </w:r>
      <w:r>
        <w:rPr>
          <w:rFonts w:ascii="Times New Roman" w:cs="Times New Roman" w:eastAsia="Times New Roman" w:hAnsi="Times New Roman"/>
          <w:sz w:val="22"/>
          <w:szCs w:val="22"/>
          <w:color w:val="auto"/>
        </w:rPr>
        <w:t xml:space="preserve">. Indemnitee shall give the Company notice in writing as soon as practicable, and in any event, no later than 30 days after Indemnitee becomes aware, of any Proceeding for which indemnification will or could be sought under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failure or delay in giving such notice shall not relieve the Company of its obligations under this Agreement unless and to the extent that (i) none of the Company and its subsidiaries are party to or aware of such Proceeding and (ii) the Company is materially prejudiced by such failure.</w:t>
      </w:r>
    </w:p>
    <w:p>
      <w:pPr>
        <w:spacing w:after="0" w:line="68" w:lineRule="exact"/>
        <w:rPr>
          <w:rFonts w:ascii="Times New Roman" w:cs="Times New Roman" w:eastAsia="Times New Roman" w:hAnsi="Times New Roman"/>
          <w:sz w:val="22"/>
          <w:szCs w:val="22"/>
          <w:color w:val="auto"/>
        </w:rPr>
      </w:pPr>
    </w:p>
    <w:p>
      <w:pPr>
        <w:jc w:val="both"/>
        <w:ind w:firstLine="1505"/>
        <w:spacing w:after="0" w:line="248" w:lineRule="auto"/>
        <w:tabs>
          <w:tab w:leader="none" w:pos="2036"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Settlement</w:t>
      </w:r>
      <w:r>
        <w:rPr>
          <w:rFonts w:ascii="Times New Roman" w:cs="Times New Roman" w:eastAsia="Times New Roman" w:hAnsi="Times New Roman"/>
          <w:sz w:val="21"/>
          <w:szCs w:val="21"/>
          <w:color w:val="auto"/>
        </w:rPr>
        <w:t>. The Company will not, without the prior written consent of Indemnitee, which may be provided or withheld in Indemnitee’s sole discretion, effect any settlement of any Proceeding against Indemnitee or which could have been brought against Indemnitee unless such settlement solely involves the payment of money by persons other than Indemnitee and includes an unconditional release of Indemnitee from all liability on any matters that are the subject of such Proceeding and an acknowledgment that Indemnitee denies all wrongdoing in connection with such matters. The Company shall not be obligated to indemnify Indemnitee against amounts paid in settlement of a Proceeding against Indemnitee if such settlement is effected by Indemnitee without the Company’s prior written consent, which shall not be unreasonably withheld.</w:t>
      </w:r>
    </w:p>
    <w:p>
      <w:pPr>
        <w:spacing w:after="0" w:line="62" w:lineRule="exact"/>
        <w:rPr>
          <w:rFonts w:ascii="Times New Roman" w:cs="Times New Roman" w:eastAsia="Times New Roman" w:hAnsi="Times New Roman"/>
          <w:sz w:val="21"/>
          <w:szCs w:val="21"/>
          <w:color w:val="auto"/>
        </w:rPr>
      </w:pPr>
    </w:p>
    <w:p>
      <w:pPr>
        <w:jc w:val="both"/>
        <w:ind w:firstLine="1505"/>
        <w:spacing w:after="0" w:line="238" w:lineRule="auto"/>
        <w:tabs>
          <w:tab w:leader="none" w:pos="2036"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Request for Payment; Timing of Payment</w:t>
      </w:r>
      <w:r>
        <w:rPr>
          <w:rFonts w:ascii="Times New Roman" w:cs="Times New Roman" w:eastAsia="Times New Roman" w:hAnsi="Times New Roman"/>
          <w:sz w:val="22"/>
          <w:szCs w:val="22"/>
          <w:color w:val="auto"/>
        </w:rPr>
        <w:t>. To obtain indemnification payments or advances under this Agreement, Indemnitee shall submit to a Company a written request therefor, together with such invoices or other supporting information as may be reasonably requested by the Company and reasonably available to Indemnitee. The Company shall make indemnification payments to Indemnitee no later than 30 days, and advances to Indemnitee no later than 20 days, after receipt of the written request of Indemnitee.</w:t>
      </w:r>
    </w:p>
    <w:p>
      <w:pPr>
        <w:spacing w:after="0" w:line="68"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Determination</w:t>
      </w:r>
      <w:r>
        <w:rPr>
          <w:rFonts w:ascii="Times New Roman" w:cs="Times New Roman" w:eastAsia="Times New Roman" w:hAnsi="Times New Roman"/>
          <w:sz w:val="22"/>
          <w:szCs w:val="22"/>
          <w:color w:val="auto"/>
        </w:rPr>
        <w:t>. The Company intends that Indemnitee shall be indemnified to the fullest extent permitted by law as provided in Section 3 and that no Determination shall be required in connection with such indemnification. In no event shall a Determination be required in connection with advancement of Expenses pursuant to Section 4 or in connection with indemnification for Expenses incurred as a witness or incurred in connection with any Proceeding or portion thereof with respect to which Indemnitee has been successful on the merits or otherwise. Any decision that a Determination is required by law in connection with any other indemnification of Indemnitee, and any such Determination, shall be made within 30 days after receipt of Indemnitee’s written request for indemnification, as follows: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5</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NUMPAGES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left="760" w:firstLine="1494"/>
        <w:spacing w:after="0" w:line="251" w:lineRule="auto"/>
        <w:tabs>
          <w:tab w:leader="none" w:pos="2557"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no Change in Control has occurred, (</w:t>
      </w:r>
      <w:r>
        <w:rPr>
          <w:rFonts w:ascii="Times New Roman" w:cs="Times New Roman" w:eastAsia="Times New Roman" w:hAnsi="Times New Roman"/>
          <w:sz w:val="21"/>
          <w:szCs w:val="21"/>
          <w:u w:val="single" w:color="auto"/>
          <w:color w:val="auto"/>
        </w:rPr>
        <w:t>w</w:t>
      </w:r>
      <w:r>
        <w:rPr>
          <w:rFonts w:ascii="Times New Roman" w:cs="Times New Roman" w:eastAsia="Times New Roman" w:hAnsi="Times New Roman"/>
          <w:sz w:val="21"/>
          <w:szCs w:val="21"/>
          <w:color w:val="auto"/>
        </w:rPr>
        <w:t>) by a majority vote of the directors of the Company who are not parties to such Proceeding, even though less than a quorum, with the advice of Independent Legal Counsel, or (</w:t>
      </w:r>
      <w:r>
        <w:rPr>
          <w:rFonts w:ascii="Times New Roman" w:cs="Times New Roman" w:eastAsia="Times New Roman" w:hAnsi="Times New Roman"/>
          <w:sz w:val="21"/>
          <w:szCs w:val="21"/>
          <w:u w:val="single" w:color="auto"/>
          <w:color w:val="auto"/>
        </w:rPr>
        <w:t>x</w:t>
      </w:r>
      <w:r>
        <w:rPr>
          <w:rFonts w:ascii="Times New Roman" w:cs="Times New Roman" w:eastAsia="Times New Roman" w:hAnsi="Times New Roman"/>
          <w:sz w:val="21"/>
          <w:szCs w:val="21"/>
          <w:color w:val="auto"/>
        </w:rPr>
        <w:t>) by a committee of such directors designated by majority vote of such directors, even though less than a quorum, with the advice of Independent Legal Counsel, or (</w:t>
      </w:r>
      <w:r>
        <w:rPr>
          <w:rFonts w:ascii="Times New Roman" w:cs="Times New Roman" w:eastAsia="Times New Roman" w:hAnsi="Times New Roman"/>
          <w:sz w:val="21"/>
          <w:szCs w:val="21"/>
          <w:u w:val="single" w:color="auto"/>
          <w:color w:val="auto"/>
        </w:rPr>
        <w:t>y</w:t>
      </w:r>
      <w:r>
        <w:rPr>
          <w:rFonts w:ascii="Times New Roman" w:cs="Times New Roman" w:eastAsia="Times New Roman" w:hAnsi="Times New Roman"/>
          <w:sz w:val="21"/>
          <w:szCs w:val="21"/>
          <w:color w:val="auto"/>
        </w:rPr>
        <w:t>) if there are no such directors, or if such directors so direct, by Independent Legal Counsel in a written opinion to the Company and Indemnitee, or (</w:t>
      </w:r>
      <w:r>
        <w:rPr>
          <w:rFonts w:ascii="Times New Roman" w:cs="Times New Roman" w:eastAsia="Times New Roman" w:hAnsi="Times New Roman"/>
          <w:sz w:val="21"/>
          <w:szCs w:val="21"/>
          <w:u w:val="single" w:color="auto"/>
          <w:color w:val="auto"/>
        </w:rPr>
        <w:t>z</w:t>
      </w:r>
      <w:r>
        <w:rPr>
          <w:rFonts w:ascii="Times New Roman" w:cs="Times New Roman" w:eastAsia="Times New Roman" w:hAnsi="Times New Roman"/>
          <w:sz w:val="21"/>
          <w:szCs w:val="21"/>
          <w:color w:val="auto"/>
        </w:rPr>
        <w:t>) by the stockholders of the Company.</w:t>
      </w:r>
    </w:p>
    <w:p>
      <w:pPr>
        <w:spacing w:after="0" w:line="60" w:lineRule="exact"/>
        <w:rPr>
          <w:rFonts w:ascii="Times New Roman" w:cs="Times New Roman" w:eastAsia="Times New Roman" w:hAnsi="Times New Roman"/>
          <w:sz w:val="21"/>
          <w:szCs w:val="21"/>
          <w:color w:val="auto"/>
        </w:rPr>
      </w:pPr>
    </w:p>
    <w:p>
      <w:pPr>
        <w:ind w:left="760" w:firstLine="1494"/>
        <w:spacing w:after="0" w:line="258" w:lineRule="auto"/>
        <w:tabs>
          <w:tab w:leader="none" w:pos="2557"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in Control has occurred, by Independent Legal Counsel in a written opinion to the Company and Indemnitee.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shall pay all Expenses incurred by Indemnitee in connection with a Determination.</w:t>
      </w:r>
    </w:p>
    <w:p>
      <w:pPr>
        <w:spacing w:after="0" w:line="98" w:lineRule="exact"/>
        <w:rPr>
          <w:sz w:val="20"/>
          <w:szCs w:val="20"/>
          <w:color w:val="auto"/>
        </w:rPr>
      </w:pPr>
    </w:p>
    <w:p>
      <w:pPr>
        <w:jc w:val="both"/>
        <w:ind w:firstLine="1505"/>
        <w:spacing w:after="0" w:line="236" w:lineRule="auto"/>
        <w:tabs>
          <w:tab w:leader="none" w:pos="2036"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Independent Legal Counsel</w:t>
      </w:r>
      <w:r>
        <w:rPr>
          <w:rFonts w:ascii="Times New Roman" w:cs="Times New Roman" w:eastAsia="Times New Roman" w:hAnsi="Times New Roman"/>
          <w:sz w:val="22"/>
          <w:szCs w:val="22"/>
          <w:color w:val="auto"/>
        </w:rPr>
        <w:t>. If there has not been a Change in Control, Independent Legal Counsel shall be selected by the board of directors of the Company and approved by Indemnitee (which approval shall not be unreasonably withheld or delayed). If there has been a Change in Control, Independent Legal Counsel shall be selected by Indemnitee and approved by the Company (which approval shall not be unreasonably withheld or delayed). The Company shall pay the fees and expenses of Independent Legal Counsel and indemnify Independent Legal Counsel against any and all expenses (including attorneys’ fees), claims, liabilities and damages arising out of or relating to its engagement.</w:t>
      </w:r>
    </w:p>
    <w:p>
      <w:pPr>
        <w:spacing w:after="0" w:line="73"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Consequences of Determination; Remedies of Indemnitee</w:t>
      </w:r>
      <w:r>
        <w:rPr>
          <w:rFonts w:ascii="Times New Roman" w:cs="Times New Roman" w:eastAsia="Times New Roman" w:hAnsi="Times New Roman"/>
          <w:sz w:val="21"/>
          <w:szCs w:val="21"/>
          <w:color w:val="auto"/>
        </w:rPr>
        <w:t>. The Company shall be bound by and shall have no right to challenge a Favorable Determination. If an Adverse Determination is made, or if for any other reason the Company does not make timely indemnification payments or advances of Expenses, Indemnitee shall have the right to commence a Proceeding before a court of competent jurisdiction to challenge such Adverse Determination and/or to require the Company to make such payments or advances. Indemnitee shall be entitled to be indemnified for all Expenses incurred in connection with such a Proceeding in accordance with Section 3(b) and to have such Expenses advanced by the Company in accordance with Section 4. If Indemnitee fails to timely challenge an Adverse Determination, or if Indemnitee challenges an Adverse Determination and such Adverse Determination has been upheld by a final judgment of a court of competent jurisdiction from which no appeal can be taken, then, to the extent and only to the extent required by such Adverse Determination or final judgment, the Company shall not be obligated to indemnify or advance Expenses to Indemnitee under this Agreement.</w:t>
      </w:r>
    </w:p>
    <w:p>
      <w:pPr>
        <w:spacing w:after="0" w:line="62" w:lineRule="exact"/>
        <w:rPr>
          <w:rFonts w:ascii="Times New Roman" w:cs="Times New Roman" w:eastAsia="Times New Roman" w:hAnsi="Times New Roman"/>
          <w:sz w:val="21"/>
          <w:szCs w:val="21"/>
          <w:color w:val="auto"/>
        </w:rPr>
      </w:pPr>
    </w:p>
    <w:p>
      <w:pPr>
        <w:ind w:right="20" w:firstLine="1505"/>
        <w:spacing w:after="0" w:line="258" w:lineRule="auto"/>
        <w:tabs>
          <w:tab w:leader="none" w:pos="2036"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Presumptions; Burden and Standard of Proof</w:t>
      </w:r>
      <w:r>
        <w:rPr>
          <w:rFonts w:ascii="Times New Roman" w:cs="Times New Roman" w:eastAsia="Times New Roman" w:hAnsi="Times New Roman"/>
          <w:sz w:val="22"/>
          <w:szCs w:val="22"/>
          <w:color w:val="auto"/>
        </w:rPr>
        <w:t>. In connection with any Determination, or any review of any Determination, by any person, including a court:</w:t>
      </w:r>
    </w:p>
    <w:p>
      <w:pPr>
        <w:spacing w:after="0" w:line="50"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shall be a presumption that a Determination is not required.</w:t>
      </w:r>
    </w:p>
    <w:p>
      <w:pPr>
        <w:spacing w:after="0" w:line="98" w:lineRule="exact"/>
        <w:rPr>
          <w:rFonts w:ascii="Times New Roman" w:cs="Times New Roman" w:eastAsia="Times New Roman" w:hAnsi="Times New Roman"/>
          <w:sz w:val="22"/>
          <w:szCs w:val="22"/>
          <w:color w:val="auto"/>
        </w:rPr>
      </w:pPr>
    </w:p>
    <w:p>
      <w:pPr>
        <w:ind w:left="760" w:firstLine="1494"/>
        <w:spacing w:after="0" w:line="258" w:lineRule="auto"/>
        <w:tabs>
          <w:tab w:leader="none" w:pos="2557"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shall be a presumption that Indemnitee has met the applicable standard of conduct and that indemnification of Indemnitee is proper in the circumstances.</w:t>
      </w:r>
    </w:p>
    <w:p>
      <w:pPr>
        <w:spacing w:after="0" w:line="50" w:lineRule="exact"/>
        <w:rPr>
          <w:sz w:val="20"/>
          <w:szCs w:val="20"/>
          <w:color w:val="auto"/>
        </w:rPr>
      </w:pPr>
    </w:p>
    <w:p>
      <w:pPr>
        <w:jc w:val="both"/>
        <w:ind w:left="760" w:firstLine="1497"/>
        <w:spacing w:after="0" w:line="282" w:lineRule="auto"/>
        <w:rPr>
          <w:sz w:val="20"/>
          <w:szCs w:val="20"/>
          <w:color w:val="auto"/>
        </w:rPr>
      </w:pPr>
      <w:r>
        <w:rPr>
          <w:rFonts w:ascii="Times New Roman" w:cs="Times New Roman" w:eastAsia="Times New Roman" w:hAnsi="Times New Roman"/>
          <w:sz w:val="21"/>
          <w:szCs w:val="21"/>
          <w:color w:val="auto"/>
        </w:rPr>
        <w:t>(iii)The burden of proof shall be on the Company to overcome the presumptions set forth in the preceding clauses (i) and (ii), and each such presumption shall only be overcome if the Company establishes otherwise.</w:t>
      </w:r>
    </w:p>
    <w:p>
      <w:pPr>
        <w:spacing w:after="0" w:line="27" w:lineRule="exact"/>
        <w:rPr>
          <w:sz w:val="20"/>
          <w:szCs w:val="20"/>
          <w:color w:val="auto"/>
        </w:rPr>
      </w:pPr>
    </w:p>
    <w:p>
      <w:pPr>
        <w:jc w:val="both"/>
        <w:ind w:left="760" w:firstLine="1497"/>
        <w:spacing w:after="0" w:line="244" w:lineRule="auto"/>
        <w:rPr>
          <w:sz w:val="20"/>
          <w:szCs w:val="20"/>
          <w:color w:val="auto"/>
        </w:rPr>
      </w:pPr>
      <w:r>
        <w:rPr>
          <w:rFonts w:ascii="Times New Roman" w:cs="Times New Roman" w:eastAsia="Times New Roman" w:hAnsi="Times New Roman"/>
          <w:sz w:val="22"/>
          <w:szCs w:val="22"/>
          <w:color w:val="auto"/>
        </w:rPr>
        <w:t xml:space="preserve">(iv)The termination of any Proceeding by judgment, order, finding, settlement (whether with or without court approval) or conviction, or upon a plea of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or its equivalent, shall not create a presumption that indemnification is not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6</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NUMPAGES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22"/>
          <w:szCs w:val="22"/>
          <w:color w:val="auto"/>
        </w:rPr>
        <w:t>proper or that Indemnitee did not meet the applicable standard of conduct or that a court has determined that indemnification is not permitted by this Agreement or otherwise.</w:t>
      </w:r>
    </w:p>
    <w:p>
      <w:pPr>
        <w:spacing w:after="0" w:line="50" w:lineRule="exact"/>
        <w:rPr>
          <w:sz w:val="20"/>
          <w:szCs w:val="20"/>
          <w:color w:val="auto"/>
        </w:rPr>
      </w:pPr>
    </w:p>
    <w:p>
      <w:pPr>
        <w:jc w:val="both"/>
        <w:ind w:left="760" w:firstLine="1494"/>
        <w:spacing w:after="0" w:line="239" w:lineRule="auto"/>
        <w:tabs>
          <w:tab w:leader="none" w:pos="2557" w:val="left"/>
        </w:tabs>
        <w:numPr>
          <w:ilvl w:val="2"/>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Neither the failure of any person or persons to have made a Determination nor an Adverse Determination by any person or persons shall be a defense to Indemnitee’s claim or create a presumption that Indemnitee did not meet the applicable standard of conduct, and any Proceeding commenced by Indemnitee pursuant to Section 5(1) shall be </w:t>
      </w:r>
      <w:r>
        <w:rPr>
          <w:rFonts w:ascii="Times New Roman" w:cs="Times New Roman" w:eastAsia="Times New Roman" w:hAnsi="Times New Roman"/>
          <w:sz w:val="22"/>
          <w:szCs w:val="22"/>
          <w:i w:val="1"/>
          <w:iCs w:val="1"/>
          <w:color w:val="auto"/>
        </w:rPr>
        <w:t>de novo</w:t>
      </w:r>
      <w:r>
        <w:rPr>
          <w:rFonts w:ascii="Times New Roman" w:cs="Times New Roman" w:eastAsia="Times New Roman" w:hAnsi="Times New Roman"/>
          <w:sz w:val="22"/>
          <w:szCs w:val="22"/>
          <w:color w:val="auto"/>
        </w:rPr>
        <w:t xml:space="preserve"> with respect to all determinations of fact and law.</w:t>
      </w:r>
    </w:p>
    <w:p>
      <w:pPr>
        <w:spacing w:after="0" w:line="72"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Directors and Officers Liability Insurance</w:t>
      </w: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Maintenance of Insurance</w:t>
      </w:r>
      <w:r>
        <w:rPr>
          <w:rFonts w:ascii="Times New Roman" w:cs="Times New Roman" w:eastAsia="Times New Roman" w:hAnsi="Times New Roman"/>
          <w:sz w:val="22"/>
          <w:szCs w:val="22"/>
          <w:color w:val="auto"/>
        </w:rPr>
        <w:t>. So long as the Company or any of its subsidiaries maintains liability insurance for any directors, officers, employees or agents of any such person, the Company shall ensure that Indemnitee is covered by such insurance in such a manner as to provide Indemnitee the same rights and benefits as are accorded to the most favorably insured of the Company’s and its subsidiaries’ then current directors and officers. If at any date (i) such insurance ceases to cover acts and omissions occurring during all or any part of the period of Indemnitee’s Corporate Status or (ii) neither the Company nor any of its subsidiaries maintains any such insurance, the Company shall ensure that Indemnitee is covered, with respect to acts and omissions prior to such date, for at least six years (or such shorter period as is available on commercially reasonable terms) from such date, by other directors and officers liability insurance, in amounts and on terms (including the portion of the period of Indemnitee’s Corporate Status covered) no less favorable to Indemnitee than the amounts and terms of the liability insurance maintained by the Company on the date hereof.</w:t>
      </w:r>
    </w:p>
    <w:p>
      <w:pPr>
        <w:spacing w:after="0" w:line="71"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to Insurers</w:t>
      </w:r>
      <w:r>
        <w:rPr>
          <w:rFonts w:ascii="Times New Roman" w:cs="Times New Roman" w:eastAsia="Times New Roman" w:hAnsi="Times New Roman"/>
          <w:sz w:val="22"/>
          <w:szCs w:val="22"/>
          <w:color w:val="auto"/>
        </w:rPr>
        <w:t>. Upon receipt of notice of a Proceeding pursuant to Section 5(a), the Company shall give or cause to be given prompt notice of such Proceeding to all insurers providing liability insurance in accordance with the procedures set forth in all applicable or potentially applicable policies. The Company shall thereafter take all necessary action to cause such insurers to pay all amounts payable in accordance with the terms of such policies.</w:t>
      </w:r>
    </w:p>
    <w:p>
      <w:pPr>
        <w:spacing w:after="0" w:line="72" w:lineRule="exact"/>
        <w:rPr>
          <w:rFonts w:ascii="Times New Roman" w:cs="Times New Roman" w:eastAsia="Times New Roman" w:hAnsi="Times New Roman"/>
          <w:sz w:val="22"/>
          <w:szCs w:val="22"/>
          <w:color w:val="auto"/>
        </w:rPr>
      </w:pPr>
    </w:p>
    <w:p>
      <w:pPr>
        <w:jc w:val="both"/>
        <w:ind w:firstLine="757"/>
        <w:spacing w:after="0" w:line="246" w:lineRule="auto"/>
        <w:tabs>
          <w:tab w:leader="none" w:pos="1018"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Limitation of Liability</w:t>
      </w:r>
      <w:r>
        <w:rPr>
          <w:rFonts w:ascii="Times New Roman" w:cs="Times New Roman" w:eastAsia="Times New Roman" w:hAnsi="Times New Roman"/>
          <w:sz w:val="21"/>
          <w:szCs w:val="21"/>
          <w:color w:val="auto"/>
        </w:rPr>
        <w:t xml:space="preserve">. Indemnitee shall not be personally liable to the Company or any of its subsidiaries or to the stockholders of the Company or any such subsidiary for monetary damages for breach of fiduciary duty as a director of the Company or any such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foregoing shall not eliminate or limit the liability of the Indemnitee (</w:t>
      </w:r>
      <w:r>
        <w:rPr>
          <w:rFonts w:ascii="Times New Roman" w:cs="Times New Roman" w:eastAsia="Times New Roman" w:hAnsi="Times New Roman"/>
          <w:sz w:val="21"/>
          <w:szCs w:val="21"/>
          <w:u w:val="single" w:color="auto"/>
          <w:color w:val="auto"/>
        </w:rPr>
        <w:t>i</w:t>
      </w:r>
      <w:r>
        <w:rPr>
          <w:rFonts w:ascii="Times New Roman" w:cs="Times New Roman" w:eastAsia="Times New Roman" w:hAnsi="Times New Roman"/>
          <w:sz w:val="21"/>
          <w:szCs w:val="21"/>
          <w:color w:val="auto"/>
        </w:rPr>
        <w:t>) for any breach of the Indemnitee’s duty of loyalty to the Company or such subsidiary or the stockholders thereof;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for acts or omissions not in good faith or which involve intentional misconduct or a knowing violation of the law; (</w:t>
      </w:r>
      <w:r>
        <w:rPr>
          <w:rFonts w:ascii="Times New Roman" w:cs="Times New Roman" w:eastAsia="Times New Roman" w:hAnsi="Times New Roman"/>
          <w:sz w:val="21"/>
          <w:szCs w:val="21"/>
          <w:u w:val="single" w:color="auto"/>
          <w:color w:val="auto"/>
        </w:rPr>
        <w:t>iii</w:t>
      </w:r>
      <w:r>
        <w:rPr>
          <w:rFonts w:ascii="Times New Roman" w:cs="Times New Roman" w:eastAsia="Times New Roman" w:hAnsi="Times New Roman"/>
          <w:sz w:val="21"/>
          <w:szCs w:val="21"/>
          <w:color w:val="auto"/>
        </w:rPr>
        <w:t>) under Section 174 of the DGCL or any similar provision of other applicable corporations law; or (</w:t>
      </w:r>
      <w:r>
        <w:rPr>
          <w:rFonts w:ascii="Times New Roman" w:cs="Times New Roman" w:eastAsia="Times New Roman" w:hAnsi="Times New Roman"/>
          <w:sz w:val="21"/>
          <w:szCs w:val="21"/>
          <w:u w:val="single" w:color="auto"/>
          <w:color w:val="auto"/>
        </w:rPr>
        <w:t>iv</w:t>
      </w:r>
      <w:r>
        <w:rPr>
          <w:rFonts w:ascii="Times New Roman" w:cs="Times New Roman" w:eastAsia="Times New Roman" w:hAnsi="Times New Roman"/>
          <w:sz w:val="21"/>
          <w:szCs w:val="21"/>
          <w:color w:val="auto"/>
        </w:rPr>
        <w:t>) for any transaction from which the Indemnitee derived an improper personal benefit. If the DGCL or such other applicable law shall be amended to permit further elimination or limitation of the personal liability of directors, then the liability of the Indemnitee shall, automatically, without any further action, be eliminated or limited to the fullest extent permitted by the DGCL or such other applicable law as so amended.</w:t>
      </w:r>
    </w:p>
    <w:p>
      <w:pPr>
        <w:spacing w:after="0" w:line="67" w:lineRule="exact"/>
        <w:rPr>
          <w:rFonts w:ascii="Times New Roman" w:cs="Times New Roman" w:eastAsia="Times New Roman" w:hAnsi="Times New Roman"/>
          <w:sz w:val="21"/>
          <w:szCs w:val="21"/>
          <w:color w:val="auto"/>
        </w:rPr>
      </w:pPr>
    </w:p>
    <w:p>
      <w:pPr>
        <w:ind w:left="1020" w:hanging="263"/>
        <w:spacing w:after="0"/>
        <w:tabs>
          <w:tab w:leader="none" w:pos="102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Non-Circumvention</w:t>
      </w:r>
      <w:r>
        <w:rPr>
          <w:rFonts w:ascii="Times New Roman" w:cs="Times New Roman" w:eastAsia="Times New Roman" w:hAnsi="Times New Roman"/>
          <w:sz w:val="22"/>
          <w:szCs w:val="22"/>
          <w:color w:val="auto"/>
        </w:rPr>
        <w:t>. The Company shall not seek or agree to any order of any court or other governmental authority that would prohibit or otherwise interfere, and shall not take or fail to take any other action if such action or failure would reasonably be expected to have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7</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NUMPAGES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effect of prohibiting or otherwise interfering, with the performance of the Company’s indemnification, advancement or other obligations under this Agreement.</w:t>
      </w:r>
    </w:p>
    <w:p>
      <w:pPr>
        <w:spacing w:after="0" w:line="50" w:lineRule="exact"/>
        <w:rPr>
          <w:sz w:val="20"/>
          <w:szCs w:val="20"/>
          <w:color w:val="auto"/>
        </w:rPr>
      </w:pPr>
    </w:p>
    <w:p>
      <w:pPr>
        <w:jc w:val="both"/>
        <w:ind w:firstLine="1505"/>
        <w:spacing w:after="0" w:line="234" w:lineRule="auto"/>
        <w:tabs>
          <w:tab w:leader="none" w:pos="2036"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or provisions of this Agreement shall be held to be invalid, illegal or unenforceable. for any reason whatsoever: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such provision or provisions shall be deemed reformed to the extent necessary to conform to applicable law and to give the maximum effect to the intent of the parties hereto; and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75"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demands and other communications under this Agreement shall be in writing and shall be deemed duly given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on the date of delivery if delivered personally, or by facsimile, upon confirmation of receipt,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on the first business day following the date of dispatch if delivered by a recognized next-day courier service or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on the third business day following the date of mailing if delivered by domestic registered or certified mail, properly addressed, or on the fifth business day following the date of mailing if sent by airmail from a country outside of North America, to Indemnitee at the address shown on the signature page of this Agreement, to the Company at the address shown on the signature page of this Agreement, or in either case as subsequently modified by written notice.</w:t>
      </w:r>
    </w:p>
    <w:p>
      <w:pPr>
        <w:spacing w:after="0" w:line="75"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and Termination</w:t>
      </w:r>
      <w:r>
        <w:rPr>
          <w:rFonts w:ascii="Times New Roman" w:cs="Times New Roman" w:eastAsia="Times New Roman" w:hAnsi="Times New Roman"/>
          <w:sz w:val="22"/>
          <w:szCs w:val="22"/>
          <w:color w:val="auto"/>
        </w:rPr>
        <w:t>. No amendment, modification, termination or cancellation of this Agreement shall be effective unless it is in writing signed by all the parties hereto. No waiver of any of the provisions of this Agreement shall be deemed or shall constitute a waiver of any other provisions hereof (whether or not similar), nor shall such waiver constitute a continuing waiver.</w:t>
      </w:r>
    </w:p>
    <w:p>
      <w:pPr>
        <w:spacing w:after="0" w:line="72"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This Agreement shall be binding upon the Company and its respective successors and assigns, including without limitation any acquiror of all or substantially all of the Company’s assets or business, any person (as such term is used in Sections 13(d) and 14(d) of the Securities Exchange Act of 1934, as amended) that acquires beneficial ownership of securities of the Company representing more than 35% of the total voting power represented by the Company’s then outstanding Voting Securities, and any survivor of any merger or consolidation to which the Company is party. The Company shall require and cause any such successor, by written agreement in form and substance satisfactory to Indemnitee, expressly to assume and agree to perform this Agreement as if it were named as the Company herein, and the Company shall not permit any such purchase of assets or business, acquisition of securities or merger or consolidation to occur until such written agreement has been executed and delivered. No such assumption and agreement shall relieve the Company of any of its obligations hereunder, and this Agreement shall not otherwise be assignable by the Company. This Agreement is personal in nature and neither of the parties hereto shall, without the consent of the other, assign or delegate this Agreement or any rights or obligations. Without limiting the generality or effect of the foregoing, Indemnitee’s right to receive payments hereunder shall not be assignable, whether by pledge, creation of a security interest or otherwise, other than by a transfer by the Indemnitee’s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8</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NUMPAGES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will or by estate law, and, in the event of any attempted assignment or transfer contrary to this Section 8(e), the Company shall have no liability to pay any amount so attempted to be assigned or transferred.</w:t>
      </w:r>
    </w:p>
    <w:p>
      <w:pPr>
        <w:spacing w:after="0" w:line="50" w:lineRule="exact"/>
        <w:rPr>
          <w:sz w:val="20"/>
          <w:szCs w:val="20"/>
          <w:color w:val="auto"/>
        </w:rPr>
      </w:pPr>
    </w:p>
    <w:p>
      <w:pPr>
        <w:jc w:val="both"/>
        <w:ind w:firstLine="1505"/>
        <w:spacing w:after="0" w:line="236" w:lineRule="auto"/>
        <w:tabs>
          <w:tab w:leader="none" w:pos="2036"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 Consent to Jurisdiction</w:t>
      </w:r>
      <w:r>
        <w:rPr>
          <w:rFonts w:ascii="Times New Roman" w:cs="Times New Roman" w:eastAsia="Times New Roman" w:hAnsi="Times New Roman"/>
          <w:sz w:val="22"/>
          <w:szCs w:val="22"/>
          <w:color w:val="auto"/>
        </w:rPr>
        <w:t>. This Agreement shall be governed by and its provisions construed in accordance with the laws of the State of Delaware, as applied to contracts between Delaware residents entered into and to be performed entirely within Delaware, without regard to the conflict of law principles thereof. The Company and Indemnitee each hereby irrevocably consents to the jurisdiction of the courts of the State of Delaware for all purposes in connection with any Proceeding which arises out of or relates to this Agreement and agree that any action instituted under this Agreement shall be brought only in the state courts of the State of Delaware.</w:t>
      </w:r>
    </w:p>
    <w:p>
      <w:pPr>
        <w:spacing w:after="0" w:line="73"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 and Entire Agreement</w:t>
      </w:r>
      <w:r>
        <w:rPr>
          <w:rFonts w:ascii="Times New Roman" w:cs="Times New Roman" w:eastAsia="Times New Roman" w:hAnsi="Times New Roman"/>
          <w:sz w:val="22"/>
          <w:szCs w:val="22"/>
          <w:color w:val="auto"/>
        </w:rPr>
        <w:t>. This Agreement sets forth the entire understanding between the parties hereto and supersedes and merges all previous written and oral negotiations, commitments, understandings and agreements relating to the subject matter hereof between the parties hereto, provided that the provisions hereof shall not supersede the provisions of the Company’s certificate of incorporation, bylaws or other organizational agreement or instrument, any other agreement, any vote of stockholders or directors, the DGCL or other applicable law, to the extent any such provisions shall be more favorable to Indemnitee than the provisions hereof.</w:t>
      </w:r>
    </w:p>
    <w:p>
      <w:pPr>
        <w:spacing w:after="0" w:line="7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shall</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constitute an original.</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this page intentionally left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9</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NUMPAGES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color w:val="auto"/>
        </w:rPr>
        <w:t>Exhibit 10.13</w:t>
      </w:r>
    </w:p>
    <w:p>
      <w:pPr>
        <w:spacing w:after="0" w:line="200" w:lineRule="exact"/>
        <w:rPr>
          <w:sz w:val="20"/>
          <w:szCs w:val="20"/>
          <w:color w:val="auto"/>
        </w:rPr>
      </w:pPr>
    </w:p>
    <w:p>
      <w:pPr>
        <w:spacing w:after="0" w:line="2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4"/>
          <w:szCs w:val="14"/>
          <w:color w:val="auto"/>
        </w:rPr>
        <w:t>n</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itness</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hereof</w:t>
      </w:r>
      <w:r>
        <w:rPr>
          <w:rFonts w:ascii="Times New Roman" w:cs="Times New Roman" w:eastAsia="Times New Roman" w:hAnsi="Times New Roman"/>
          <w:sz w:val="22"/>
          <w:szCs w:val="22"/>
          <w:color w:val="auto"/>
        </w:rPr>
        <w:t>, the parties hereto have executed this Agreement as of the date first above written.</w:t>
      </w:r>
    </w:p>
    <w:p>
      <w:pPr>
        <w:spacing w:after="0" w:line="20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LSB INDUSTRIES,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953770</wp:posOffset>
            </wp:positionH>
            <wp:positionV relativeFrom="paragraph">
              <wp:posOffset>-22860</wp:posOffset>
            </wp:positionV>
            <wp:extent cx="1485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02">
                      <a:extLst>
                        <a:ext uri="{28A0092B-C50C-407E-A947-70E740481C1C}"/>
                      </a:extLst>
                    </a:blip>
                    <a:srcRect/>
                    <a:stretch>
                      <a:fillRect/>
                    </a:stretch>
                  </pic:blipFill>
                  <pic:spPr bwMode="auto">
                    <a:xfrm>
                      <a:off x="0" y="0"/>
                      <a:ext cx="148590" cy="8255"/>
                    </a:xfrm>
                    <a:prstGeom prst="rect">
                      <a:avLst/>
                    </a:prstGeom>
                    <a:noFill/>
                  </pic:spPr>
                </pic:pic>
              </a:graphicData>
            </a:graphic>
          </wp:anchor>
        </w:drawing>
      </w:r>
    </w:p>
    <w:p>
      <w:pPr>
        <w:ind w:left="88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885190</wp:posOffset>
            </wp:positionH>
            <wp:positionV relativeFrom="paragraph">
              <wp:posOffset>-29210</wp:posOffset>
            </wp:positionV>
            <wp:extent cx="21717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03">
                      <a:extLst>
                        <a:ext uri="{28A0092B-C50C-407E-A947-70E740481C1C}"/>
                      </a:extLst>
                    </a:blip>
                    <a:srcRect/>
                    <a:stretch>
                      <a:fillRect/>
                    </a:stretch>
                  </pic:blipFill>
                  <pic:spPr bwMode="auto">
                    <a:xfrm>
                      <a:off x="0" y="0"/>
                      <a:ext cx="2171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greed to and</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ccepted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4"/>
          <w:szCs w:val="14"/>
          <w:color w:val="auto"/>
        </w:rPr>
        <w:t>ndemnitee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-13970</wp:posOffset>
            </wp:positionV>
            <wp:extent cx="28194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04">
                      <a:extLst>
                        <a:ext uri="{28A0092B-C50C-407E-A947-70E740481C1C}"/>
                      </a:extLst>
                    </a:blip>
                    <a:srcRect/>
                    <a:stretch>
                      <a:fillRect/>
                    </a:stretch>
                  </pic:blipFill>
                  <pic:spPr bwMode="auto">
                    <a:xfrm>
                      <a:off x="0" y="0"/>
                      <a:ext cx="28194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-22860</wp:posOffset>
            </wp:positionV>
            <wp:extent cx="38862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05">
                      <a:extLst>
                        <a:ext uri="{28A0092B-C50C-407E-A947-70E740481C1C}"/>
                      </a:extLst>
                    </a:blip>
                    <a:srcRect/>
                    <a:stretch>
                      <a:fillRect/>
                    </a:stretch>
                  </pic:blipFill>
                  <pic:spPr bwMode="auto">
                    <a:xfrm>
                      <a:off x="0" y="0"/>
                      <a:ext cx="388620" cy="8255"/>
                    </a:xfrm>
                    <a:prstGeom prst="rect">
                      <a:avLst/>
                    </a:prstGeom>
                    <a:noFill/>
                  </pic:spPr>
                </pic:pic>
              </a:graphicData>
            </a:graphic>
          </wp:anchor>
        </w:drawing>
      </w:r>
    </w:p>
    <w:p>
      <w:pPr>
        <w:spacing w:after="0"/>
        <w:tabs>
          <w:tab w:leader="none" w:pos="6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Director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-13970</wp:posOffset>
            </wp:positionV>
            <wp:extent cx="26670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06">
                      <a:extLst>
                        <a:ext uri="{28A0092B-C50C-407E-A947-70E740481C1C}"/>
                      </a:extLst>
                    </a:blip>
                    <a:srcRect/>
                    <a:stretch>
                      <a:fillRect/>
                    </a:stretch>
                  </pic:blipFill>
                  <pic:spPr bwMode="auto">
                    <a:xfrm>
                      <a:off x="0" y="0"/>
                      <a:ext cx="266700" cy="8255"/>
                    </a:xfrm>
                    <a:prstGeom prst="rect">
                      <a:avLst/>
                    </a:prstGeom>
                    <a:noFill/>
                  </pic:spPr>
                </pic:pic>
              </a:graphicData>
            </a:graphic>
          </wp:anchor>
        </w:drawing>
        <w:drawing>
          <wp:anchor simplePos="0" relativeHeight="251657728" behindDoc="1" locked="0" layoutInCell="0" allowOverlap="1">
            <wp:simplePos x="0" y="0"/>
            <wp:positionH relativeFrom="column">
              <wp:posOffset>659130</wp:posOffset>
            </wp:positionH>
            <wp:positionV relativeFrom="paragraph">
              <wp:posOffset>139700</wp:posOffset>
            </wp:positionV>
            <wp:extent cx="27432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07">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659130</wp:posOffset>
            </wp:positionH>
            <wp:positionV relativeFrom="paragraph">
              <wp:posOffset>294005</wp:posOffset>
            </wp:positionV>
            <wp:extent cx="27432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0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Director Indemnification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22"/>
          <w:szCs w:val="22"/>
          <w:color w:val="auto"/>
        </w:rPr>
        <w:t>Exhibit 10.40</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LSB Funding LLC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SBT Investors LLC</w:t>
      </w:r>
    </w:p>
    <w:p>
      <w:pPr>
        <w:jc w:val="center"/>
        <w:spacing w:after="0"/>
        <w:rPr>
          <w:sz w:val="20"/>
          <w:szCs w:val="20"/>
          <w:color w:val="auto"/>
        </w:rPr>
      </w:pPr>
      <w:r>
        <w:rPr>
          <w:rFonts w:ascii="Times New Roman" w:cs="Times New Roman" w:eastAsia="Times New Roman" w:hAnsi="Times New Roman"/>
          <w:sz w:val="20"/>
          <w:szCs w:val="20"/>
          <w:color w:val="auto"/>
        </w:rPr>
        <w:t>600 Steamboat Road, Suite 200</w:t>
      </w:r>
    </w:p>
    <w:p>
      <w:pPr>
        <w:jc w:val="center"/>
        <w:spacing w:after="0"/>
        <w:rPr>
          <w:sz w:val="20"/>
          <w:szCs w:val="20"/>
          <w:color w:val="auto"/>
        </w:rPr>
      </w:pPr>
      <w:r>
        <w:rPr>
          <w:rFonts w:ascii="Times New Roman" w:cs="Times New Roman" w:eastAsia="Times New Roman" w:hAnsi="Times New Roman"/>
          <w:sz w:val="20"/>
          <w:szCs w:val="20"/>
          <w:color w:val="auto"/>
        </w:rPr>
        <w:t>Greenwich, Connecticut 06830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November 14,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LSB Industries, Inc.</w:t>
      </w:r>
    </w:p>
    <w:p>
      <w:pPr>
        <w:spacing w:after="0" w:line="212" w:lineRule="auto"/>
        <w:rPr>
          <w:sz w:val="20"/>
          <w:szCs w:val="20"/>
          <w:color w:val="auto"/>
        </w:rPr>
      </w:pPr>
      <w:r>
        <w:rPr>
          <w:rFonts w:ascii="Times New Roman" w:cs="Times New Roman" w:eastAsia="Times New Roman" w:hAnsi="Times New Roman"/>
          <w:sz w:val="20"/>
          <w:szCs w:val="20"/>
          <w:color w:val="auto"/>
        </w:rPr>
        <w:t>3503 NW 63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20"/>
          <w:szCs w:val="20"/>
          <w:color w:val="auto"/>
        </w:rPr>
        <w:t xml:space="preserve"> Street, Suite 500</w:t>
      </w:r>
    </w:p>
    <w:p>
      <w:pPr>
        <w:spacing w:after="0"/>
        <w:rPr>
          <w:sz w:val="20"/>
          <w:szCs w:val="20"/>
          <w:color w:val="auto"/>
        </w:rPr>
      </w:pPr>
      <w:r>
        <w:rPr>
          <w:rFonts w:ascii="Times New Roman" w:cs="Times New Roman" w:eastAsia="Times New Roman" w:hAnsi="Times New Roman"/>
          <w:sz w:val="20"/>
          <w:szCs w:val="20"/>
          <w:color w:val="auto"/>
        </w:rPr>
        <w:t>Oklahoma City, Oklahoma 73107</w:t>
      </w:r>
    </w:p>
    <w:p>
      <w:pPr>
        <w:spacing w:after="0"/>
        <w:rPr>
          <w:sz w:val="20"/>
          <w:szCs w:val="20"/>
          <w:color w:val="auto"/>
        </w:rPr>
      </w:pPr>
      <w:r>
        <w:rPr>
          <w:rFonts w:ascii="Times New Roman" w:cs="Times New Roman" w:eastAsia="Times New Roman" w:hAnsi="Times New Roman"/>
          <w:sz w:val="20"/>
          <w:szCs w:val="20"/>
          <w:color w:val="auto"/>
        </w:rPr>
        <w:t>Attention: Michael J. Foster,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 Registration Rights Agreement; Securities Exchange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This letter agreement is being entered into as of the date first listed above by and among LSB Industries,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LSB Funding LLC, a Delaware limited liability company (“</w:t>
      </w:r>
      <w:r>
        <w:rPr>
          <w:rFonts w:ascii="Times New Roman" w:cs="Times New Roman" w:eastAsia="Times New Roman" w:hAnsi="Times New Roman"/>
          <w:sz w:val="20"/>
          <w:szCs w:val="20"/>
          <w:u w:val="single" w:color="auto"/>
          <w:color w:val="auto"/>
        </w:rPr>
        <w:t>LSB Funding</w:t>
      </w:r>
      <w:r>
        <w:rPr>
          <w:rFonts w:ascii="Times New Roman" w:cs="Times New Roman" w:eastAsia="Times New Roman" w:hAnsi="Times New Roman"/>
          <w:sz w:val="20"/>
          <w:szCs w:val="20"/>
          <w:color w:val="auto"/>
        </w:rPr>
        <w:t>”), SBT Investors LLC, a Delaware limited liability company (“</w:t>
      </w:r>
      <w:r>
        <w:rPr>
          <w:rFonts w:ascii="Times New Roman" w:cs="Times New Roman" w:eastAsia="Times New Roman" w:hAnsi="Times New Roman"/>
          <w:sz w:val="20"/>
          <w:szCs w:val="20"/>
          <w:u w:val="single" w:color="auto"/>
          <w:color w:val="auto"/>
        </w:rPr>
        <w:t>SBT Investors</w:t>
      </w:r>
      <w:r>
        <w:rPr>
          <w:rFonts w:ascii="Times New Roman" w:cs="Times New Roman" w:eastAsia="Times New Roman" w:hAnsi="Times New Roman"/>
          <w:sz w:val="20"/>
          <w:szCs w:val="20"/>
          <w:color w:val="auto"/>
        </w:rPr>
        <w:t>”), and TLB-LSB, LLC , a Delaware limited liability company (“</w:t>
      </w:r>
      <w:r>
        <w:rPr>
          <w:rFonts w:ascii="Times New Roman" w:cs="Times New Roman" w:eastAsia="Times New Roman" w:hAnsi="Times New Roman"/>
          <w:sz w:val="20"/>
          <w:szCs w:val="20"/>
          <w:u w:val="single" w:color="auto"/>
          <w:color w:val="auto"/>
        </w:rPr>
        <w:t>TLB-LSB</w:t>
      </w:r>
      <w:r>
        <w:rPr>
          <w:rFonts w:ascii="Times New Roman" w:cs="Times New Roman" w:eastAsia="Times New Roman" w:hAnsi="Times New Roman"/>
          <w:sz w:val="20"/>
          <w:szCs w:val="20"/>
          <w:color w:val="auto"/>
        </w:rPr>
        <w:t>”), in connection with the pro rata distribution in kind by LSB Funding and SBT Investors of shares of the Company’s common stock, par value $0.10 per share (“</w:t>
      </w:r>
      <w:r>
        <w:rPr>
          <w:rFonts w:ascii="Times New Roman" w:cs="Times New Roman" w:eastAsia="Times New Roman" w:hAnsi="Times New Roman"/>
          <w:sz w:val="20"/>
          <w:szCs w:val="20"/>
          <w:u w:val="single" w:color="auto"/>
          <w:color w:val="auto"/>
        </w:rPr>
        <w:t>Common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Stock</w:t>
      </w:r>
      <w:r>
        <w:rPr>
          <w:rFonts w:ascii="Times New Roman" w:cs="Times New Roman" w:eastAsia="Times New Roman" w:hAnsi="Times New Roman"/>
          <w:sz w:val="20"/>
          <w:szCs w:val="20"/>
          <w:color w:val="auto"/>
        </w:rPr>
        <w:t>”), and related subsequent pro rata distributions in kind by certain of their direct and indirect parent companies and members to their respective members, partners or stockholders (collectively, the “</w:t>
      </w:r>
      <w:r>
        <w:rPr>
          <w:rFonts w:ascii="Times New Roman" w:cs="Times New Roman" w:eastAsia="Times New Roman" w:hAnsi="Times New Roman"/>
          <w:sz w:val="20"/>
          <w:szCs w:val="20"/>
          <w:u w:val="single" w:color="auto"/>
          <w:color w:val="auto"/>
        </w:rPr>
        <w:t>Distribution in Kind</w:t>
      </w:r>
      <w:r>
        <w:rPr>
          <w:rFonts w:ascii="Times New Roman" w:cs="Times New Roman" w:eastAsia="Times New Roman" w:hAnsi="Times New Roman"/>
          <w:sz w:val="20"/>
          <w:szCs w:val="20"/>
          <w:color w:val="auto"/>
        </w:rPr>
        <w:t>”), such Distribution in Kind to occur immediately following the effectiveness of this letter agreement.</w:t>
      </w:r>
    </w:p>
    <w:p>
      <w:pPr>
        <w:spacing w:after="0" w:line="186" w:lineRule="exact"/>
        <w:rPr>
          <w:sz w:val="20"/>
          <w:szCs w:val="20"/>
          <w:color w:val="auto"/>
        </w:rPr>
      </w:pPr>
    </w:p>
    <w:p>
      <w:pPr>
        <w:jc w:val="both"/>
        <w:ind w:firstLine="8"/>
        <w:spacing w:after="0" w:line="254" w:lineRule="auto"/>
        <w:tabs>
          <w:tab w:leader="none" w:pos="261"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Registration Rights Agreement</w:t>
      </w:r>
      <w:r>
        <w:rPr>
          <w:rFonts w:ascii="Times New Roman" w:cs="Times New Roman" w:eastAsia="Times New Roman" w:hAnsi="Times New Roman"/>
          <w:sz w:val="20"/>
          <w:szCs w:val="20"/>
          <w:color w:val="auto"/>
        </w:rPr>
        <w:t>. Reference is made to that certain Registration Rights Agreement, dated as of December 4, 2015, by and between the Company and LSB Funding (as amended, the “</w:t>
      </w:r>
      <w:r>
        <w:rPr>
          <w:rFonts w:ascii="Times New Roman" w:cs="Times New Roman" w:eastAsia="Times New Roman" w:hAnsi="Times New Roman"/>
          <w:sz w:val="20"/>
          <w:szCs w:val="20"/>
          <w:u w:val="single" w:color="auto"/>
          <w:color w:val="auto"/>
        </w:rPr>
        <w:t>Registration Rights Agreement</w:t>
      </w:r>
      <w:r>
        <w:rPr>
          <w:rFonts w:ascii="Times New Roman" w:cs="Times New Roman" w:eastAsia="Times New Roman" w:hAnsi="Times New Roman"/>
          <w:sz w:val="20"/>
          <w:szCs w:val="20"/>
          <w:color w:val="auto"/>
        </w:rPr>
        <w:t>”). Capitalized terms used and not otherwise defined in this Section 1 shall have the respective meanings ascribed to them in the Registration Rights Agreement.</w:t>
      </w:r>
    </w:p>
    <w:p>
      <w:pPr>
        <w:spacing w:after="0" w:line="174" w:lineRule="exact"/>
        <w:rPr>
          <w:rFonts w:ascii="Times New Roman" w:cs="Times New Roman" w:eastAsia="Times New Roman" w:hAnsi="Times New Roman"/>
          <w:sz w:val="20"/>
          <w:szCs w:val="20"/>
          <w:color w:val="auto"/>
        </w:rPr>
      </w:pPr>
    </w:p>
    <w:p>
      <w:pPr>
        <w:jc w:val="both"/>
        <w:ind w:left="760" w:hanging="378"/>
        <w:spacing w:after="0" w:line="255" w:lineRule="auto"/>
        <w:tabs>
          <w:tab w:leader="none" w:pos="760" w:val="left"/>
        </w:tabs>
        <w:numPr>
          <w:ilvl w:val="1"/>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Registration Rights Transfer</w:t>
      </w:r>
      <w:r>
        <w:rPr>
          <w:rFonts w:ascii="Times New Roman" w:cs="Times New Roman" w:eastAsia="Times New Roman" w:hAnsi="Times New Roman"/>
          <w:sz w:val="19"/>
          <w:szCs w:val="19"/>
          <w:color w:val="auto"/>
        </w:rPr>
        <w:t>. Pursuant to Section 2.11 of the Registration Rights Agreement, each of LSB Funding and SBT Investors hereby gives notice of its intention to transfer (the “</w:t>
      </w:r>
      <w:r>
        <w:rPr>
          <w:rFonts w:ascii="Times New Roman" w:cs="Times New Roman" w:eastAsia="Times New Roman" w:hAnsi="Times New Roman"/>
          <w:sz w:val="19"/>
          <w:szCs w:val="19"/>
          <w:u w:val="single" w:color="auto"/>
          <w:color w:val="auto"/>
        </w:rPr>
        <w:t>Registration Rights Transfer</w:t>
      </w:r>
      <w:r>
        <w:rPr>
          <w:rFonts w:ascii="Times New Roman" w:cs="Times New Roman" w:eastAsia="Times New Roman" w:hAnsi="Times New Roman"/>
          <w:sz w:val="19"/>
          <w:szCs w:val="19"/>
          <w:color w:val="auto"/>
        </w:rPr>
        <w:t>”), immediately following the effectiveness of this letter agreement, its rights under the Registration Rights Agreement, including its rights to cause the Company to register up to an aggregate of 15,263,493 Registrable Securities (the “</w:t>
      </w:r>
      <w:r>
        <w:rPr>
          <w:rFonts w:ascii="Times New Roman" w:cs="Times New Roman" w:eastAsia="Times New Roman" w:hAnsi="Times New Roman"/>
          <w:sz w:val="19"/>
          <w:szCs w:val="19"/>
          <w:u w:val="single" w:color="auto"/>
          <w:color w:val="auto"/>
        </w:rPr>
        <w:t>Specified Securities</w:t>
      </w:r>
      <w:r>
        <w:rPr>
          <w:rFonts w:ascii="Times New Roman" w:cs="Times New Roman" w:eastAsia="Times New Roman" w:hAnsi="Times New Roman"/>
          <w:sz w:val="19"/>
          <w:szCs w:val="19"/>
          <w:color w:val="auto"/>
        </w:rPr>
        <w:t>”), to TLB-LSB, located at 600 Steamboat Road, Suite 200, Greenwich, Connecticut 06830 in connection with the distribution of such Specified Securities to TLB-LSB pursuant to the Distribution in Kind. In connection with the Registration Rights Transfer, LSB Funding, SBT Investors and TLB-LSB each hereby represent and warrant to the Company that (a) the transfer of the Specified Securities to TLB-LSB pursuant to the Distribution in Kind would be permitted for a transfer of “Securities” (as defined in the Securities Purchase Agreement (as defined in the Registration Rights Agreement)) pursuant to Section 7.05 of the Securities Purchase Agreement (as defined in the Registration Rights Agreement), (b) TLB-LSB is an Affiliate of LSB Funding and SBT Investors and, after the Registration Rights Transfer, will continue to be an Affiliate of LSB Funding and SBT Investors, and (c) the Distribution in Kind is being made in compliance with all applicable securities laws. LSB Funding and SBT Investors each further represent that they are not relieved of any obligation or liabilities under the Registration Rights Agreement arising out of events occurring prior to the Registration Rights Transfer. By signature of its authorized representative below, TLB-LSB hereby assumes responsibility for the portion of the obligations of each of LSB Funding and SBT Investors under the Registration Rights Agreement related to the Specified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1005205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30" w:name="page131"/>
    <w:bookmarkEnd w:id="130"/>
    <w:p>
      <w:pPr>
        <w:jc w:val="both"/>
        <w:ind w:firstLine="8"/>
        <w:spacing w:after="0" w:line="254" w:lineRule="auto"/>
        <w:tabs>
          <w:tab w:leader="none" w:pos="211"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Securities Exchange Agreement</w:t>
      </w:r>
      <w:r>
        <w:rPr>
          <w:rFonts w:ascii="Times New Roman" w:cs="Times New Roman" w:eastAsia="Times New Roman" w:hAnsi="Times New Roman"/>
          <w:sz w:val="20"/>
          <w:szCs w:val="20"/>
          <w:color w:val="auto"/>
        </w:rPr>
        <w:t>. Reference is made to that certain Securities Exchange Agreement, dated as of July 19, 2021, by and between the Company and LSB Funding (as amended from time to time, the “</w:t>
      </w:r>
      <w:r>
        <w:rPr>
          <w:rFonts w:ascii="Times New Roman" w:cs="Times New Roman" w:eastAsia="Times New Roman" w:hAnsi="Times New Roman"/>
          <w:sz w:val="20"/>
          <w:szCs w:val="20"/>
          <w:u w:val="single" w:color="auto"/>
          <w:color w:val="auto"/>
        </w:rPr>
        <w:t>Exchange Agreement</w:t>
      </w:r>
      <w:r>
        <w:rPr>
          <w:rFonts w:ascii="Times New Roman" w:cs="Times New Roman" w:eastAsia="Times New Roman" w:hAnsi="Times New Roman"/>
          <w:sz w:val="20"/>
          <w:szCs w:val="20"/>
          <w:color w:val="auto"/>
        </w:rPr>
        <w:t>”). Capitalized terms used and not otherwise defined in this Section 2 shall have the respective meanings ascribed to them in the Exchange Agreement.</w:t>
      </w:r>
    </w:p>
    <w:p>
      <w:pPr>
        <w:spacing w:after="0" w:line="174"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Section 4.6 of the Exchange Agreement, the Company hereby consents to the Distribution in Kind.</w:t>
      </w:r>
    </w:p>
    <w:p>
      <w:pPr>
        <w:spacing w:after="0" w:line="215" w:lineRule="exact"/>
        <w:rPr>
          <w:rFonts w:ascii="Times New Roman" w:cs="Times New Roman" w:eastAsia="Times New Roman" w:hAnsi="Times New Roman"/>
          <w:sz w:val="20"/>
          <w:szCs w:val="20"/>
          <w:color w:val="auto"/>
        </w:rPr>
      </w:pPr>
    </w:p>
    <w:p>
      <w:pPr>
        <w:jc w:val="both"/>
        <w:ind w:left="760" w:hanging="378"/>
        <w:spacing w:after="0" w:line="245" w:lineRule="auto"/>
        <w:tabs>
          <w:tab w:leader="none" w:pos="760"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Section 7.10 of the Exchange Agreement, each of LSB Funding and SBT Investors hereby notifies the Company that it is assigning all of its rights under Sections 4.11, 4.12, 4.13 and 4.14 of the Exchange Agreement to TLB-LSB effective as of immediately following the consummation of the Distribution in Kind. In connection with such assignment, LSB Funding, SBT Investors and TLB-LSB hereby represent and warrant to the Company that TLB-LSB is an Affiliate of LSB Funding and SBT Investors and TLB-LSB is financially capable of performing the obligations of the Holder under the above-referenced sections of the Exchange Agreement.</w:t>
      </w:r>
    </w:p>
    <w:p>
      <w:pPr>
        <w:spacing w:after="0" w:line="184" w:lineRule="exact"/>
        <w:rPr>
          <w:rFonts w:ascii="Times New Roman" w:cs="Times New Roman" w:eastAsia="Times New Roman" w:hAnsi="Times New Roman"/>
          <w:sz w:val="20"/>
          <w:szCs w:val="20"/>
          <w:color w:val="auto"/>
        </w:rPr>
      </w:pPr>
    </w:p>
    <w:p>
      <w:pPr>
        <w:ind w:left="200" w:hanging="192"/>
        <w:spacing w:after="0"/>
        <w:tabs>
          <w:tab w:leader="none" w:pos="20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Representations, Warranties and Acknowledgements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60" w:hanging="378"/>
        <w:spacing w:after="0" w:line="254" w:lineRule="auto"/>
        <w:tabs>
          <w:tab w:leader="none" w:pos="760"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LSB Funding, SBT Investors and the Company hereby agree that no recipient of Common Stock pursuant to the Distribution in Kind other than TLB-LSB is entitled to any registration rights pursuant to the Registration Rights Agreement.</w:t>
      </w:r>
    </w:p>
    <w:p>
      <w:pPr>
        <w:spacing w:after="0" w:line="174" w:lineRule="exact"/>
        <w:rPr>
          <w:rFonts w:ascii="Times New Roman" w:cs="Times New Roman" w:eastAsia="Times New Roman" w:hAnsi="Times New Roman"/>
          <w:sz w:val="20"/>
          <w:szCs w:val="20"/>
          <w:color w:val="auto"/>
        </w:rPr>
      </w:pPr>
    </w:p>
    <w:p>
      <w:pPr>
        <w:ind w:left="260" w:hanging="252"/>
        <w:spacing w:after="0"/>
        <w:tabs>
          <w:tab w:leader="none" w:pos="26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Except for the consents, amendments and modifications expressly made in this letter agreement, the Registration Rights Agreement and the Exchange Agreement shall remain unchanged and in full force and effect in accordance with their terms. By its signature below, each party consents and agrees to the transactions described herein and agrees to execute, acknowledge, deliver, file and record such further certificates, amendments, instruments and documents, and to do all such other acts and things, as may be required by law or as, in the reasonable judgment of the parties hereto, may be necessary or advisable to carry out the intent and purposes of the transactions described in this letter agreement.</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letter agreement, and all claims or causes of action (whether in contract or tort) that may be based upon, arise out of or relate to this letter agreement, will be construed in accordance with and governed by the laws of the State of Delaware without regard to principles of conflicts of laws.</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letter agreement may be executed in any number of counterparts and by different parties hereto in separate counterparts, each of which counterparts, when so executed and delivered, shall be deemed to be an original and all of which counterparts, taken together, shall constitute one and the same agreement.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1032510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1" w:name="page132"/>
    <w:bookmarkEnd w:id="131"/>
    <w:p>
      <w:pPr>
        <w:ind w:left="198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1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0"/>
          <w:szCs w:val="20"/>
          <w:b w:val="1"/>
          <w:bCs w:val="1"/>
          <w:color w:val="auto"/>
        </w:rPr>
        <w:t>LSB FUNDING LLC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Todd L. Boehly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-10795</wp:posOffset>
            </wp:positionV>
            <wp:extent cx="125603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12">
                      <a:extLst>
                        <a:ext uri="{28A0092B-C50C-407E-A947-70E740481C1C}"/>
                      </a:extLst>
                    </a:blip>
                    <a:srcRect/>
                    <a:stretch>
                      <a:fillRect/>
                    </a:stretch>
                  </pic:blipFill>
                  <pic:spPr bwMode="auto">
                    <a:xfrm>
                      <a:off x="0" y="0"/>
                      <a:ext cx="1256030" cy="8890"/>
                    </a:xfrm>
                    <a:prstGeom prst="rect">
                      <a:avLst/>
                    </a:prstGeom>
                    <a:noFill/>
                  </pic:spPr>
                </pic:pic>
              </a:graphicData>
            </a:graphic>
          </wp:anchor>
        </w:drawing>
      </w:r>
    </w:p>
    <w:p>
      <w:pPr>
        <w:spacing w:after="0" w:line="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Name:</w:t>
        <w:tab/>
        <w:t>Todd L. Boehly</w:t>
      </w: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3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SBT INVESTORS LLC</w:t>
      </w:r>
    </w:p>
    <w:p>
      <w:pPr>
        <w:spacing w:after="0" w:line="200" w:lineRule="exact"/>
        <w:rPr>
          <w:sz w:val="20"/>
          <w:szCs w:val="20"/>
          <w:color w:val="auto"/>
        </w:rPr>
      </w:pPr>
    </w:p>
    <w:p>
      <w:pPr>
        <w:spacing w:after="0" w:line="23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By: NZC Capital LLC, its Member Manager</w:t>
      </w:r>
    </w:p>
    <w:p>
      <w:pPr>
        <w:spacing w:after="0" w:line="200" w:lineRule="exact"/>
        <w:rPr>
          <w:sz w:val="20"/>
          <w:szCs w:val="20"/>
          <w:color w:val="auto"/>
        </w:rPr>
      </w:pPr>
    </w:p>
    <w:p>
      <w:pPr>
        <w:spacing w:after="0" w:line="23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0"/>
          <w:szCs w:val="20"/>
          <w:color w:val="auto"/>
        </w:rPr>
        <w:t>By: /s/ Todd L. Boehly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1510030</wp:posOffset>
            </wp:positionH>
            <wp:positionV relativeFrom="paragraph">
              <wp:posOffset>-10795</wp:posOffset>
            </wp:positionV>
            <wp:extent cx="125666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13">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1" w:lineRule="exact"/>
        <w:rPr>
          <w:sz w:val="20"/>
          <w:szCs w:val="20"/>
          <w:color w:val="auto"/>
        </w:rPr>
      </w:pPr>
    </w:p>
    <w:p>
      <w:pPr>
        <w:ind w:left="1980"/>
        <w:spacing w:after="0"/>
        <w:tabs>
          <w:tab w:leader="none" w:pos="2760" w:val="left"/>
        </w:tabs>
        <w:rPr>
          <w:sz w:val="20"/>
          <w:szCs w:val="20"/>
          <w:color w:val="auto"/>
        </w:rPr>
      </w:pPr>
      <w:r>
        <w:rPr>
          <w:rFonts w:ascii="Times New Roman" w:cs="Times New Roman" w:eastAsia="Times New Roman" w:hAnsi="Times New Roman"/>
          <w:sz w:val="20"/>
          <w:szCs w:val="20"/>
          <w:color w:val="auto"/>
        </w:rPr>
        <w:t>Name:</w:t>
        <w:tab/>
        <w:t>Todd L. Boehly</w:t>
      </w:r>
    </w:p>
    <w:p>
      <w:pPr>
        <w:ind w:left="1980"/>
        <w:spacing w:after="0"/>
        <w:tabs>
          <w:tab w:leader="none" w:pos="27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3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0"/>
          <w:szCs w:val="20"/>
          <w:b w:val="1"/>
          <w:bCs w:val="1"/>
          <w:color w:val="auto"/>
        </w:rPr>
        <w:t>TLB-LSB, LLC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Todd L. Boehly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-10795</wp:posOffset>
            </wp:positionV>
            <wp:extent cx="125603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14">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spacing w:after="0" w:line="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Name:</w:t>
        <w:tab/>
        <w:t>Todd L. Boehly</w:t>
      </w: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ind w:right="1359"/>
        <w:spacing w:after="0"/>
        <w:rPr>
          <w:sz w:val="20"/>
          <w:szCs w:val="20"/>
          <w:color w:val="auto"/>
        </w:rPr>
      </w:pPr>
      <w:r>
        <w:rPr>
          <w:rFonts w:ascii="Times New Roman" w:cs="Times New Roman" w:eastAsia="Times New Roman" w:hAnsi="Times New Roman"/>
          <w:sz w:val="14"/>
          <w:szCs w:val="14"/>
          <w:i w:val="1"/>
          <w:iCs w:val="1"/>
          <w:color w:val="auto"/>
        </w:rPr>
        <w:t>[Signature Page to Letter Agreement re: Registration Rights Agreement and Securities 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474980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39"/>
          </w:cols>
          <w:pgMar w:left="720" w:top="1413" w:right="1440"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20"/>
          <w:szCs w:val="20"/>
          <w:color w:val="auto"/>
        </w:rPr>
        <w:t>Consented to, acknowledged and agreed as of the date first set forth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LSB INDUSTRIES,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-10795</wp:posOffset>
            </wp:positionV>
            <wp:extent cx="175895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16">
                      <a:extLst>
                        <a:ext uri="{28A0092B-C50C-407E-A947-70E740481C1C}"/>
                      </a:extLst>
                    </a:blip>
                    <a:srcRect/>
                    <a:stretch>
                      <a:fillRect/>
                    </a:stretch>
                  </pic:blipFill>
                  <pic:spPr bwMode="auto">
                    <a:xfrm>
                      <a:off x="0" y="0"/>
                      <a:ext cx="1758950" cy="8890"/>
                    </a:xfrm>
                    <a:prstGeom prst="rect">
                      <a:avLst/>
                    </a:prstGeom>
                    <a:noFill/>
                  </pic:spPr>
                </pic:pic>
              </a:graphicData>
            </a:graphic>
          </wp:anchor>
        </w:drawing>
      </w:r>
    </w:p>
    <w:p>
      <w:pPr>
        <w:spacing w:after="0" w:line="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Name:</w:t>
        <w:tab/>
        <w:t>Cheryl A. Maguire</w:t>
      </w: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Executive Vice President and Chief Financial Officer</w:t>
      </w:r>
    </w:p>
    <w:p>
      <w:pPr>
        <w:spacing w:after="0" w:line="200" w:lineRule="exact"/>
        <w:rPr>
          <w:sz w:val="20"/>
          <w:szCs w:val="20"/>
          <w:color w:val="auto"/>
        </w:rPr>
      </w:pPr>
    </w:p>
    <w:p>
      <w:pPr>
        <w:spacing w:after="0" w:line="275" w:lineRule="exact"/>
        <w:rPr>
          <w:sz w:val="20"/>
          <w:szCs w:val="20"/>
          <w:color w:val="auto"/>
        </w:rPr>
      </w:pPr>
    </w:p>
    <w:p>
      <w:pPr>
        <w:jc w:val="right"/>
        <w:ind w:right="1359"/>
        <w:spacing w:after="0"/>
        <w:rPr>
          <w:sz w:val="20"/>
          <w:szCs w:val="20"/>
          <w:color w:val="auto"/>
        </w:rPr>
      </w:pPr>
      <w:r>
        <w:rPr>
          <w:rFonts w:ascii="Times New Roman" w:cs="Times New Roman" w:eastAsia="Times New Roman" w:hAnsi="Times New Roman"/>
          <w:sz w:val="14"/>
          <w:szCs w:val="14"/>
          <w:i w:val="1"/>
          <w:iCs w:val="1"/>
          <w:color w:val="auto"/>
        </w:rPr>
        <w:t>[Signature Page to Letter Agreement re: Registration Rights Agreement and Securities 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474980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LSB INDUSTRIES, INC.</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Amended and Approved November 5, 2025</w:t>
      </w:r>
    </w:p>
    <w:p>
      <w:pPr>
        <w:spacing w:after="0" w:line="391" w:lineRule="exact"/>
        <w:rPr>
          <w:sz w:val="20"/>
          <w:szCs w:val="20"/>
          <w:color w:val="auto"/>
        </w:rPr>
      </w:pPr>
    </w:p>
    <w:p>
      <w:pPr>
        <w:ind w:left="920" w:hanging="748"/>
        <w:spacing w:after="0"/>
        <w:tabs>
          <w:tab w:leader="none" w:pos="920" w:val="left"/>
        </w:tabs>
        <w:numPr>
          <w:ilvl w:val="0"/>
          <w:numId w:val="1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INTRODUCTION</w:t>
      </w:r>
    </w:p>
    <w:p>
      <w:pPr>
        <w:spacing w:after="0" w:line="108" w:lineRule="exact"/>
        <w:rPr>
          <w:sz w:val="20"/>
          <w:szCs w:val="20"/>
          <w:color w:val="auto"/>
        </w:rPr>
      </w:pPr>
    </w:p>
    <w:p>
      <w:pPr>
        <w:jc w:val="both"/>
        <w:ind w:firstLine="747"/>
        <w:spacing w:after="0" w:line="273" w:lineRule="auto"/>
        <w:rPr>
          <w:sz w:val="20"/>
          <w:szCs w:val="20"/>
          <w:color w:val="auto"/>
        </w:rPr>
      </w:pPr>
      <w:r>
        <w:rPr>
          <w:rFonts w:ascii="Times New Roman" w:cs="Times New Roman" w:eastAsia="Times New Roman" w:hAnsi="Times New Roman"/>
          <w:sz w:val="20"/>
          <w:szCs w:val="20"/>
          <w:color w:val="auto"/>
        </w:rPr>
        <w:t>This Insider Trading Policy (this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is intended to prevent violations of the federal securities laws and to protect LSB Industries, Inc.’s and its subsidiaries’ (collectively,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reputation for integrity and ethical conduct.</w:t>
      </w:r>
    </w:p>
    <w:p>
      <w:pPr>
        <w:spacing w:after="0" w:line="44" w:lineRule="exact"/>
        <w:rPr>
          <w:sz w:val="20"/>
          <w:szCs w:val="20"/>
          <w:color w:val="auto"/>
        </w:rPr>
      </w:pPr>
    </w:p>
    <w:p>
      <w:pPr>
        <w:jc w:val="both"/>
        <w:ind w:firstLine="74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Insider trading</w:t>
      </w:r>
      <w:r>
        <w:rPr>
          <w:rFonts w:ascii="Times New Roman" w:cs="Times New Roman" w:eastAsia="Times New Roman" w:hAnsi="Times New Roman"/>
          <w:sz w:val="20"/>
          <w:szCs w:val="20"/>
          <w:color w:val="auto"/>
        </w:rPr>
        <w:t>” refers generally to buying or selling a security, in breach of a fiduciary duty or other relationship of trust and confidence, while in possession of material non-public information about the security. Trading includes engaging in short sales, transactions in put or call options, hedging transactions, and other inherently speculative transactions. Insider trading violations may also include “tipping” such information, securities trading by the person “tipped,” and securities trading by those who misappropriate such information.</w:t>
      </w:r>
    </w:p>
    <w:p>
      <w:pPr>
        <w:spacing w:after="0" w:line="68" w:lineRule="exact"/>
        <w:rPr>
          <w:sz w:val="20"/>
          <w:szCs w:val="20"/>
          <w:color w:val="auto"/>
        </w:rPr>
      </w:pPr>
    </w:p>
    <w:p>
      <w:pPr>
        <w:jc w:val="both"/>
        <w:ind w:firstLine="747"/>
        <w:spacing w:after="0" w:line="245" w:lineRule="auto"/>
        <w:rPr>
          <w:sz w:val="20"/>
          <w:szCs w:val="20"/>
          <w:color w:val="auto"/>
        </w:rPr>
      </w:pPr>
      <w:r>
        <w:rPr>
          <w:rFonts w:ascii="Times New Roman" w:cs="Times New Roman" w:eastAsia="Times New Roman" w:hAnsi="Times New Roman"/>
          <w:sz w:val="20"/>
          <w:szCs w:val="20"/>
          <w:color w:val="auto"/>
        </w:rPr>
        <w:t>The scope of insider trading violations can be wide reaching. The U.S.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has brought insider trading cases against corporate officers, directors, and employees who traded the corporation’s securities after learning of significant, confidential corporate developments; friends, business associates, family members, and other “tippees” of such officers, directors, and employees who traded the securities after receiving such information; employees of law, banking, brokerage, and printing firms who were given such information in order to provide services to the corporation whose securities they traded; government employees who learned of such information because of their employment by the government; and other persons who misappropriated, and took advantage of, confidential information from their employers.</w:t>
      </w:r>
    </w:p>
    <w:p>
      <w:pPr>
        <w:spacing w:after="0" w:line="71" w:lineRule="exact"/>
        <w:rPr>
          <w:sz w:val="20"/>
          <w:szCs w:val="20"/>
          <w:color w:val="auto"/>
        </w:rPr>
      </w:pPr>
    </w:p>
    <w:p>
      <w:pPr>
        <w:jc w:val="both"/>
        <w:ind w:firstLine="747"/>
        <w:spacing w:after="0" w:line="245" w:lineRule="auto"/>
        <w:rPr>
          <w:sz w:val="20"/>
          <w:szCs w:val="20"/>
          <w:color w:val="auto"/>
        </w:rPr>
      </w:pPr>
      <w:r>
        <w:rPr>
          <w:rFonts w:ascii="Times New Roman" w:cs="Times New Roman" w:eastAsia="Times New Roman" w:hAnsi="Times New Roman"/>
          <w:sz w:val="20"/>
          <w:szCs w:val="20"/>
          <w:color w:val="auto"/>
        </w:rPr>
        <w:t>An “</w:t>
      </w:r>
      <w:r>
        <w:rPr>
          <w:rFonts w:ascii="Times New Roman" w:cs="Times New Roman" w:eastAsia="Times New Roman" w:hAnsi="Times New Roman"/>
          <w:sz w:val="20"/>
          <w:szCs w:val="20"/>
          <w:b w:val="1"/>
          <w:bCs w:val="1"/>
          <w:i w:val="1"/>
          <w:iCs w:val="1"/>
          <w:color w:val="auto"/>
        </w:rPr>
        <w:t>insider</w:t>
      </w:r>
      <w:r>
        <w:rPr>
          <w:rFonts w:ascii="Times New Roman" w:cs="Times New Roman" w:eastAsia="Times New Roman" w:hAnsi="Times New Roman"/>
          <w:sz w:val="20"/>
          <w:szCs w:val="20"/>
          <w:color w:val="auto"/>
        </w:rPr>
        <w:t xml:space="preserve">” can include officers, directors, major stockholders and employees of an entity whose securities are publicly traded. In general, an insider must not trade for personal gain in the securities of that entity if that person possesses material non-public information about the entity. In addition, an insider who is aware of material non-public information must not disclose such information to family, friends, business or social acquaintances, employees or independent contractors of the entity (unless such employees or independent contractors have a position within the entity giving them a clear right and need to know), and other third parties. </w:t>
      </w:r>
      <w:r>
        <w:rPr>
          <w:rFonts w:ascii="Times New Roman" w:cs="Times New Roman" w:eastAsia="Times New Roman" w:hAnsi="Times New Roman"/>
          <w:sz w:val="20"/>
          <w:szCs w:val="20"/>
          <w:b w:val="1"/>
          <w:bCs w:val="1"/>
          <w:color w:val="auto"/>
        </w:rPr>
        <w:t>An insider is responsible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for assuring that his or her family members comply with insider trading laws. </w:t>
      </w:r>
      <w:r>
        <w:rPr>
          <w:rFonts w:ascii="Times New Roman" w:cs="Times New Roman" w:eastAsia="Times New Roman" w:hAnsi="Times New Roman"/>
          <w:sz w:val="20"/>
          <w:szCs w:val="20"/>
          <w:color w:val="auto"/>
        </w:rPr>
        <w:t>An insider may make trades in the market or discuss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material information only after the material information has been made public.</w:t>
      </w:r>
    </w:p>
    <w:p>
      <w:pPr>
        <w:spacing w:after="0" w:line="179" w:lineRule="exact"/>
        <w:rPr>
          <w:sz w:val="20"/>
          <w:szCs w:val="20"/>
          <w:color w:val="auto"/>
        </w:rPr>
      </w:pPr>
    </w:p>
    <w:p>
      <w:pPr>
        <w:ind w:left="760" w:hanging="752"/>
        <w:spacing w:after="0"/>
        <w:tabs>
          <w:tab w:leader="none" w:pos="760" w:val="left"/>
        </w:tabs>
        <w:numPr>
          <w:ilvl w:val="0"/>
          <w:numId w:val="1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PENALTIES; SANCTIONS</w:t>
      </w:r>
    </w:p>
    <w:p>
      <w:pPr>
        <w:spacing w:after="0" w:line="112" w:lineRule="exact"/>
        <w:rPr>
          <w:sz w:val="20"/>
          <w:szCs w:val="20"/>
          <w:color w:val="auto"/>
        </w:rPr>
      </w:pPr>
    </w:p>
    <w:p>
      <w:pPr>
        <w:jc w:val="both"/>
        <w:ind w:firstLine="747"/>
        <w:spacing w:after="0" w:line="274" w:lineRule="auto"/>
        <w:rPr>
          <w:sz w:val="20"/>
          <w:szCs w:val="20"/>
          <w:color w:val="auto"/>
        </w:rPr>
      </w:pP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Violation of the prohibition on insider trading can result in a prison sentence and civil and criminal fines for the individuals who commit the violation, and civil and criminal fines for the entities that commit the violation. The Company can be subject to a civil monetary penalty even if the directors, officers or employees who committed the violation concealed their activities from the Company.</w:t>
      </w:r>
    </w:p>
    <w:p>
      <w:pPr>
        <w:spacing w:after="0" w:line="48" w:lineRule="exact"/>
        <w:rPr>
          <w:sz w:val="20"/>
          <w:szCs w:val="20"/>
          <w:color w:val="auto"/>
        </w:rPr>
      </w:pPr>
    </w:p>
    <w:p>
      <w:pPr>
        <w:jc w:val="both"/>
        <w:ind w:firstLine="747"/>
        <w:spacing w:after="0" w:line="269" w:lineRule="auto"/>
        <w:rPr>
          <w:sz w:val="20"/>
          <w:szCs w:val="20"/>
          <w:color w:val="auto"/>
        </w:rPr>
      </w:pPr>
      <w:r>
        <w:rPr>
          <w:rFonts w:ascii="Times New Roman" w:cs="Times New Roman" w:eastAsia="Times New Roman" w:hAnsi="Times New Roman"/>
          <w:sz w:val="20"/>
          <w:szCs w:val="20"/>
          <w:u w:val="single" w:color="auto"/>
          <w:color w:val="auto"/>
        </w:rPr>
        <w:t>Bounties</w:t>
      </w:r>
      <w:r>
        <w:rPr>
          <w:rFonts w:ascii="Times New Roman" w:cs="Times New Roman" w:eastAsia="Times New Roman" w:hAnsi="Times New Roman"/>
          <w:sz w:val="20"/>
          <w:szCs w:val="20"/>
          <w:color w:val="auto"/>
        </w:rPr>
        <w:t>. The SEC offers bounties to persons who provide information leading to a successful SEC enforcement action resulting in an order of monetary sanctions exceeding a certain threshold set by the SEC.</w:t>
      </w:r>
    </w:p>
    <w:p>
      <w:pPr>
        <w:spacing w:after="0" w:line="155" w:lineRule="exact"/>
        <w:rPr>
          <w:sz w:val="20"/>
          <w:szCs w:val="20"/>
          <w:color w:val="auto"/>
        </w:rPr>
      </w:pPr>
    </w:p>
    <w:p>
      <w:pPr>
        <w:ind w:left="760" w:hanging="752"/>
        <w:spacing w:after="0"/>
        <w:tabs>
          <w:tab w:leader="none" w:pos="760" w:val="left"/>
        </w:tabs>
        <w:numPr>
          <w:ilvl w:val="0"/>
          <w:numId w:val="1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POLICY STATEMENT</w:t>
      </w:r>
    </w:p>
    <w:p>
      <w:pPr>
        <w:spacing w:after="0" w:line="112" w:lineRule="exact"/>
        <w:rPr>
          <w:sz w:val="20"/>
          <w:szCs w:val="20"/>
          <w:color w:val="auto"/>
        </w:rPr>
      </w:pPr>
    </w:p>
    <w:p>
      <w:pPr>
        <w:jc w:val="both"/>
        <w:ind w:right="20" w:firstLine="747"/>
        <w:spacing w:after="0" w:line="246" w:lineRule="auto"/>
        <w:rPr>
          <w:sz w:val="20"/>
          <w:szCs w:val="20"/>
          <w:color w:val="auto"/>
        </w:rPr>
      </w:pPr>
      <w:r>
        <w:rPr>
          <w:rFonts w:ascii="Times New Roman" w:cs="Times New Roman" w:eastAsia="Times New Roman" w:hAnsi="Times New Roman"/>
          <w:sz w:val="20"/>
          <w:szCs w:val="20"/>
          <w:color w:val="auto"/>
        </w:rPr>
        <w:t>Illegal insider trading is against the policy of the Company. Such trading can cause significant harm to the reputation for integrity and ethical conduct of the Company. Individuals who fail to comply with the requirements of this Policy are subject to disciplinary action, at the sole discretion of the Company, including dismissal for cause. In addition, it is the policy of the Company to comply with all applicable securities laws when transacting in its own securities. This Policy applies to members board of directors, officers, employees and consultants of the Company, as well as such persons’ respective family members, including his or 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34" w:name="page135"/>
    <w:bookmarkEnd w:id="134"/>
    <w:p>
      <w:pPr>
        <w:spacing w:after="0" w:line="2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immediate spouse, parents, children, siblings, mothers and fathers-in-law, sons and daughters-in-law, brothers and sisters-in-law, and anyone who shares such person’s home, and other family members who do not live in their respective households but whose transactions in Company securities are directed by or subject to their influence or control. Personnel subject to this Policy are responsible for ensuring that their family members comply with the foregoing restrictions on trading.</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IV.</w:t>
      </w:r>
      <w:r>
        <w:rPr>
          <w:sz w:val="20"/>
          <w:szCs w:val="20"/>
          <w:color w:val="auto"/>
        </w:rPr>
        <w:tab/>
      </w:r>
      <w:r>
        <w:rPr>
          <w:rFonts w:ascii="Times New Roman" w:cs="Times New Roman" w:eastAsia="Times New Roman" w:hAnsi="Times New Roman"/>
          <w:sz w:val="20"/>
          <w:szCs w:val="20"/>
          <w:b w:val="1"/>
          <w:bCs w:val="1"/>
          <w:color w:val="auto"/>
        </w:rPr>
        <w:t>WHAT IS MATERIAL NON-PUBLIC INFORMATION?</w:t>
      </w:r>
    </w:p>
    <w:p>
      <w:pPr>
        <w:spacing w:after="0" w:line="112" w:lineRule="exact"/>
        <w:rPr>
          <w:sz w:val="20"/>
          <w:szCs w:val="20"/>
          <w:color w:val="auto"/>
        </w:rPr>
      </w:pPr>
    </w:p>
    <w:p>
      <w:pPr>
        <w:jc w:val="both"/>
        <w:ind w:firstLine="747"/>
        <w:spacing w:after="0" w:line="260" w:lineRule="auto"/>
        <w:rPr>
          <w:sz w:val="20"/>
          <w:szCs w:val="20"/>
          <w:color w:val="auto"/>
        </w:rPr>
      </w:pPr>
      <w:r>
        <w:rPr>
          <w:rFonts w:ascii="Times New Roman" w:cs="Times New Roman" w:eastAsia="Times New Roman" w:hAnsi="Times New Roman"/>
          <w:sz w:val="19"/>
          <w:szCs w:val="19"/>
          <w:color w:val="auto"/>
        </w:rPr>
        <w:t>Non-public, or inside, information about the Company that is not known to the investing public may include, among other things, strategic plans; significant capital investment plans; negotiations concerning acquisitions or dispositions; major new contracts (or the loss of a major contract); other favorable or unfavorable business or financial developments, projections or prospects; a change in control or a significant change in management; significant litigation, settlements, or regulatory developments; price shares or discount policies; impending securities splits, securities repurchases, securities dividends or changes in dividends to be paid; a call of securities for redemption; and, most frequently, financial results. Material information is not limited to historical facts but may also include projections and forecasts.</w:t>
      </w:r>
    </w:p>
    <w:p>
      <w:pPr>
        <w:spacing w:after="0" w:line="65" w:lineRule="exact"/>
        <w:rPr>
          <w:sz w:val="20"/>
          <w:szCs w:val="20"/>
          <w:color w:val="auto"/>
        </w:rPr>
      </w:pPr>
    </w:p>
    <w:p>
      <w:pPr>
        <w:jc w:val="both"/>
        <w:ind w:firstLine="747"/>
        <w:spacing w:after="0" w:line="246" w:lineRule="auto"/>
        <w:rPr>
          <w:sz w:val="20"/>
          <w:szCs w:val="20"/>
          <w:color w:val="auto"/>
        </w:rPr>
      </w:pPr>
      <w:r>
        <w:rPr>
          <w:rFonts w:ascii="Times New Roman" w:cs="Times New Roman" w:eastAsia="Times New Roman" w:hAnsi="Times New Roman"/>
          <w:sz w:val="20"/>
          <w:szCs w:val="20"/>
          <w:color w:val="auto"/>
        </w:rPr>
        <w:t xml:space="preserve">All information about the Company is considered non-public information until it is disseminated in a manner calculated to reach the securities marketplace through recognized channels of distribution </w:t>
      </w:r>
      <w:r>
        <w:rPr>
          <w:rFonts w:ascii="Times New Roman" w:cs="Times New Roman" w:eastAsia="Times New Roman" w:hAnsi="Times New Roman"/>
          <w:sz w:val="20"/>
          <w:szCs w:val="20"/>
          <w:u w:val="single" w:color="auto"/>
          <w:color w:val="auto"/>
        </w:rPr>
        <w:t>and</w:t>
      </w:r>
      <w:r>
        <w:rPr>
          <w:rFonts w:ascii="Times New Roman" w:cs="Times New Roman" w:eastAsia="Times New Roman" w:hAnsi="Times New Roman"/>
          <w:sz w:val="20"/>
          <w:szCs w:val="20"/>
          <w:color w:val="auto"/>
        </w:rPr>
        <w:t xml:space="preserve"> public investors have had a reasonable period of time to react to the information. Generally, information which has not been available to the investing public for at least </w:t>
      </w:r>
      <w:r>
        <w:rPr>
          <w:rFonts w:ascii="Times New Roman" w:cs="Times New Roman" w:eastAsia="Times New Roman" w:hAnsi="Times New Roman"/>
          <w:sz w:val="20"/>
          <w:szCs w:val="20"/>
          <w:u w:val="single" w:color="auto"/>
          <w:color w:val="auto"/>
        </w:rPr>
        <w:t>two (2) full business days</w:t>
      </w:r>
      <w:r>
        <w:rPr>
          <w:rFonts w:ascii="Times New Roman" w:cs="Times New Roman" w:eastAsia="Times New Roman" w:hAnsi="Times New Roman"/>
          <w:sz w:val="20"/>
          <w:szCs w:val="20"/>
          <w:color w:val="auto"/>
        </w:rPr>
        <w:t xml:space="preserve"> is considered to be non-public. Recognized channels of distribution include annual reports, SEC filings, press releases, marketing materials, and publication of information in prominent financial publications, such as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w:t>
      </w:r>
    </w:p>
    <w:p>
      <w:pPr>
        <w:spacing w:after="0" w:line="77" w:lineRule="exact"/>
        <w:rPr>
          <w:sz w:val="20"/>
          <w:szCs w:val="20"/>
          <w:color w:val="auto"/>
        </w:rPr>
      </w:pPr>
    </w:p>
    <w:p>
      <w:pPr>
        <w:jc w:val="both"/>
        <w:ind w:firstLine="747"/>
        <w:spacing w:after="0" w:line="254" w:lineRule="auto"/>
        <w:rPr>
          <w:sz w:val="20"/>
          <w:szCs w:val="20"/>
          <w:color w:val="auto"/>
        </w:rPr>
      </w:pPr>
      <w:r>
        <w:rPr>
          <w:rFonts w:ascii="Times New Roman" w:cs="Times New Roman" w:eastAsia="Times New Roman" w:hAnsi="Times New Roman"/>
          <w:sz w:val="20"/>
          <w:szCs w:val="20"/>
          <w:color w:val="auto"/>
        </w:rPr>
        <w:t>Non-public information is material if it might reasonably be expected to affect the market value of the securities and/or influence investor decisions to buy, sell or hold securities. If a person feels the information is material, it probably is. Moreover, it should be remembered that plaintiffs who challenge and judges who rule on particular transactions have the benefit of hindsight.</w:t>
      </w:r>
    </w:p>
    <w:p>
      <w:pPr>
        <w:spacing w:after="0" w:line="66" w:lineRule="exact"/>
        <w:rPr>
          <w:sz w:val="20"/>
          <w:szCs w:val="20"/>
          <w:color w:val="auto"/>
        </w:rPr>
      </w:pPr>
    </w:p>
    <w:p>
      <w:pPr>
        <w:jc w:val="both"/>
        <w:ind w:firstLine="747"/>
        <w:spacing w:after="0" w:line="246" w:lineRule="auto"/>
        <w:rPr>
          <w:sz w:val="20"/>
          <w:szCs w:val="20"/>
          <w:color w:val="auto"/>
        </w:rPr>
      </w:pPr>
      <w:r>
        <w:rPr>
          <w:rFonts w:ascii="Times New Roman" w:cs="Times New Roman" w:eastAsia="Times New Roman" w:hAnsi="Times New Roman"/>
          <w:sz w:val="20"/>
          <w:szCs w:val="20"/>
          <w:color w:val="auto"/>
        </w:rPr>
        <w:t>In all cases, the responsibility for determining whether a person is in possession of material non-public information rests with that person, and any action on the part of the Company, the General Counsel or any other employee or director pursuant to this Policy (or otherwise) does not in any way constitute legal advice or insulate an individual from liability under applicable securities laws. If a person is in doubt as to whether information is public or material, that person should wait until the information becomes public, or should refer questions to the Company’s General Counsel.</w:t>
      </w:r>
    </w:p>
    <w:p>
      <w:pPr>
        <w:spacing w:after="0" w:line="181" w:lineRule="exact"/>
        <w:rPr>
          <w:sz w:val="20"/>
          <w:szCs w:val="20"/>
          <w:color w:val="auto"/>
        </w:rPr>
      </w:pPr>
    </w:p>
    <w:p>
      <w:pPr>
        <w:ind w:left="760" w:hanging="752"/>
        <w:spacing w:after="0"/>
        <w:tabs>
          <w:tab w:leader="none" w:pos="760" w:val="left"/>
        </w:tabs>
        <w:numPr>
          <w:ilvl w:val="0"/>
          <w:numId w:val="1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HANDLING OF INFORMATION</w:t>
      </w:r>
    </w:p>
    <w:p>
      <w:pPr>
        <w:spacing w:after="0" w:line="112" w:lineRule="exact"/>
        <w:rPr>
          <w:sz w:val="20"/>
          <w:szCs w:val="20"/>
          <w:color w:val="auto"/>
        </w:rPr>
      </w:pPr>
    </w:p>
    <w:p>
      <w:pPr>
        <w:jc w:val="both"/>
        <w:ind w:firstLine="747"/>
        <w:spacing w:after="0" w:line="246" w:lineRule="auto"/>
        <w:rPr>
          <w:sz w:val="20"/>
          <w:szCs w:val="20"/>
          <w:color w:val="auto"/>
        </w:rPr>
      </w:pPr>
      <w:r>
        <w:rPr>
          <w:rFonts w:ascii="Times New Roman" w:cs="Times New Roman" w:eastAsia="Times New Roman" w:hAnsi="Times New Roman"/>
          <w:sz w:val="20"/>
          <w:szCs w:val="20"/>
          <w:color w:val="auto"/>
        </w:rPr>
        <w:t>The Company’s records must always be treated as confidential. Items such as interim and annual financial statements and similar information are proprietary (that is, information pertaining to and used exclusively by the Company), and proprietary information must not be disclosed or used for any purpose other than for Company business and only to such individuals whose jobs require them to have that information. All Company policies and procedures designed to preserve and protect confidential information must be strictly followed at all times.</w:t>
      </w:r>
    </w:p>
    <w:p>
      <w:pPr>
        <w:spacing w:after="0" w:line="77" w:lineRule="exact"/>
        <w:rPr>
          <w:sz w:val="20"/>
          <w:szCs w:val="20"/>
          <w:color w:val="auto"/>
        </w:rPr>
      </w:pPr>
    </w:p>
    <w:p>
      <w:pPr>
        <w:jc w:val="both"/>
        <w:ind w:firstLine="747"/>
        <w:spacing w:after="0" w:line="269" w:lineRule="auto"/>
        <w:rPr>
          <w:sz w:val="20"/>
          <w:szCs w:val="20"/>
          <w:color w:val="auto"/>
        </w:rPr>
      </w:pPr>
      <w:r>
        <w:rPr>
          <w:rFonts w:ascii="Times New Roman" w:cs="Times New Roman" w:eastAsia="Times New Roman" w:hAnsi="Times New Roman"/>
          <w:sz w:val="20"/>
          <w:szCs w:val="20"/>
          <w:color w:val="auto"/>
        </w:rPr>
        <w:t>No director, officer or employee of the Company shall at any time make any recommendation or express any opinion as to trading in the Company’s securities.</w:t>
      </w:r>
    </w:p>
    <w:p>
      <w:pPr>
        <w:spacing w:after="0" w:line="51" w:lineRule="exact"/>
        <w:rPr>
          <w:sz w:val="20"/>
          <w:szCs w:val="20"/>
          <w:color w:val="auto"/>
        </w:rPr>
      </w:pPr>
    </w:p>
    <w:p>
      <w:pPr>
        <w:jc w:val="both"/>
        <w:ind w:firstLine="747"/>
        <w:spacing w:after="0" w:line="269" w:lineRule="auto"/>
        <w:rPr>
          <w:sz w:val="20"/>
          <w:szCs w:val="20"/>
          <w:color w:val="auto"/>
        </w:rPr>
      </w:pPr>
      <w:r>
        <w:rPr>
          <w:rFonts w:ascii="Times New Roman" w:cs="Times New Roman" w:eastAsia="Times New Roman" w:hAnsi="Times New Roman"/>
          <w:sz w:val="20"/>
          <w:szCs w:val="20"/>
          <w:color w:val="auto"/>
        </w:rPr>
        <w:t>Information learned about other entities in a special relationship with the Company, such as acquisition negotiations, is confidential and must not be given to outside persons without proper authorization.</w:t>
      </w:r>
    </w:p>
    <w:p>
      <w:pPr>
        <w:spacing w:after="0" w:line="51" w:lineRule="exact"/>
        <w:rPr>
          <w:sz w:val="20"/>
          <w:szCs w:val="20"/>
          <w:color w:val="auto"/>
        </w:rPr>
      </w:pPr>
    </w:p>
    <w:p>
      <w:pPr>
        <w:jc w:val="both"/>
        <w:ind w:firstLine="747"/>
        <w:spacing w:after="0" w:line="269" w:lineRule="auto"/>
        <w:rPr>
          <w:sz w:val="20"/>
          <w:szCs w:val="20"/>
          <w:color w:val="auto"/>
        </w:rPr>
      </w:pPr>
      <w:r>
        <w:rPr>
          <w:rFonts w:ascii="Times New Roman" w:cs="Times New Roman" w:eastAsia="Times New Roman" w:hAnsi="Times New Roman"/>
          <w:sz w:val="20"/>
          <w:szCs w:val="20"/>
          <w:color w:val="auto"/>
        </w:rPr>
        <w:t>All confidential information in the possession of a director, officer or employee is to be returned to the Company at the termination of his or her relationship with the Company.</w:t>
      </w:r>
    </w:p>
    <w:p>
      <w:pPr>
        <w:spacing w:after="0" w:line="15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VI.</w:t>
      </w:r>
      <w:r>
        <w:rPr>
          <w:sz w:val="20"/>
          <w:szCs w:val="20"/>
          <w:color w:val="auto"/>
        </w:rPr>
        <w:tab/>
      </w:r>
      <w:r>
        <w:rPr>
          <w:rFonts w:ascii="Times New Roman" w:cs="Times New Roman" w:eastAsia="Times New Roman" w:hAnsi="Times New Roman"/>
          <w:sz w:val="20"/>
          <w:szCs w:val="20"/>
          <w:b w:val="1"/>
          <w:bCs w:val="1"/>
          <w:color w:val="auto"/>
        </w:rPr>
        <w:t>TRADING IN THE COMPANY AND OTHER SECURITIES</w:t>
      </w:r>
    </w:p>
    <w:p>
      <w:pPr>
        <w:spacing w:after="0" w:line="112" w:lineRule="exact"/>
        <w:rPr>
          <w:sz w:val="20"/>
          <w:szCs w:val="20"/>
          <w:color w:val="auto"/>
        </w:rPr>
      </w:pPr>
    </w:p>
    <w:p>
      <w:pPr>
        <w:jc w:val="both"/>
        <w:ind w:firstLine="747"/>
        <w:spacing w:after="0" w:line="250" w:lineRule="auto"/>
        <w:rPr>
          <w:sz w:val="20"/>
          <w:szCs w:val="20"/>
          <w:color w:val="auto"/>
        </w:rPr>
      </w:pPr>
      <w:r>
        <w:rPr>
          <w:rFonts w:ascii="Times New Roman" w:cs="Times New Roman" w:eastAsia="Times New Roman" w:hAnsi="Times New Roman"/>
          <w:sz w:val="20"/>
          <w:szCs w:val="20"/>
          <w:u w:val="single" w:color="auto"/>
          <w:color w:val="auto"/>
        </w:rPr>
        <w:t>General Rule</w:t>
      </w:r>
      <w:r>
        <w:rPr>
          <w:rFonts w:ascii="Times New Roman" w:cs="Times New Roman" w:eastAsia="Times New Roman" w:hAnsi="Times New Roman"/>
          <w:sz w:val="20"/>
          <w:szCs w:val="20"/>
          <w:color w:val="auto"/>
        </w:rPr>
        <w:t>. Directors, officers, employees and consultants of the Company shall not effect any transaction in the Company’s securities or derivatives relating to Company securities, whether or not issued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0"/>
          <w:szCs w:val="20"/>
          <w:b w:val="1"/>
          <w:bCs w:val="1"/>
          <w:color w:val="auto"/>
        </w:rPr>
        <w:t>2</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5" w:name="page136"/>
    <w:bookmarkEnd w:id="135"/>
    <w:p>
      <w:pPr>
        <w:spacing w:after="0" w:line="2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by the Company, if they possess material non-public information about the Company. This restriction generally does not apply to the exercise of stock options under the Company’s stock option or deferred compensation plans, but would apply to the sale of any shares acquired under such plans. The provisions set forth in this Paragraph VI and all other provisions of this Policy shall equally apply to the directors, officers and employees of any subsidiary of the Company. In addition, directors, officers, employees and consultants of the Company, while in possession of material non-public information about the Company, shall not communicate such material non-public information or give advice with respect to trading in Company securities (i.e., “tip”) to any other person or otherwise disclose such material non-public information.</w:t>
      </w:r>
    </w:p>
    <w:p>
      <w:pPr>
        <w:spacing w:after="0" w:line="78" w:lineRule="exact"/>
        <w:rPr>
          <w:sz w:val="20"/>
          <w:szCs w:val="20"/>
          <w:color w:val="auto"/>
        </w:rPr>
      </w:pPr>
    </w:p>
    <w:p>
      <w:pPr>
        <w:jc w:val="both"/>
        <w:ind w:firstLine="747"/>
        <w:spacing w:after="0" w:line="243" w:lineRule="auto"/>
        <w:rPr>
          <w:sz w:val="20"/>
          <w:szCs w:val="20"/>
          <w:color w:val="auto"/>
        </w:rPr>
      </w:pPr>
      <w:r>
        <w:rPr>
          <w:rFonts w:ascii="Times New Roman" w:cs="Times New Roman" w:eastAsia="Times New Roman" w:hAnsi="Times New Roman"/>
          <w:sz w:val="20"/>
          <w:szCs w:val="20"/>
          <w:u w:val="single" w:color="auto"/>
          <w:color w:val="auto"/>
        </w:rPr>
        <w:t>Open Window</w:t>
      </w:r>
      <w:r>
        <w:rPr>
          <w:rFonts w:ascii="Times New Roman" w:cs="Times New Roman" w:eastAsia="Times New Roman" w:hAnsi="Times New Roman"/>
          <w:sz w:val="20"/>
          <w:szCs w:val="20"/>
          <w:color w:val="auto"/>
        </w:rPr>
        <w:t>. Generally, except as described in this Policy, all Company employees, directors, officers, and consultants may buy or sell the Company’s securities only during an “open window” that opens at the opening of the market on the next trading day following two full trading days following the public dissemination of the Company’s annual or quarterly financial results and closes at the close of market on the last trading day two weeks before the end of the next fiscal quarter (or such other period as the board of directors may define from time to time). Any period outside of an “open window” is called a “blackout period.” In addition, the Company shall have the right to impose special blackout periods during which such persons will be prohibited from trading any securities of the Company even though the trading window would otherwise be open. The fact that the open window has closed early or has not opened should be considered material non-public information. An employee, director, officer or consultant who believes that special circumstances require them to trade outside the open window should consult the General Counsel or his designee.</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auto"/>
        </w:rPr>
        <w:t>Exceptions to Open Window Period</w:t>
      </w:r>
      <w:r>
        <w:rPr>
          <w:rFonts w:ascii="Times New Roman" w:cs="Times New Roman" w:eastAsia="Times New Roman" w:hAnsi="Times New Roman"/>
          <w:sz w:val="20"/>
          <w:szCs w:val="20"/>
          <w:color w:val="auto"/>
        </w:rPr>
        <w:t>.</w:t>
      </w:r>
    </w:p>
    <w:p>
      <w:pPr>
        <w:spacing w:after="0" w:line="104" w:lineRule="exact"/>
        <w:rPr>
          <w:sz w:val="20"/>
          <w:szCs w:val="20"/>
          <w:color w:val="auto"/>
        </w:rPr>
      </w:pPr>
    </w:p>
    <w:p>
      <w:pPr>
        <w:jc w:val="both"/>
        <w:ind w:firstLine="757"/>
        <w:spacing w:after="0" w:line="247" w:lineRule="auto"/>
        <w:tabs>
          <w:tab w:leader="none" w:pos="1018"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Option Exercises and RSU Net Settlement</w:t>
      </w:r>
      <w:r>
        <w:rPr>
          <w:rFonts w:ascii="Times New Roman" w:cs="Times New Roman" w:eastAsia="Times New Roman" w:hAnsi="Times New Roman"/>
          <w:sz w:val="20"/>
          <w:szCs w:val="20"/>
          <w:color w:val="auto"/>
        </w:rPr>
        <w:t>. Employees, directors, and consultants may (i) exercise options for cash granted under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Company’s stock-option plans, and (ii) net settle restricted stock or restricted stock units (“</w:t>
      </w:r>
      <w:r>
        <w:rPr>
          <w:rFonts w:ascii="Times New Roman" w:cs="Times New Roman" w:eastAsia="Times New Roman" w:hAnsi="Times New Roman"/>
          <w:sz w:val="20"/>
          <w:szCs w:val="20"/>
          <w:b w:val="1"/>
          <w:bCs w:val="1"/>
          <w:i w:val="1"/>
          <w:iCs w:val="1"/>
          <w:color w:val="auto"/>
        </w:rPr>
        <w:t>RSUs</w:t>
      </w:r>
      <w:r>
        <w:rPr>
          <w:rFonts w:ascii="Times New Roman" w:cs="Times New Roman" w:eastAsia="Times New Roman" w:hAnsi="Times New Roman"/>
          <w:sz w:val="20"/>
          <w:szCs w:val="20"/>
          <w:color w:val="auto"/>
        </w:rPr>
        <w:t>”) and have the Company withhold shares of common stock to satisfy tax withholding obligations when restricted stock vests or RSUs settle. Any later sales of shares that were acquired on the exercise of options (including sales of stock acquired in a cashless exercise), vesting of restricted stock or settlement of vested RSUs must occur during an open window.</w:t>
      </w:r>
    </w:p>
    <w:p>
      <w:pPr>
        <w:spacing w:after="0" w:line="72"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10b5-1 Automatic Trading Programs</w:t>
      </w:r>
      <w:r>
        <w:rPr>
          <w:rFonts w:ascii="Times New Roman" w:cs="Times New Roman" w:eastAsia="Times New Roman" w:hAnsi="Times New Roman"/>
          <w:sz w:val="20"/>
          <w:szCs w:val="20"/>
          <w:color w:val="auto"/>
        </w:rPr>
        <w:t>. Under Rule 10b5-1 of the Securities Exchange Act of 1934, as amended (“</w:t>
      </w:r>
      <w:r>
        <w:rPr>
          <w:rFonts w:ascii="Times New Roman" w:cs="Times New Roman" w:eastAsia="Times New Roman" w:hAnsi="Times New Roman"/>
          <w:sz w:val="20"/>
          <w:szCs w:val="20"/>
          <w:b w:val="1"/>
          <w:bCs w:val="1"/>
          <w:i w:val="1"/>
          <w:iCs w:val="1"/>
          <w:color w:val="auto"/>
        </w:rPr>
        <w:t>Exchange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b w:val="1"/>
          <w:bCs w:val="1"/>
          <w:i w:val="1"/>
          <w:iCs w:val="1"/>
          <w:color w:val="auto"/>
        </w:rPr>
        <w:t>Act</w:t>
      </w:r>
      <w:r>
        <w:rPr>
          <w:rFonts w:ascii="Times New Roman" w:cs="Times New Roman" w:eastAsia="Times New Roman" w:hAnsi="Times New Roman"/>
          <w:sz w:val="20"/>
          <w:szCs w:val="20"/>
          <w:color w:val="auto"/>
        </w:rPr>
        <w:t>”), employees, directors, officers and consultants may establish a trading plan under which a broker is instructed to buy and sell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Company’s securities based on pre-determined criteria (a “</w:t>
      </w:r>
      <w:r>
        <w:rPr>
          <w:rFonts w:ascii="Times New Roman" w:cs="Times New Roman" w:eastAsia="Times New Roman" w:hAnsi="Times New Roman"/>
          <w:sz w:val="20"/>
          <w:szCs w:val="20"/>
          <w:b w:val="1"/>
          <w:bCs w:val="1"/>
          <w:i w:val="1"/>
          <w:iCs w:val="1"/>
          <w:color w:val="auto"/>
        </w:rPr>
        <w:t>Trading Plan</w:t>
      </w:r>
      <w:r>
        <w:rPr>
          <w:rFonts w:ascii="Times New Roman" w:cs="Times New Roman" w:eastAsia="Times New Roman" w:hAnsi="Times New Roman"/>
          <w:sz w:val="20"/>
          <w:szCs w:val="20"/>
          <w:color w:val="auto"/>
        </w:rPr>
        <w:t>”). So long as a Trading Plan is properly established and operated in accordance with Rule 10b5-1, purchases and sales of the Company’s securities pursuant to that plan may be made at any time—even in a blackout period. An employee’s, director’s, officer’s or consultant’s Trading Plan must be established in compliance with the requirements of Rule 10b5-1 and the Company’s 10b5-1 Trading Plan Guidelines, attached hereto as Exhibit B, at a time when such person was not in possession of material non-public information about the Company and when the Company was not in a trading blackout period. Moreover, all Trading Plans must be reviewed by the Company before being established. That is because the Company wants to confirm that the Trading Plan complies with all pertinent Company policies and the securities laws. The Company must be notified before a Trading Plan is established, amended, or terminated.</w:t>
      </w:r>
    </w:p>
    <w:p>
      <w:pPr>
        <w:spacing w:after="0" w:line="78"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Not Involving a Purchase or Sale. Bona fide gifts of Company securities are generally exempt from this Policy, unless (i) the person making the gift has reason to believe that the recipient intends to sell the Company’s securities while the officer, employee or director is aware of material non-public information or subject to a blackout or (ii) the person making the gift is subject to the preclearance requirements set forth below.</w:t>
      </w:r>
    </w:p>
    <w:p>
      <w:pPr>
        <w:spacing w:after="0" w:line="67" w:lineRule="exact"/>
        <w:rPr>
          <w:rFonts w:ascii="Times New Roman" w:cs="Times New Roman" w:eastAsia="Times New Roman" w:hAnsi="Times New Roman"/>
          <w:sz w:val="20"/>
          <w:szCs w:val="20"/>
          <w:color w:val="auto"/>
        </w:rPr>
      </w:pPr>
    </w:p>
    <w:p>
      <w:pPr>
        <w:ind w:firstLine="757"/>
        <w:spacing w:after="0" w:line="273" w:lineRule="auto"/>
        <w:tabs>
          <w:tab w:leader="none" w:pos="1018"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Transactions in Mutual Funds, Exchange-Traded Funds and other Index Funds</w:t>
      </w:r>
      <w:r>
        <w:rPr>
          <w:rFonts w:ascii="Times New Roman" w:cs="Times New Roman" w:eastAsia="Times New Roman" w:hAnsi="Times New Roman"/>
          <w:sz w:val="20"/>
          <w:szCs w:val="20"/>
          <w:color w:val="auto"/>
        </w:rPr>
        <w:t>. Transactions in mutual funds, exchange-traded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funds (ETFs) or other index funds that are invested in the Company’s securities are not subject to this Policy.</w:t>
      </w:r>
    </w:p>
    <w:p>
      <w:pPr>
        <w:spacing w:after="0" w:line="43" w:lineRule="exact"/>
        <w:rPr>
          <w:rFonts w:ascii="Times New Roman" w:cs="Times New Roman" w:eastAsia="Times New Roman" w:hAnsi="Times New Roman"/>
          <w:sz w:val="20"/>
          <w:szCs w:val="20"/>
          <w:color w:val="auto"/>
        </w:rPr>
      </w:pPr>
    </w:p>
    <w:p>
      <w:pPr>
        <w:ind w:firstLine="757"/>
        <w:spacing w:after="0" w:line="253" w:lineRule="auto"/>
        <w:tabs>
          <w:tab w:leader="none" w:pos="1018"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401(k) Plan</w:t>
      </w:r>
      <w:r>
        <w:rPr>
          <w:rFonts w:ascii="Times New Roman" w:cs="Times New Roman" w:eastAsia="Times New Roman" w:hAnsi="Times New Roman"/>
          <w:sz w:val="20"/>
          <w:szCs w:val="20"/>
          <w:color w:val="auto"/>
        </w:rPr>
        <w:t>. The trading restrictions of this Policy do not apply to investing 401(k) plan contributions in a Company stock fund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accordance with the terms of the Company’s 401(k) plan. However,</w:t>
      </w:r>
    </w:p>
    <w:p>
      <w:pPr>
        <w:jc w:val="center"/>
        <w:ind w:right="-19"/>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0"/>
          <w:szCs w:val="20"/>
          <w:b w:val="1"/>
          <w:bCs w:val="1"/>
          <w:color w:val="auto"/>
        </w:rPr>
        <w:t>3</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6" w:name="page137"/>
    <w:bookmarkEnd w:id="136"/>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changes in your investment election regarding Company securities are subject to trading restrictions under this Policy.</w:t>
      </w:r>
    </w:p>
    <w:p>
      <w:pPr>
        <w:spacing w:after="0" w:line="104" w:lineRule="exact"/>
        <w:rPr>
          <w:sz w:val="20"/>
          <w:szCs w:val="20"/>
          <w:color w:val="auto"/>
        </w:rPr>
      </w:pPr>
    </w:p>
    <w:p>
      <w:pPr>
        <w:jc w:val="both"/>
        <w:ind w:firstLine="757"/>
        <w:spacing w:after="0" w:line="276" w:lineRule="auto"/>
        <w:tabs>
          <w:tab w:leader="none" w:pos="1018"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Employee Stock Purchase Plan </w:t>
      </w: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b w:val="1"/>
          <w:bCs w:val="1"/>
          <w:i w:val="1"/>
          <w:iCs w:val="1"/>
          <w:color w:val="auto"/>
        </w:rPr>
        <w:t>ESPP</w:t>
      </w:r>
      <w:r>
        <w:rPr>
          <w:rFonts w:ascii="Times New Roman" w:cs="Times New Roman" w:eastAsia="Times New Roman" w:hAnsi="Times New Roman"/>
          <w:sz w:val="19"/>
          <w:szCs w:val="19"/>
          <w:color w:val="auto"/>
        </w:rPr>
        <w:t>”). This Policy does not apply to purchases of Company securities through periodic,</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automatic payroll contributions to the Company’s ESPP. However, during any blackout period, persons subject to this Policy may not (i) elect to enroll in the ESPP, (ii) make any changes in elections under the ESPP or (iii) sell any Company securities acquired under the ESPP.</w:t>
      </w:r>
    </w:p>
    <w:p>
      <w:pPr>
        <w:spacing w:after="0" w:line="4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u w:val="single" w:color="auto"/>
          <w:color w:val="auto"/>
        </w:rPr>
        <w:t>Pre-Clearance and Advance Notice of Transactions</w:t>
      </w:r>
      <w:r>
        <w:rPr>
          <w:rFonts w:ascii="Times New Roman" w:cs="Times New Roman" w:eastAsia="Times New Roman" w:hAnsi="Times New Roman"/>
          <w:sz w:val="20"/>
          <w:szCs w:val="20"/>
          <w:color w:val="auto"/>
        </w:rPr>
        <w:t>. In addition to the requirements above, all persons subject to this Policy face a further restriction: Even during an open trading window, they may not engage in any transaction in the Company’s securities, including any purchase or sale in the open market, loan, or other transfer of beneficial ownership (including bona fide gifts) without first obtaining pre-clearance of the transaction from the Company’s General Counsel or his designee at least two business days before the proposed transaction. The General Counsel or his designee will then determine whether the transaction may proceed and, if so, will direct the legal department to assist such person in complying with any reporting requirements under Section 16(a) of the Exchange Act. Pre-cleared transactions not completed within five business days will require new pre-clearance. The Company may choose to shorten this period.</w:t>
      </w:r>
    </w:p>
    <w:p>
      <w:pPr>
        <w:spacing w:after="0" w:line="7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For persons subject to pre-clearance, advance notice of plans to exercise an outstanding stock option must be given to the General Counsel or his designee. Once any transaction takes place, the officer, director, or applicable member of management must immediately notify the General Counsel or his designee so that the Company may assist such person with any Section 16 reporting obligations.</w:t>
      </w:r>
    </w:p>
    <w:p>
      <w:pPr>
        <w:spacing w:after="0" w:line="66" w:lineRule="exact"/>
        <w:rPr>
          <w:sz w:val="20"/>
          <w:szCs w:val="20"/>
          <w:color w:val="auto"/>
        </w:rPr>
      </w:pPr>
    </w:p>
    <w:p>
      <w:pPr>
        <w:jc w:val="both"/>
        <w:ind w:firstLine="747"/>
        <w:spacing w:after="0" w:line="254" w:lineRule="auto"/>
        <w:rPr>
          <w:sz w:val="20"/>
          <w:szCs w:val="20"/>
          <w:color w:val="auto"/>
        </w:rPr>
      </w:pPr>
      <w:r>
        <w:rPr>
          <w:rFonts w:ascii="Times New Roman" w:cs="Times New Roman" w:eastAsia="Times New Roman" w:hAnsi="Times New Roman"/>
          <w:sz w:val="20"/>
          <w:szCs w:val="20"/>
          <w:u w:val="single" w:color="auto"/>
          <w:color w:val="auto"/>
        </w:rPr>
        <w:t>Black-out Communications</w:t>
      </w:r>
      <w:r>
        <w:rPr>
          <w:rFonts w:ascii="Times New Roman" w:cs="Times New Roman" w:eastAsia="Times New Roman" w:hAnsi="Times New Roman"/>
          <w:sz w:val="20"/>
          <w:szCs w:val="20"/>
          <w:color w:val="auto"/>
        </w:rPr>
        <w:t>. In addition to the foregoing restrictions, the Company reserves the right to issue “black-out notices” to specified persons when material non-public information exists. Any person who receives such a notice shall treat the notice as confidential and shall not disclose its existence to anyone else.</w:t>
      </w:r>
    </w:p>
    <w:p>
      <w:pPr>
        <w:spacing w:after="0" w:line="66" w:lineRule="exact"/>
        <w:rPr>
          <w:sz w:val="20"/>
          <w:szCs w:val="20"/>
          <w:color w:val="auto"/>
        </w:rPr>
      </w:pPr>
    </w:p>
    <w:p>
      <w:pPr>
        <w:jc w:val="both"/>
        <w:ind w:firstLine="747"/>
        <w:spacing w:after="0" w:line="244" w:lineRule="auto"/>
        <w:rPr>
          <w:sz w:val="20"/>
          <w:szCs w:val="20"/>
          <w:color w:val="auto"/>
        </w:rPr>
      </w:pPr>
      <w:r>
        <w:rPr>
          <w:rFonts w:ascii="Times New Roman" w:cs="Times New Roman" w:eastAsia="Times New Roman" w:hAnsi="Times New Roman"/>
          <w:sz w:val="20"/>
          <w:szCs w:val="20"/>
          <w:u w:val="single" w:color="auto"/>
          <w:color w:val="auto"/>
        </w:rPr>
        <w:t>Trading in Securities of Other Entities</w:t>
      </w:r>
      <w:r>
        <w:rPr>
          <w:rFonts w:ascii="Times New Roman" w:cs="Times New Roman" w:eastAsia="Times New Roman" w:hAnsi="Times New Roman"/>
          <w:sz w:val="20"/>
          <w:szCs w:val="20"/>
          <w:color w:val="auto"/>
        </w:rPr>
        <w:t>. In addition, no director, officer or employee of the Company shall effect any transaction in the securities, or derivatives relating to the securities, of another entity or tip any other person with respect to the securities, or derivatives relating to the securities, of another entity, the value of which is likely to be affected by actions of the Company that have not yet been publicly disclosed or information acquired by way of such person’s position or relationship with the Company that has not been publicly disclosed. This provision is in addition to the restrictions on trading in securities of other entities set forth in the Code of Ethics for CEO and Senior Financial Officers of LSB Industries, Inc. and Subsidiaries and the Statement of Policy Concerning Business Conduct of LSB Industries, Inc. and Subsidiaries.</w:t>
      </w:r>
    </w:p>
    <w:p>
      <w:pPr>
        <w:spacing w:after="0" w:line="78" w:lineRule="exact"/>
        <w:rPr>
          <w:sz w:val="20"/>
          <w:szCs w:val="20"/>
          <w:color w:val="auto"/>
        </w:rPr>
      </w:pPr>
    </w:p>
    <w:p>
      <w:pPr>
        <w:jc w:val="both"/>
        <w:ind w:firstLine="747"/>
        <w:spacing w:after="0" w:line="254" w:lineRule="auto"/>
        <w:rPr>
          <w:sz w:val="20"/>
          <w:szCs w:val="20"/>
          <w:color w:val="auto"/>
        </w:rPr>
      </w:pPr>
      <w:r>
        <w:rPr>
          <w:rFonts w:ascii="Times New Roman" w:cs="Times New Roman" w:eastAsia="Times New Roman" w:hAnsi="Times New Roman"/>
          <w:sz w:val="20"/>
          <w:szCs w:val="20"/>
          <w:u w:val="single" w:color="auto"/>
          <w:color w:val="auto"/>
        </w:rPr>
        <w:t>Prohibition of Speculative or Short-term Trading; Hedges and Pledges</w:t>
      </w:r>
      <w:r>
        <w:rPr>
          <w:rFonts w:ascii="Times New Roman" w:cs="Times New Roman" w:eastAsia="Times New Roman" w:hAnsi="Times New Roman"/>
          <w:sz w:val="20"/>
          <w:szCs w:val="20"/>
          <w:color w:val="auto"/>
        </w:rPr>
        <w:t>. No employee, director, or consultant to the Company may engage in short sales, transactions in put or call options, hedging transactions (discussed below), margin accounts, pledges, or other inherently speculative transactions with respect to the Company’s stock.</w:t>
      </w:r>
    </w:p>
    <w:p>
      <w:pPr>
        <w:spacing w:after="0" w:line="62" w:lineRule="exact"/>
        <w:rPr>
          <w:sz w:val="20"/>
          <w:szCs w:val="20"/>
          <w:color w:val="auto"/>
        </w:rPr>
      </w:pPr>
    </w:p>
    <w:p>
      <w:pPr>
        <w:jc w:val="both"/>
        <w:ind w:firstLine="747"/>
        <w:spacing w:after="0" w:line="246" w:lineRule="auto"/>
        <w:rPr>
          <w:sz w:val="20"/>
          <w:szCs w:val="20"/>
          <w:color w:val="auto"/>
        </w:rPr>
      </w:pPr>
      <w:r>
        <w:rPr>
          <w:rFonts w:ascii="Times New Roman" w:cs="Times New Roman" w:eastAsia="Times New Roman" w:hAnsi="Times New Roman"/>
          <w:sz w:val="20"/>
          <w:szCs w:val="20"/>
          <w:i w:val="1"/>
          <w:iCs w:val="1"/>
          <w:color w:val="auto"/>
        </w:rPr>
        <w:t>Pledging</w:t>
      </w:r>
      <w:r>
        <w:rPr>
          <w:rFonts w:ascii="Times New Roman" w:cs="Times New Roman" w:eastAsia="Times New Roman" w:hAnsi="Times New Roman"/>
          <w:sz w:val="20"/>
          <w:szCs w:val="20"/>
          <w:color w:val="auto"/>
        </w:rPr>
        <w:t>. Without limiting the foregoing, no shares of Company common stock or preferred stock held by directors or officers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Company may be pledged or otherwise used as security for a loan. This prohibition applies to shares owned directly (including joint ownership) and any other shares whose ownership is attributed for purposes of the “beneficial ownership table” included in the Company’s filings with the SEC. In general, a person is attributed with beneficial ownership if he or she has, or shares, voting power and/or investment power over the shares. The prohibition on pledging applies to, among other things, the holding of Company shares in a margin account or any other account that could cause such shares to be subject to a margin call or otherwise be available as collateral for a margin loan.</w:t>
      </w:r>
    </w:p>
    <w:p>
      <w:pPr>
        <w:spacing w:after="0" w:line="71" w:lineRule="exact"/>
        <w:rPr>
          <w:sz w:val="20"/>
          <w:szCs w:val="20"/>
          <w:color w:val="auto"/>
        </w:rPr>
      </w:pPr>
    </w:p>
    <w:p>
      <w:pPr>
        <w:jc w:val="both"/>
        <w:ind w:firstLine="747"/>
        <w:spacing w:after="0" w:line="244" w:lineRule="auto"/>
        <w:rPr>
          <w:sz w:val="20"/>
          <w:szCs w:val="20"/>
          <w:color w:val="auto"/>
        </w:rPr>
      </w:pPr>
      <w:r>
        <w:rPr>
          <w:rFonts w:ascii="Times New Roman" w:cs="Times New Roman" w:eastAsia="Times New Roman" w:hAnsi="Times New Roman"/>
          <w:sz w:val="20"/>
          <w:szCs w:val="20"/>
          <w:i w:val="1"/>
          <w:iCs w:val="1"/>
          <w:color w:val="auto"/>
        </w:rPr>
        <w:t>Hedging</w:t>
      </w:r>
      <w:r>
        <w:rPr>
          <w:rFonts w:ascii="Times New Roman" w:cs="Times New Roman" w:eastAsia="Times New Roman" w:hAnsi="Times New Roman"/>
          <w:sz w:val="20"/>
          <w:szCs w:val="20"/>
          <w:color w:val="auto"/>
        </w:rPr>
        <w:t>. All directors, officers and employees are prohibited from engaging in hedging transactions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transactions involving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any strategy to offset or reduce the risk of price fluctuations in Company securities or to protect, in whole or in part, against declines in the value of such securities) involving shares of Company common stock or other Company securities, including debt securities. The prohibition on hedging applies to all transactions in derivative securities based on Company securities, including puts, calls, swaps and collar arrangements.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0"/>
          <w:szCs w:val="20"/>
          <w:b w:val="1"/>
          <w:bCs w:val="1"/>
          <w:color w:val="auto"/>
        </w:rPr>
        <w:t>4</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7" w:name="page138"/>
    <w:bookmarkEnd w:id="137"/>
    <w:p>
      <w:pPr>
        <w:spacing w:after="0" w:line="13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VII.</w:t>
      </w:r>
      <w:r>
        <w:rPr>
          <w:sz w:val="20"/>
          <w:szCs w:val="20"/>
          <w:color w:val="auto"/>
        </w:rPr>
        <w:tab/>
      </w:r>
      <w:r>
        <w:rPr>
          <w:rFonts w:ascii="Times New Roman" w:cs="Times New Roman" w:eastAsia="Times New Roman" w:hAnsi="Times New Roman"/>
          <w:sz w:val="20"/>
          <w:szCs w:val="20"/>
          <w:b w:val="1"/>
          <w:bCs w:val="1"/>
          <w:color w:val="auto"/>
        </w:rPr>
        <w:t>INVESTIGATIONS; SUPERVISION</w:t>
      </w:r>
    </w:p>
    <w:p>
      <w:pPr>
        <w:spacing w:after="0" w:line="112" w:lineRule="exact"/>
        <w:rPr>
          <w:sz w:val="20"/>
          <w:szCs w:val="20"/>
          <w:color w:val="auto"/>
        </w:rPr>
      </w:pPr>
    </w:p>
    <w:p>
      <w:pPr>
        <w:jc w:val="both"/>
        <w:ind w:firstLine="747"/>
        <w:spacing w:after="0" w:line="269" w:lineRule="auto"/>
        <w:rPr>
          <w:sz w:val="20"/>
          <w:szCs w:val="20"/>
          <w:color w:val="auto"/>
        </w:rPr>
      </w:pPr>
      <w:r>
        <w:rPr>
          <w:rFonts w:ascii="Times New Roman" w:cs="Times New Roman" w:eastAsia="Times New Roman" w:hAnsi="Times New Roman"/>
          <w:sz w:val="20"/>
          <w:szCs w:val="20"/>
          <w:color w:val="auto"/>
        </w:rPr>
        <w:t>If any person subject to this Policy has reason to believe that material non-public information of the Company has been disclosed to an outside party without authorization, that person should report this to the General Counsel or his designee immediately.</w:t>
      </w:r>
    </w:p>
    <w:p>
      <w:pPr>
        <w:spacing w:after="0" w:line="51" w:lineRule="exact"/>
        <w:rPr>
          <w:sz w:val="20"/>
          <w:szCs w:val="20"/>
          <w:color w:val="auto"/>
        </w:rPr>
      </w:pPr>
    </w:p>
    <w:p>
      <w:pPr>
        <w:jc w:val="both"/>
        <w:ind w:firstLine="747"/>
        <w:spacing w:after="0" w:line="254" w:lineRule="auto"/>
        <w:rPr>
          <w:sz w:val="20"/>
          <w:szCs w:val="20"/>
          <w:color w:val="auto"/>
        </w:rPr>
      </w:pPr>
      <w:r>
        <w:rPr>
          <w:rFonts w:ascii="Times New Roman" w:cs="Times New Roman" w:eastAsia="Times New Roman" w:hAnsi="Times New Roman"/>
          <w:sz w:val="20"/>
          <w:szCs w:val="20"/>
          <w:color w:val="auto"/>
        </w:rPr>
        <w:t>If any person subject to this Policy has reason to believe that an insider of the Company or someone outside of the Company has acted, or intends to act, on material non-public information, that person should report this to the General Counsel or his designee immediately.</w:t>
      </w:r>
    </w:p>
    <w:p>
      <w:pPr>
        <w:spacing w:after="0" w:line="66" w:lineRule="exact"/>
        <w:rPr>
          <w:sz w:val="20"/>
          <w:szCs w:val="20"/>
          <w:color w:val="auto"/>
        </w:rPr>
      </w:pPr>
    </w:p>
    <w:p>
      <w:pPr>
        <w:jc w:val="both"/>
        <w:ind w:firstLine="747"/>
        <w:spacing w:after="0" w:line="254" w:lineRule="auto"/>
        <w:rPr>
          <w:sz w:val="20"/>
          <w:szCs w:val="20"/>
          <w:color w:val="auto"/>
        </w:rPr>
      </w:pPr>
      <w:r>
        <w:rPr>
          <w:rFonts w:ascii="Times New Roman" w:cs="Times New Roman" w:eastAsia="Times New Roman" w:hAnsi="Times New Roman"/>
          <w:sz w:val="20"/>
          <w:szCs w:val="20"/>
          <w:color w:val="auto"/>
        </w:rPr>
        <w:t>If it is determined that an individual maliciously and knowingly reports false information to the Company with intent to do harm to another person or the Company, appropriate disciplinary action will be taken according to the severity of the charges, up to and including dismissal. All such disciplinary action will be taken at the sole discretion of the Company.</w:t>
      </w:r>
    </w:p>
    <w:p>
      <w:pPr>
        <w:spacing w:after="0" w:line="17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VIII.</w:t>
        <w:tab/>
        <w:t>LIABILITY OF THE COMPANY</w:t>
      </w:r>
    </w:p>
    <w:p>
      <w:pPr>
        <w:spacing w:after="0" w:line="112" w:lineRule="exact"/>
        <w:rPr>
          <w:sz w:val="20"/>
          <w:szCs w:val="20"/>
          <w:color w:val="auto"/>
        </w:rPr>
      </w:pPr>
    </w:p>
    <w:p>
      <w:pPr>
        <w:jc w:val="both"/>
        <w:ind w:firstLine="747"/>
        <w:spacing w:after="0" w:line="269" w:lineRule="auto"/>
        <w:rPr>
          <w:sz w:val="20"/>
          <w:szCs w:val="20"/>
          <w:color w:val="auto"/>
        </w:rPr>
      </w:pPr>
      <w:r>
        <w:rPr>
          <w:rFonts w:ascii="Times New Roman" w:cs="Times New Roman" w:eastAsia="Times New Roman" w:hAnsi="Times New Roman"/>
          <w:sz w:val="20"/>
          <w:szCs w:val="20"/>
          <w:color w:val="auto"/>
        </w:rPr>
        <w:t>The adoption, maintenance and enforcement of this Policy is not intended to result in the imposition of liability upon the Company for any insider trading violations where such liability would not exist in the absence of this Policy.</w:t>
      </w:r>
    </w:p>
    <w:p>
      <w:pPr>
        <w:sectPr>
          <w:pgSz w:w="11900" w:h="16838" w:orient="portrait"/>
          <w:cols w:equalWidth="0" w:num="1">
            <w:col w:w="11220"/>
          </w:cols>
          <w:pgMar w:left="320" w:top="1440" w:right="359" w:bottom="1440" w:gutter="0" w:footer="0" w:header="0"/>
        </w:sectPr>
      </w:pP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IX.</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INDIVIDUAL RESPONSIBILITY OF EACH EMPLOYEE, OFFICER, DIRECTOR AND CONSULTANT TO COMPLY WITH POLICY</w:t>
      </w:r>
    </w:p>
    <w:p>
      <w:pPr>
        <w:spacing w:after="0" w:line="48" w:lineRule="exact"/>
        <w:rPr>
          <w:sz w:val="20"/>
          <w:szCs w:val="20"/>
          <w:color w:val="auto"/>
        </w:rPr>
      </w:pPr>
    </w:p>
    <w:p>
      <w:pPr>
        <w:sectPr>
          <w:pgSz w:w="11900" w:h="16838" w:orient="portrait"/>
          <w:cols w:equalWidth="0" w:num="2">
            <w:col w:w="280" w:space="480"/>
            <w:col w:w="10460"/>
          </w:cols>
          <w:pgMar w:left="320" w:top="1440" w:right="359" w:bottom="1440" w:gutter="0" w:footer="0" w:header="0"/>
          <w:type w:val="continuous"/>
        </w:sectPr>
      </w:pPr>
    </w:p>
    <w:p>
      <w:pPr>
        <w:jc w:val="both"/>
        <w:ind w:firstLine="747"/>
        <w:spacing w:after="0" w:line="245" w:lineRule="auto"/>
        <w:rPr>
          <w:sz w:val="20"/>
          <w:szCs w:val="20"/>
          <w:color w:val="auto"/>
        </w:rPr>
      </w:pPr>
      <w:r>
        <w:rPr>
          <w:rFonts w:ascii="Times New Roman" w:cs="Times New Roman" w:eastAsia="Times New Roman" w:hAnsi="Times New Roman"/>
          <w:sz w:val="20"/>
          <w:szCs w:val="20"/>
          <w:color w:val="auto"/>
        </w:rPr>
        <w:t>Each of the officers and directors of the Company and employees of and consultants and contractors to the Company has the individual responsibility to comply with this Policy against insider trading for themselves as well as their family members and members of their household, regardless of whether the Company has imposed a trading window on that insider or any other insiders of the Company. This Policy sets forth a minimum threshold for behavior in order to comply with federal securities laws surrounding insider trading. Persons subject to this Policy should exercise appropriate judgment and when circumstances dictate, exercise a higher standard of behavior than this Policy mandates, in connection with any trade in the Company’s securities.</w:t>
      </w:r>
    </w:p>
    <w:p>
      <w:pPr>
        <w:spacing w:after="0" w:line="76" w:lineRule="exact"/>
        <w:rPr>
          <w:sz w:val="20"/>
          <w:szCs w:val="20"/>
          <w:color w:val="auto"/>
        </w:rPr>
      </w:pPr>
    </w:p>
    <w:p>
      <w:pPr>
        <w:jc w:val="both"/>
        <w:ind w:firstLine="747"/>
        <w:spacing w:after="0" w:line="254" w:lineRule="auto"/>
        <w:rPr>
          <w:sz w:val="20"/>
          <w:szCs w:val="20"/>
          <w:color w:val="auto"/>
        </w:rPr>
      </w:pPr>
      <w:r>
        <w:rPr>
          <w:rFonts w:ascii="Times New Roman" w:cs="Times New Roman" w:eastAsia="Times New Roman" w:hAnsi="Times New Roman"/>
          <w:sz w:val="20"/>
          <w:szCs w:val="20"/>
          <w:color w:val="auto"/>
        </w:rPr>
        <w:t>An insider may, from time to time, have to forgo a proposed transaction in the Company’s securities even if he or she planned to make the transaction before learning of the material non-public information and even though the insider believes he or she may suffer an economic loss or forego anticipated profit by waiting.</w:t>
      </w:r>
    </w:p>
    <w:p>
      <w:pPr>
        <w:spacing w:after="0" w:line="170" w:lineRule="exact"/>
        <w:rPr>
          <w:sz w:val="20"/>
          <w:szCs w:val="20"/>
          <w:color w:val="auto"/>
        </w:rPr>
      </w:pPr>
    </w:p>
    <w:p>
      <w:pPr>
        <w:ind w:left="760" w:hanging="752"/>
        <w:spacing w:after="0"/>
        <w:tabs>
          <w:tab w:leader="none" w:pos="760" w:val="left"/>
        </w:tabs>
        <w:numPr>
          <w:ilvl w:val="0"/>
          <w:numId w:val="1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DURATION OF POLICY’S APPLICABILITY</w:t>
      </w:r>
    </w:p>
    <w:p>
      <w:pPr>
        <w:spacing w:after="0" w:line="112" w:lineRule="exact"/>
        <w:rPr>
          <w:sz w:val="20"/>
          <w:szCs w:val="20"/>
          <w:color w:val="auto"/>
        </w:rPr>
      </w:pPr>
    </w:p>
    <w:p>
      <w:pPr>
        <w:jc w:val="both"/>
        <w:ind w:firstLine="747"/>
        <w:spacing w:after="0" w:line="249" w:lineRule="auto"/>
        <w:rPr>
          <w:sz w:val="20"/>
          <w:szCs w:val="20"/>
          <w:color w:val="auto"/>
        </w:rPr>
      </w:pPr>
      <w:r>
        <w:rPr>
          <w:rFonts w:ascii="Times New Roman" w:cs="Times New Roman" w:eastAsia="Times New Roman" w:hAnsi="Times New Roman"/>
          <w:sz w:val="20"/>
          <w:szCs w:val="20"/>
          <w:color w:val="auto"/>
        </w:rPr>
        <w:t>This Policy continues to apply to your transactions in the Company’s stock or the stock of other public companies engaged in business transactions with the Company even after your employment or directorship with the Company has terminated. If you are in possession of material non-public information when your relationship with the Company concludes, you may not trade in the Company’s stock or the stock of such other company until the information has been publicly disseminated or is no longer material.</w:t>
      </w:r>
    </w:p>
    <w:p>
      <w:pPr>
        <w:spacing w:after="0" w:line="200" w:lineRule="exact"/>
        <w:rPr>
          <w:sz w:val="20"/>
          <w:szCs w:val="20"/>
          <w:color w:val="auto"/>
        </w:rPr>
      </w:pP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auto"/>
        </w:rPr>
        <w:t>Questions</w:t>
      </w:r>
      <w:r>
        <w:rPr>
          <w:rFonts w:ascii="Times New Roman" w:cs="Times New Roman" w:eastAsia="Times New Roman" w:hAnsi="Times New Roman"/>
          <w:sz w:val="20"/>
          <w:szCs w:val="20"/>
          <w:color w:val="auto"/>
        </w:rPr>
        <w:t>. All questions regarding this Policy should be directed to the General Counsel.</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0"/>
          <w:szCs w:val="20"/>
          <w:b w:val="1"/>
          <w:bCs w:val="1"/>
          <w:color w:val="auto"/>
        </w:rPr>
        <w:t>5</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38" w:name="page139"/>
    <w:bookmarkEnd w:id="13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CONFIRMATION</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[To be signed by members of the Board of Directors and All Employees]</w:t>
      </w:r>
    </w:p>
    <w:p>
      <w:pPr>
        <w:spacing w:after="0" w:line="229" w:lineRule="exact"/>
        <w:rPr>
          <w:sz w:val="20"/>
          <w:szCs w:val="20"/>
          <w:color w:val="auto"/>
        </w:rPr>
      </w:pPr>
    </w:p>
    <w:p>
      <w:pPr>
        <w:ind w:left="140" w:right="1379" w:firstLine="647"/>
        <w:spacing w:after="0" w:line="273" w:lineRule="auto"/>
        <w:rPr>
          <w:sz w:val="20"/>
          <w:szCs w:val="20"/>
          <w:color w:val="auto"/>
        </w:rPr>
      </w:pPr>
      <w:r>
        <w:rPr>
          <w:rFonts w:ascii="Times New Roman" w:cs="Times New Roman" w:eastAsia="Times New Roman" w:hAnsi="Times New Roman"/>
          <w:sz w:val="20"/>
          <w:szCs w:val="20"/>
          <w:b w:val="1"/>
          <w:bCs w:val="1"/>
          <w:color w:val="auto"/>
        </w:rPr>
        <w:t>I HEREBY ACKNOWLEDGE THAT I HAVE RECEIVED, HAVE READ AND UNDERSTAND THE FOREGOING POLICIES OF THE COMPANY.</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Date:</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spacing w:after="0" w:line="27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1805940</wp:posOffset>
            </wp:positionV>
            <wp:extent cx="2040255"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23">
                      <a:extLst>
                        <a:ext uri="{28A0092B-C50C-407E-A947-70E740481C1C}"/>
                      </a:extLst>
                    </a:blip>
                    <a:srcRect/>
                    <a:stretch>
                      <a:fillRect/>
                    </a:stretch>
                  </pic:blipFill>
                  <pic:spPr bwMode="auto">
                    <a:xfrm>
                      <a:off x="0" y="0"/>
                      <a:ext cx="20402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i w:val="1"/>
          <w:iCs w:val="1"/>
          <w:color w:val="auto"/>
        </w:rPr>
        <w:t>Signature Page to</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i w:val="1"/>
          <w:iCs w:val="1"/>
          <w:color w:val="auto"/>
        </w:rPr>
        <w:t>Insider Trading Policy Confirmation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381635</wp:posOffset>
            </wp:positionV>
            <wp:extent cx="703770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39" w:name="page140"/>
    <w:bookmarkEnd w:id="139"/>
    <w:p>
      <w:pPr>
        <w:ind w:left="5080"/>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20"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20"/>
          <w:szCs w:val="20"/>
          <w:color w:val="auto"/>
        </w:rPr>
        <w:t>Submitted Pursuant to:</w:t>
      </w:r>
    </w:p>
    <w:p>
      <w:pPr>
        <w:spacing w:after="0" w:line="22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color w:val="auto"/>
        </w:rPr>
        <w:t>LSB INDUSTRIES, INC. INSIDER TRADING POLICY</w:t>
      </w:r>
    </w:p>
    <w:p>
      <w:pPr>
        <w:spacing w:after="0" w:line="2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u w:val="single" w:color="auto"/>
          <w:color w:val="auto"/>
        </w:rPr>
        <w:t>PRE-CLEARANCE TRADING APPROVAL FORM</w:t>
      </w:r>
    </w:p>
    <w:p>
      <w:pPr>
        <w:spacing w:after="0" w:line="19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I,</w:t>
        <w:tab/>
        <w:t>(name), seek pre-clearance to engage in the transaction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-10795</wp:posOffset>
            </wp:positionV>
            <wp:extent cx="14668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25">
                      <a:extLst>
                        <a:ext uri="{28A0092B-C50C-407E-A947-70E740481C1C}"/>
                      </a:extLst>
                    </a:blip>
                    <a:srcRect/>
                    <a:stretch>
                      <a:fillRect/>
                    </a:stretch>
                  </pic:blipFill>
                  <pic:spPr bwMode="auto">
                    <a:xfrm>
                      <a:off x="0" y="0"/>
                      <a:ext cx="146685" cy="8255"/>
                    </a:xfrm>
                    <a:prstGeom prst="rect">
                      <a:avLst/>
                    </a:prstGeom>
                    <a:noFill/>
                  </pic:spPr>
                </pic:pic>
              </a:graphicData>
            </a:graphic>
          </wp:anchor>
        </w:drawing>
      </w:r>
    </w:p>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u w:val="single" w:color="auto"/>
          <w:color w:val="auto"/>
        </w:rPr>
        <w:t>Acquisition or Disposition</w:t>
      </w:r>
      <w:r>
        <w:rPr>
          <w:rFonts w:ascii="Times New Roman" w:cs="Times New Roman" w:eastAsia="Times New Roman" w:hAnsi="Times New Roman"/>
          <w:sz w:val="20"/>
          <w:szCs w:val="20"/>
          <w:color w:val="auto"/>
        </w:rPr>
        <w:t xml:space="preserve"> (circle one)</w:t>
      </w:r>
    </w:p>
    <w:p>
      <w:pPr>
        <w:spacing w:after="0" w:line="200" w:lineRule="exact"/>
        <w:rPr>
          <w:sz w:val="20"/>
          <w:szCs w:val="20"/>
          <w:color w:val="auto"/>
        </w:rPr>
      </w:pP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Name:</w:t>
      </w:r>
    </w:p>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-10795</wp:posOffset>
            </wp:positionV>
            <wp:extent cx="25146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26">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19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Date of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-10795</wp:posOffset>
            </wp:positionV>
            <wp:extent cx="25146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27">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19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Amount or # of Shares:</w:t>
      </w:r>
    </w:p>
    <w:p>
      <w:pPr>
        <w:spacing w:after="0" w:line="1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Broker:</w:t>
      </w:r>
    </w:p>
    <w:p>
      <w:pPr>
        <w:spacing w:after="0" w:line="200" w:lineRule="exact"/>
        <w:rPr>
          <w:sz w:val="20"/>
          <w:szCs w:val="20"/>
          <w:color w:val="auto"/>
        </w:rPr>
      </w:pPr>
    </w:p>
    <w:p>
      <w:pPr>
        <w:spacing w:after="0" w:line="2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I hereby certify that, to the best of my knowledge, the transaction described herein is not prohibited by the Insider Trading Policy.</w:t>
      </w:r>
    </w:p>
    <w:p>
      <w:pPr>
        <w:spacing w:after="0" w:line="229" w:lineRule="exact"/>
        <w:rPr>
          <w:sz w:val="20"/>
          <w:szCs w:val="20"/>
          <w:color w:val="auto"/>
        </w:rPr>
      </w:pPr>
    </w:p>
    <w:p>
      <w:pPr>
        <w:ind w:left="160"/>
        <w:spacing w:after="0"/>
        <w:tabs>
          <w:tab w:leader="none" w:pos="132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-10795</wp:posOffset>
            </wp:positionV>
            <wp:extent cx="20574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28">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1493520</wp:posOffset>
            </wp:positionH>
            <wp:positionV relativeFrom="paragraph">
              <wp:posOffset>-10795</wp:posOffset>
            </wp:positionV>
            <wp:extent cx="11176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2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u w:val="single" w:color="auto"/>
          <w:color w:val="auto"/>
        </w:rPr>
        <w:t>Approved or Disapproved</w:t>
      </w:r>
      <w:r>
        <w:rPr>
          <w:rFonts w:ascii="Times New Roman" w:cs="Times New Roman" w:eastAsia="Times New Roman" w:hAnsi="Times New Roman"/>
          <w:sz w:val="20"/>
          <w:szCs w:val="20"/>
          <w:color w:val="auto"/>
        </w:rPr>
        <w:t xml:space="preserve"> (circle one)</w:t>
      </w:r>
    </w:p>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Date of Approval:</w:t>
      </w:r>
    </w:p>
    <w:p>
      <w:pPr>
        <w:spacing w:after="0" w:line="216" w:lineRule="exact"/>
        <w:rPr>
          <w:sz w:val="20"/>
          <w:szCs w:val="20"/>
          <w:color w:val="auto"/>
        </w:rPr>
      </w:pPr>
    </w:p>
    <w:p>
      <w:pPr>
        <w:ind w:left="160"/>
        <w:spacing w:after="0"/>
        <w:tabs>
          <w:tab w:leader="none" w:pos="132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-10795</wp:posOffset>
            </wp:positionV>
            <wp:extent cx="23749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30">
                      <a:extLst>
                        <a:ext uri="{28A0092B-C50C-407E-A947-70E740481C1C}"/>
                      </a:extLst>
                    </a:blip>
                    <a:srcRect/>
                    <a:stretch>
                      <a:fillRect/>
                    </a:stretch>
                  </pic:blipFill>
                  <pic:spPr bwMode="auto">
                    <a:xfrm>
                      <a:off x="0" y="0"/>
                      <a:ext cx="237490" cy="8890"/>
                    </a:xfrm>
                    <a:prstGeom prst="rect">
                      <a:avLst/>
                    </a:prstGeom>
                    <a:noFill/>
                  </pic:spPr>
                </pic:pic>
              </a:graphicData>
            </a:graphic>
          </wp:anchor>
        </w:drawing>
        <w:drawing>
          <wp:anchor simplePos="0" relativeHeight="251657728" behindDoc="1" locked="0" layoutInCell="0" allowOverlap="1">
            <wp:simplePos x="0" y="0"/>
            <wp:positionH relativeFrom="column">
              <wp:posOffset>1466850</wp:posOffset>
            </wp:positionH>
            <wp:positionV relativeFrom="paragraph">
              <wp:posOffset>-10795</wp:posOffset>
            </wp:positionV>
            <wp:extent cx="14287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31">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19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General Counsel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-10795</wp:posOffset>
            </wp:positionV>
            <wp:extent cx="12573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32">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9" w:lineRule="exact"/>
        <w:rPr>
          <w:sz w:val="20"/>
          <w:szCs w:val="20"/>
          <w:color w:val="auto"/>
        </w:rPr>
      </w:pPr>
    </w:p>
    <w:p>
      <w:pPr>
        <w:jc w:val="center"/>
        <w:ind w:left="500"/>
        <w:spacing w:after="0" w:line="579" w:lineRule="auto"/>
        <w:rPr>
          <w:sz w:val="20"/>
          <w:szCs w:val="20"/>
          <w:color w:val="auto"/>
        </w:rPr>
      </w:pPr>
      <w:r>
        <w:rPr>
          <w:rFonts w:ascii="Times New Roman" w:cs="Times New Roman" w:eastAsia="Times New Roman" w:hAnsi="Times New Roman"/>
          <w:sz w:val="20"/>
          <w:szCs w:val="20"/>
          <w:color w:val="auto"/>
        </w:rPr>
        <w:t>If approval is granted, you are authorized to proceed with this transaction for immediate execution, but not during a blackout period. 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257175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40" w:top="1409" w:right="919" w:bottom="1440" w:gutter="0" w:footer="0" w:header="0"/>
        </w:sectPr>
      </w:pPr>
    </w:p>
    <w:bookmarkStart w:id="140" w:name="page141"/>
    <w:bookmarkEnd w:id="140"/>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GUIDELINES FOR 10b5-1 TRADING PLANS</w:t>
      </w:r>
    </w:p>
    <w:p>
      <w:pPr>
        <w:spacing w:after="0" w:line="112" w:lineRule="exact"/>
        <w:rPr>
          <w:sz w:val="20"/>
          <w:szCs w:val="20"/>
          <w:color w:val="auto"/>
        </w:rPr>
      </w:pPr>
    </w:p>
    <w:p>
      <w:pPr>
        <w:jc w:val="both"/>
        <w:ind w:firstLine="747"/>
        <w:spacing w:after="0" w:line="246" w:lineRule="auto"/>
        <w:rPr>
          <w:sz w:val="20"/>
          <w:szCs w:val="20"/>
          <w:color w:val="auto"/>
        </w:rPr>
      </w:pPr>
      <w:r>
        <w:rPr>
          <w:rFonts w:ascii="Times New Roman" w:cs="Times New Roman" w:eastAsia="Times New Roman" w:hAnsi="Times New Roman"/>
          <w:sz w:val="20"/>
          <w:szCs w:val="20"/>
          <w:color w:val="auto"/>
        </w:rPr>
        <w:t>Rule 10b-5, promulgated under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imposes significant liabilities on insiders who trade the securities of companies while in possession of material non-public information. However, Rule 10b5-1 provides an affirmative defense that applies to persons who can establish that a trade was made pursuant to a binding contract, written plan or instruction to another person that came into existence before the person became aware of the material non-public information and meets very specific conditions set forth in the rule. These so-called “</w:t>
      </w:r>
      <w:r>
        <w:rPr>
          <w:rFonts w:ascii="Times New Roman" w:cs="Times New Roman" w:eastAsia="Times New Roman" w:hAnsi="Times New Roman"/>
          <w:sz w:val="20"/>
          <w:szCs w:val="20"/>
          <w:u w:val="single" w:color="auto"/>
          <w:color w:val="auto"/>
        </w:rPr>
        <w:t>10b5-1 plans</w:t>
      </w:r>
      <w:r>
        <w:rPr>
          <w:rFonts w:ascii="Times New Roman" w:cs="Times New Roman" w:eastAsia="Times New Roman" w:hAnsi="Times New Roman"/>
          <w:sz w:val="20"/>
          <w:szCs w:val="20"/>
          <w:color w:val="auto"/>
        </w:rPr>
        <w:t>” provide corporate insiders with increased trading flexibility.</w:t>
      </w:r>
    </w:p>
    <w:p>
      <w:pPr>
        <w:spacing w:after="0" w:line="73" w:lineRule="exact"/>
        <w:rPr>
          <w:sz w:val="20"/>
          <w:szCs w:val="20"/>
          <w:color w:val="auto"/>
        </w:rPr>
      </w:pPr>
    </w:p>
    <w:p>
      <w:pPr>
        <w:jc w:val="both"/>
        <w:ind w:firstLine="747"/>
        <w:spacing w:after="0" w:line="256" w:lineRule="auto"/>
        <w:rPr>
          <w:sz w:val="20"/>
          <w:szCs w:val="20"/>
          <w:color w:val="auto"/>
        </w:rPr>
      </w:pPr>
      <w:r>
        <w:rPr>
          <w:rFonts w:ascii="Times New Roman" w:cs="Times New Roman" w:eastAsia="Times New Roman" w:hAnsi="Times New Roman"/>
          <w:sz w:val="20"/>
          <w:szCs w:val="20"/>
          <w:color w:val="auto"/>
        </w:rPr>
        <w:t xml:space="preserve">To gain the protections of the affirmative defense available under Rule 10b5-1, an insider must, among other requirements, </w:t>
      </w:r>
      <w:r>
        <w:rPr>
          <w:rFonts w:ascii="Times New Roman" w:cs="Times New Roman" w:eastAsia="Times New Roman" w:hAnsi="Times New Roman"/>
          <w:sz w:val="20"/>
          <w:szCs w:val="20"/>
          <w:b w:val="1"/>
          <w:bCs w:val="1"/>
          <w:u w:val="single" w:color="auto"/>
          <w:color w:val="auto"/>
        </w:rPr>
        <w:t>adopt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the 10b5-1 plan while not aware of material non-public information</w:t>
      </w:r>
      <w:r>
        <w:rPr>
          <w:rFonts w:ascii="Times New Roman" w:cs="Times New Roman" w:eastAsia="Times New Roman" w:hAnsi="Times New Roman"/>
          <w:sz w:val="20"/>
          <w:szCs w:val="20"/>
          <w:color w:val="auto"/>
        </w:rPr>
        <w:t>, enter into such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in good faith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not as a plan or scheme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evade the prohibitions of Section 10(b) of the Exchange Act, and act </w:t>
      </w:r>
      <w:r>
        <w:rPr>
          <w:rFonts w:ascii="Times New Roman" w:cs="Times New Roman" w:eastAsia="Times New Roman" w:hAnsi="Times New Roman"/>
          <w:sz w:val="20"/>
          <w:szCs w:val="20"/>
          <w:b w:val="1"/>
          <w:bCs w:val="1"/>
          <w:color w:val="auto"/>
        </w:rPr>
        <w:t>in good faith</w:t>
      </w:r>
      <w:r>
        <w:rPr>
          <w:rFonts w:ascii="Times New Roman" w:cs="Times New Roman" w:eastAsia="Times New Roman" w:hAnsi="Times New Roman"/>
          <w:sz w:val="20"/>
          <w:szCs w:val="20"/>
          <w:color w:val="auto"/>
        </w:rPr>
        <w:t xml:space="preserve"> with respect to such 10b5-1 plan.</w:t>
      </w:r>
    </w:p>
    <w:p>
      <w:pPr>
        <w:spacing w:after="0" w:line="6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Any document intended to qualify as a 10b5-1 plan must adhere to the requirements of Rule 10b5-1, including the restrictions set forth below, and such document (including any amendments or modifications thereof) must be reviewed and approved by the General Counsel or his designee in advance of adoption, amendment or modification.</w:t>
      </w:r>
    </w:p>
    <w:p>
      <w:pPr>
        <w:spacing w:after="0" w:line="62" w:lineRule="exact"/>
        <w:rPr>
          <w:sz w:val="20"/>
          <w:szCs w:val="20"/>
          <w:color w:val="auto"/>
        </w:rPr>
      </w:pPr>
    </w:p>
    <w:p>
      <w:pPr>
        <w:jc w:val="both"/>
        <w:ind w:left="760" w:hanging="378"/>
        <w:spacing w:after="0" w:line="244" w:lineRule="auto"/>
        <w:tabs>
          <w:tab w:leader="none" w:pos="76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Cooling-Off Period</w:t>
      </w:r>
      <w:r>
        <w:rPr>
          <w:rFonts w:ascii="Times New Roman" w:cs="Times New Roman" w:eastAsia="Times New Roman" w:hAnsi="Times New Roman"/>
          <w:sz w:val="20"/>
          <w:szCs w:val="20"/>
          <w:color w:val="auto"/>
        </w:rPr>
        <w:t>. Each 10b5-1 plan must provide for a cooling-off period prior to the commencement of trading thereunder. If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you are a director or officer (as defined in Section 16 of the Exchange Act), the cooling-off period must expire no earlier than the later of (i) ninety (90) days following adoption of the plan or (ii) two (2) full business days after the date of filing of the Company’s Form 10-K or Form 10-Q that includes financial results for the quarter during which the plan was adopted, subject to a maximum cooling-off period of one hundred twenty (120) days after adoption of the plan. If you are not a director or officer, the cooling-off period must be at least thirty (30) days after adoption of the plan. In addition, in the event of any modification or change to the amount, price or timing of a trade under a 10b5-1 plan, a new cooling-off period as described above will be required between such modification or change and the first possible transaction under such revised 10b5-1 plan or any new 10b5-1 plan.</w:t>
      </w:r>
    </w:p>
    <w:p>
      <w:pPr>
        <w:spacing w:after="0" w:line="73" w:lineRule="exact"/>
        <w:rPr>
          <w:rFonts w:ascii="Times New Roman" w:cs="Times New Roman" w:eastAsia="Times New Roman" w:hAnsi="Times New Roman"/>
          <w:sz w:val="20"/>
          <w:szCs w:val="20"/>
          <w:color w:val="auto"/>
        </w:rPr>
      </w:pPr>
    </w:p>
    <w:p>
      <w:pPr>
        <w:jc w:val="both"/>
        <w:ind w:left="760" w:hanging="378"/>
        <w:spacing w:after="0" w:line="256" w:lineRule="auto"/>
        <w:tabs>
          <w:tab w:leader="none" w:pos="76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Modifications to 10b5-1 Plans</w:t>
      </w:r>
      <w:r>
        <w:rPr>
          <w:rFonts w:ascii="Times New Roman" w:cs="Times New Roman" w:eastAsia="Times New Roman" w:hAnsi="Times New Roman"/>
          <w:sz w:val="20"/>
          <w:szCs w:val="20"/>
          <w:color w:val="auto"/>
        </w:rPr>
        <w:t>. Any modification or change to the amount, price or timing of a trade under a 10b5-1 plan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constitutes the adoption of a new plan with such modified terms, subject to compliance with all of the requirements of Rule 10b5-1 associated with establishing a 10b5-1 plan.</w:t>
      </w:r>
    </w:p>
    <w:p>
      <w:pPr>
        <w:spacing w:after="0" w:line="60" w:lineRule="exact"/>
        <w:rPr>
          <w:rFonts w:ascii="Times New Roman" w:cs="Times New Roman" w:eastAsia="Times New Roman" w:hAnsi="Times New Roman"/>
          <w:sz w:val="20"/>
          <w:szCs w:val="20"/>
          <w:color w:val="auto"/>
        </w:rPr>
      </w:pPr>
    </w:p>
    <w:p>
      <w:pPr>
        <w:jc w:val="both"/>
        <w:ind w:left="760" w:hanging="378"/>
        <w:spacing w:after="0" w:line="245" w:lineRule="auto"/>
        <w:tabs>
          <w:tab w:leader="none" w:pos="76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Multiple Overlapping Plans</w:t>
      </w:r>
      <w:r>
        <w:rPr>
          <w:rFonts w:ascii="Times New Roman" w:cs="Times New Roman" w:eastAsia="Times New Roman" w:hAnsi="Times New Roman"/>
          <w:sz w:val="20"/>
          <w:szCs w:val="20"/>
          <w:color w:val="auto"/>
        </w:rPr>
        <w:t>. No person entering into a 10b5-1 plan may have a separate 10b5-1 plan outstanding, except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person may (i) use multiple brokers to effect transactions that, when taken together, satisfy the requirements for a 10b5-1 plan, (ii) maintain another 10b5-1 plan so long as transactions under the later-commencing plan cannot begin until after all transactions under the earlier-commencing plan have been completed or expire without completion and the applicable cooling-off period is satisfied, treating any early termination of the earlier-commencing plan as the date of adoption of the later-commencing plan, or (iii) adopt a second plan that only allows sales that are necessary to satisfy tax withholding obligations that arise from the vesting of a compensatory award and such person does not exercise control over the timing of such sales.</w:t>
      </w:r>
    </w:p>
    <w:p>
      <w:pPr>
        <w:spacing w:after="0" w:line="71" w:lineRule="exact"/>
        <w:rPr>
          <w:rFonts w:ascii="Times New Roman" w:cs="Times New Roman" w:eastAsia="Times New Roman" w:hAnsi="Times New Roman"/>
          <w:sz w:val="20"/>
          <w:szCs w:val="20"/>
          <w:color w:val="auto"/>
        </w:rPr>
      </w:pPr>
    </w:p>
    <w:p>
      <w:pPr>
        <w:ind w:left="760" w:hanging="378"/>
        <w:spacing w:after="0" w:line="273" w:lineRule="auto"/>
        <w:tabs>
          <w:tab w:leader="none" w:pos="76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Limitation on Single Trade Plans</w:t>
      </w:r>
      <w:r>
        <w:rPr>
          <w:rFonts w:ascii="Times New Roman" w:cs="Times New Roman" w:eastAsia="Times New Roman" w:hAnsi="Times New Roman"/>
          <w:sz w:val="20"/>
          <w:szCs w:val="20"/>
          <w:color w:val="auto"/>
        </w:rPr>
        <w:t>. No person may adopt a 10b5-1 plan that contemplates only a single transaction if such person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had adopted a plan contemplating only a single transaction within the prior twelve (12) months.</w:t>
      </w:r>
    </w:p>
    <w:p>
      <w:pPr>
        <w:spacing w:after="0" w:line="43" w:lineRule="exact"/>
        <w:rPr>
          <w:rFonts w:ascii="Times New Roman" w:cs="Times New Roman" w:eastAsia="Times New Roman" w:hAnsi="Times New Roman"/>
          <w:sz w:val="20"/>
          <w:szCs w:val="20"/>
          <w:color w:val="auto"/>
        </w:rPr>
      </w:pPr>
    </w:p>
    <w:p>
      <w:pPr>
        <w:jc w:val="both"/>
        <w:ind w:left="760" w:hanging="378"/>
        <w:spacing w:after="0" w:line="246" w:lineRule="auto"/>
        <w:tabs>
          <w:tab w:leader="none" w:pos="76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Certification by Directors and Officers</w:t>
      </w:r>
      <w:r>
        <w:rPr>
          <w:rFonts w:ascii="Times New Roman" w:cs="Times New Roman" w:eastAsia="Times New Roman" w:hAnsi="Times New Roman"/>
          <w:sz w:val="20"/>
          <w:szCs w:val="20"/>
          <w:color w:val="auto"/>
        </w:rPr>
        <w:t>. Directors and officers (as defined in Section 16 of the Exchange Act) must include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representation in the 10b5-1 plan certifying that, on the date of adoption of the plan, such director or officer is not aware of material non-public information about the Company or its securities and such director or officer is adopting the 10b5-1 plan in good faith and not as part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141" w:name="page142"/>
    <w:bookmarkEnd w:id="141"/>
    <w:p>
      <w:pPr>
        <w:ind w:left="760"/>
        <w:spacing w:after="0"/>
        <w:rPr>
          <w:sz w:val="20"/>
          <w:szCs w:val="20"/>
          <w:color w:val="auto"/>
        </w:rPr>
      </w:pPr>
      <w:r>
        <w:rPr>
          <w:rFonts w:ascii="Times New Roman" w:cs="Times New Roman" w:eastAsia="Times New Roman" w:hAnsi="Times New Roman"/>
          <w:sz w:val="20"/>
          <w:szCs w:val="20"/>
          <w:color w:val="auto"/>
        </w:rPr>
        <w:t>of a plan or scheme to evade the prohibitions of Exchange Act Section 10(b) and Exchange Act Rule 10b5-1.</w:t>
      </w:r>
    </w:p>
    <w:p>
      <w:pPr>
        <w:spacing w:after="0" w:line="104" w:lineRule="exact"/>
        <w:rPr>
          <w:sz w:val="20"/>
          <w:szCs w:val="20"/>
          <w:color w:val="auto"/>
        </w:rPr>
      </w:pPr>
    </w:p>
    <w:p>
      <w:pPr>
        <w:jc w:val="both"/>
        <w:ind w:left="760" w:hanging="378"/>
        <w:spacing w:after="0" w:line="243" w:lineRule="auto"/>
        <w:tabs>
          <w:tab w:leader="none" w:pos="76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Information Provided by Directors and Officers</w:t>
      </w:r>
      <w:r>
        <w:rPr>
          <w:rFonts w:ascii="Times New Roman" w:cs="Times New Roman" w:eastAsia="Times New Roman" w:hAnsi="Times New Roman"/>
          <w:sz w:val="20"/>
          <w:szCs w:val="20"/>
          <w:color w:val="auto"/>
        </w:rPr>
        <w:t>. Each quarter the Company is required to publicly disclose when directors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officers adopt or terminate 10b5-1 plans and provide a description of the material terms of each plan, including the name of the director or officer, the date of adoption or termination, the duration and the aggregate number of securities to be purchased or sold (however, the price at which the person executing the plan is authorized to trade does not need to be publicly disclosed). Therefore, directors and officers (as defined in Section 16 of the Exchange Act) must provide the General Counsel or his designee with a final executed copy of, and any amendments to, (i) any 10b5-1 plan and (ii) any other adopted written arrangement for trading the Company’s securities, in each case within two business days of the adoption or amendment thereof. In addition, directors and officers (as defined in Section 16 of the Exchange Act) must notify the General Counsel or his designee of any termination of any 10b5-1 plan or such other written securities trading arrangement promptly upon termination.</w:t>
      </w:r>
    </w:p>
    <w:p>
      <w:pPr>
        <w:spacing w:after="0" w:line="82" w:lineRule="exact"/>
        <w:rPr>
          <w:sz w:val="20"/>
          <w:szCs w:val="20"/>
          <w:color w:val="auto"/>
        </w:rPr>
      </w:pPr>
    </w:p>
    <w:p>
      <w:pPr>
        <w:jc w:val="both"/>
        <w:ind w:firstLine="747"/>
        <w:spacing w:after="0" w:line="254" w:lineRule="auto"/>
        <w:rPr>
          <w:sz w:val="20"/>
          <w:szCs w:val="20"/>
          <w:color w:val="auto"/>
        </w:rPr>
      </w:pPr>
      <w:r>
        <w:rPr>
          <w:rFonts w:ascii="Times New Roman" w:cs="Times New Roman" w:eastAsia="Times New Roman" w:hAnsi="Times New Roman"/>
          <w:sz w:val="20"/>
          <w:szCs w:val="20"/>
          <w:color w:val="auto"/>
        </w:rPr>
        <w:t>In addition to the requirements of Rule 10b5-1 as set forth above or otherwise contained in such rule, and in order to avoid even the appearance of practices that might be viewed as abusive based on later developments, the following additional requirements apply to 10b5-1 plans under the Company’s Insider Trading Policy:</w:t>
      </w:r>
    </w:p>
    <w:p>
      <w:pPr>
        <w:spacing w:after="0" w:line="62" w:lineRule="exact"/>
        <w:rPr>
          <w:sz w:val="20"/>
          <w:szCs w:val="20"/>
          <w:color w:val="auto"/>
        </w:rPr>
      </w:pPr>
    </w:p>
    <w:p>
      <w:pPr>
        <w:ind w:left="1500" w:hanging="743"/>
        <w:spacing w:after="0"/>
        <w:tabs>
          <w:tab w:leader="none" w:pos="150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Trading windows</w:t>
      </w:r>
      <w:r>
        <w:rPr>
          <w:rFonts w:ascii="Times New Roman" w:cs="Times New Roman" w:eastAsia="Times New Roman" w:hAnsi="Times New Roman"/>
          <w:sz w:val="20"/>
          <w:szCs w:val="20"/>
          <w:color w:val="auto"/>
        </w:rPr>
        <w:t>. Persons should not enter into, modify or terminate a 10b5-1 plan outside of open trading windows.</w:t>
      </w:r>
    </w:p>
    <w:p>
      <w:pPr>
        <w:spacing w:after="0" w:line="107" w:lineRule="exact"/>
        <w:rPr>
          <w:rFonts w:ascii="Times New Roman" w:cs="Times New Roman" w:eastAsia="Times New Roman" w:hAnsi="Times New Roman"/>
          <w:sz w:val="20"/>
          <w:szCs w:val="20"/>
          <w:color w:val="auto"/>
        </w:rPr>
      </w:pPr>
    </w:p>
    <w:p>
      <w:pPr>
        <w:ind w:left="1500" w:hanging="743"/>
        <w:spacing w:after="0" w:line="273" w:lineRule="auto"/>
        <w:tabs>
          <w:tab w:leader="none" w:pos="150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Length of plans</w:t>
      </w:r>
      <w:r>
        <w:rPr>
          <w:rFonts w:ascii="Times New Roman" w:cs="Times New Roman" w:eastAsia="Times New Roman" w:hAnsi="Times New Roman"/>
          <w:sz w:val="20"/>
          <w:szCs w:val="20"/>
          <w:color w:val="auto"/>
        </w:rPr>
        <w:t>. 10b5-1 plans should have a maximum length of 12 to 24 months, and with a minimum length of 6</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months.</w:t>
      </w:r>
    </w:p>
    <w:p>
      <w:pPr>
        <w:spacing w:after="0" w:line="43" w:lineRule="exact"/>
        <w:rPr>
          <w:rFonts w:ascii="Times New Roman" w:cs="Times New Roman" w:eastAsia="Times New Roman" w:hAnsi="Times New Roman"/>
          <w:sz w:val="20"/>
          <w:szCs w:val="20"/>
          <w:color w:val="auto"/>
        </w:rPr>
      </w:pPr>
    </w:p>
    <w:p>
      <w:pPr>
        <w:jc w:val="both"/>
        <w:ind w:left="1500" w:hanging="743"/>
        <w:spacing w:after="0" w:line="247" w:lineRule="auto"/>
        <w:tabs>
          <w:tab w:leader="none" w:pos="150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Short-swing trading liability</w:t>
      </w:r>
      <w:r>
        <w:rPr>
          <w:rFonts w:ascii="Times New Roman" w:cs="Times New Roman" w:eastAsia="Times New Roman" w:hAnsi="Times New Roman"/>
          <w:sz w:val="20"/>
          <w:szCs w:val="20"/>
          <w:color w:val="auto"/>
        </w:rPr>
        <w:t>. 10b5-1 plans will not shield a Section 16 officer from short-swing trading liability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16 of the Exchange Act. Accordingly, a 10b5-1 sales plan will not be approved for any Section 16 officer who has purchased shares of the Company’s common stock within 6 months of the proposed first transaction under a 10b5-1 plan, or for any such officer who has the intent to purchase the Company’s common stock within 6 months of the proposed last transaction under a 10b5-1 plan.</w:t>
      </w:r>
    </w:p>
    <w:p>
      <w:pPr>
        <w:spacing w:after="0" w:line="72" w:lineRule="exact"/>
        <w:rPr>
          <w:rFonts w:ascii="Times New Roman" w:cs="Times New Roman" w:eastAsia="Times New Roman" w:hAnsi="Times New Roman"/>
          <w:sz w:val="20"/>
          <w:szCs w:val="20"/>
          <w:color w:val="auto"/>
        </w:rPr>
      </w:pPr>
    </w:p>
    <w:p>
      <w:pPr>
        <w:jc w:val="both"/>
        <w:ind w:left="1500" w:hanging="743"/>
        <w:spacing w:after="0" w:line="264" w:lineRule="auto"/>
        <w:tabs>
          <w:tab w:leader="none" w:pos="1500"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Relationships with Plan Broker; No Subsequent Influence. </w:t>
      </w:r>
      <w:r>
        <w:rPr>
          <w:rFonts w:ascii="Times New Roman" w:cs="Times New Roman" w:eastAsia="Times New Roman" w:hAnsi="Times New Roman"/>
          <w:sz w:val="19"/>
          <w:szCs w:val="19"/>
          <w:color w:val="auto"/>
        </w:rPr>
        <w:t>If the 10b5-1 trading plan allows a broker discretion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regarding the details of trading (e.g., timing, share amounts), the participant cannot communicate any material non-public information about the Company, any of its affiliate or subsidiary companies or its securities to the broker, or attempt to influence how the broker exercises its discretion. In addition, any individual who executes the participant’s 10b5-1 trading plan must be a different individual from the person who executes trades for the participant in other securities.</w:t>
      </w:r>
    </w:p>
    <w:p>
      <w:pPr>
        <w:spacing w:after="0" w:line="53" w:lineRule="exact"/>
        <w:rPr>
          <w:rFonts w:ascii="Times New Roman" w:cs="Times New Roman" w:eastAsia="Times New Roman" w:hAnsi="Times New Roman"/>
          <w:sz w:val="19"/>
          <w:szCs w:val="19"/>
          <w:color w:val="auto"/>
        </w:rPr>
      </w:pPr>
    </w:p>
    <w:p>
      <w:pPr>
        <w:jc w:val="both"/>
        <w:ind w:left="1500" w:hanging="743"/>
        <w:spacing w:after="0" w:line="247" w:lineRule="auto"/>
        <w:tabs>
          <w:tab w:leader="none" w:pos="150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Hedging</w:t>
      </w:r>
      <w:r>
        <w:rPr>
          <w:rFonts w:ascii="Times New Roman" w:cs="Times New Roman" w:eastAsia="Times New Roman" w:hAnsi="Times New Roman"/>
          <w:sz w:val="20"/>
          <w:szCs w:val="20"/>
          <w:color w:val="auto"/>
        </w:rPr>
        <w:t>. Individuals subject to the Insider Trading Policy are prohibited from engaging in any hedging or similar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transactions designed to decrease the risks associated with holding Company securities. Likewise, before adopting a 10b5-1 trading plan, the participant may not have entered into a transaction or position that has yet to settle with respect to the securities subject to the 10b5-1 plan. The participant must also agree not to enter into any such transaction while the 10b5-1 plan is in effect.</w:t>
      </w:r>
    </w:p>
    <w:p>
      <w:pPr>
        <w:spacing w:after="0" w:line="72" w:lineRule="exact"/>
        <w:rPr>
          <w:rFonts w:ascii="Times New Roman" w:cs="Times New Roman" w:eastAsia="Times New Roman" w:hAnsi="Times New Roman"/>
          <w:sz w:val="20"/>
          <w:szCs w:val="20"/>
          <w:color w:val="auto"/>
        </w:rPr>
      </w:pPr>
    </w:p>
    <w:p>
      <w:pPr>
        <w:jc w:val="both"/>
        <w:ind w:left="1500" w:hanging="743"/>
        <w:spacing w:after="0" w:line="256" w:lineRule="auto"/>
        <w:tabs>
          <w:tab w:leader="none" w:pos="150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Compliance with Rule 144</w:t>
      </w:r>
      <w:r>
        <w:rPr>
          <w:rFonts w:ascii="Times New Roman" w:cs="Times New Roman" w:eastAsia="Times New Roman" w:hAnsi="Times New Roman"/>
          <w:sz w:val="20"/>
          <w:szCs w:val="20"/>
          <w:color w:val="auto"/>
        </w:rPr>
        <w:t>. Each 10b5-1 trading plan must provide for specific procedures to comply with Rule 144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the Securities Act of 1933, as amended, including the filing of Forms 144. If you need additional information on Rule 144 and Form 144, please contact the General Counsel or his designee.</w:t>
      </w:r>
    </w:p>
    <w:p>
      <w:pPr>
        <w:spacing w:after="0" w:line="60"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Broker Obligation to Provide Notice of Trades</w:t>
      </w:r>
      <w:r>
        <w:rPr>
          <w:rFonts w:ascii="Times New Roman" w:cs="Times New Roman" w:eastAsia="Times New Roman" w:hAnsi="Times New Roman"/>
          <w:sz w:val="20"/>
          <w:szCs w:val="20"/>
          <w:color w:val="auto"/>
        </w:rPr>
        <w:t>. Each 10b5-1 trading plan must provide that the broker will promptly</w:t>
      </w:r>
    </w:p>
    <w:p>
      <w:pPr>
        <w:spacing w:after="0" w:line="26" w:lineRule="exact"/>
        <w:rPr>
          <w:sz w:val="20"/>
          <w:szCs w:val="20"/>
          <w:color w:val="auto"/>
        </w:rPr>
      </w:pPr>
    </w:p>
    <w:p>
      <w:pPr>
        <w:ind w:left="1500"/>
        <w:spacing w:after="0" w:line="239" w:lineRule="auto"/>
        <w:rPr>
          <w:sz w:val="20"/>
          <w:szCs w:val="20"/>
          <w:color w:val="auto"/>
        </w:rPr>
      </w:pPr>
      <w:r>
        <w:rPr>
          <w:rFonts w:ascii="Times New Roman" w:cs="Times New Roman" w:eastAsia="Times New Roman" w:hAnsi="Times New Roman"/>
          <w:sz w:val="20"/>
          <w:szCs w:val="20"/>
          <w:color w:val="auto"/>
        </w:rPr>
        <w:t>notify the participant and the Company of any trades under the plan so that the participant can make timely filings under the Exchange Act.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2" w:name="page143"/>
    <w:bookmarkEnd w:id="142"/>
    <w:p>
      <w:pPr>
        <w:jc w:val="both"/>
        <w:ind w:left="1500" w:hanging="743"/>
        <w:spacing w:after="0" w:line="256" w:lineRule="auto"/>
        <w:tabs>
          <w:tab w:leader="none" w:pos="150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Participant Obligation to Make Exchange Act Filings</w:t>
      </w:r>
      <w:r>
        <w:rPr>
          <w:rFonts w:ascii="Times New Roman" w:cs="Times New Roman" w:eastAsia="Times New Roman" w:hAnsi="Times New Roman"/>
          <w:sz w:val="20"/>
          <w:szCs w:val="20"/>
          <w:color w:val="auto"/>
        </w:rPr>
        <w:t>. Each 10b5-1 plan must contain an explicit acknowledgement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participant that all filings required by the Exchange Act, as a result of or in connection with trades under the plan, are the sole obligation of the participant and not the Company.</w:t>
      </w:r>
    </w:p>
    <w:p>
      <w:pPr>
        <w:spacing w:after="0" w:line="60" w:lineRule="exact"/>
        <w:rPr>
          <w:rFonts w:ascii="Times New Roman" w:cs="Times New Roman" w:eastAsia="Times New Roman" w:hAnsi="Times New Roman"/>
          <w:sz w:val="20"/>
          <w:szCs w:val="20"/>
          <w:color w:val="auto"/>
        </w:rPr>
      </w:pPr>
    </w:p>
    <w:p>
      <w:pPr>
        <w:jc w:val="both"/>
        <w:ind w:left="1500" w:hanging="743"/>
        <w:spacing w:after="0" w:line="256" w:lineRule="auto"/>
        <w:tabs>
          <w:tab w:leader="none" w:pos="150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Required Footnote Disclosure</w:t>
      </w:r>
      <w:r>
        <w:rPr>
          <w:rFonts w:ascii="Times New Roman" w:cs="Times New Roman" w:eastAsia="Times New Roman" w:hAnsi="Times New Roman"/>
          <w:sz w:val="20"/>
          <w:szCs w:val="20"/>
          <w:color w:val="auto"/>
        </w:rPr>
        <w:t>. Participants must footnote trades disclosed on Forms 4 and Forms 144 to indicate that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trades were made pursuant to a 10b5-1 plan as well as identify, by check box, the use of Rule 10b5-1 as required by the applicable form.</w:t>
      </w:r>
    </w:p>
    <w:p>
      <w:pPr>
        <w:spacing w:after="0" w:line="16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u w:val="single" w:color="auto"/>
          <w:color w:val="auto"/>
        </w:rPr>
        <w:t>Under the Company’s Insider Trading Policy, the General Counsel is required to be notified prior to any director, officer, employee or consultant entering into, modifying or terminating a 10b5-1 plan or selling shares outside of a 10b5-1 plan</w:t>
      </w:r>
      <w:r>
        <w:rPr>
          <w:rFonts w:ascii="Times New Roman" w:cs="Times New Roman" w:eastAsia="Times New Roman" w:hAnsi="Times New Roman"/>
          <w:sz w:val="20"/>
          <w:szCs w:val="20"/>
          <w:color w:val="auto"/>
        </w:rPr>
        <w:t>. In addition,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General Counsel must be notified prior to any other person who is subject to the Company’s Insider Trading Policy entering into, modifying or terminating a 10b5-1 plan.</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515620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36" w:right="35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22"/>
          <w:szCs w:val="22"/>
          <w:color w:val="auto"/>
        </w:rPr>
        <w:t>Exhibit 21.1</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LSB INDUSTRIES,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SUBSIDIARY LISTING</w:t>
      </w:r>
    </w:p>
    <w:p>
      <w:pPr>
        <w:jc w:val="center"/>
        <w:spacing w:after="0"/>
        <w:rPr>
          <w:sz w:val="20"/>
          <w:szCs w:val="20"/>
          <w:color w:val="auto"/>
        </w:rPr>
      </w:pPr>
      <w:r>
        <w:rPr>
          <w:rFonts w:ascii="Times New Roman" w:cs="Times New Roman" w:eastAsia="Times New Roman" w:hAnsi="Times New Roman"/>
          <w:sz w:val="22"/>
          <w:szCs w:val="22"/>
          <w:b w:val="1"/>
          <w:bCs w:val="1"/>
          <w:color w:val="auto"/>
        </w:rPr>
        <w:t>December 31, 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LSB INDUSTRIES, INC. (Direct subsidiaries in bold italics)</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LSB Insurance L.L.C.</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LSB Chemical L.L.C.</w:t>
      </w:r>
    </w:p>
    <w:p>
      <w:pPr>
        <w:ind w:left="1500"/>
        <w:spacing w:after="0" w:line="230" w:lineRule="auto"/>
        <w:rPr>
          <w:sz w:val="20"/>
          <w:szCs w:val="20"/>
          <w:color w:val="auto"/>
        </w:rPr>
      </w:pPr>
      <w:r>
        <w:rPr>
          <w:rFonts w:ascii="Times New Roman" w:cs="Times New Roman" w:eastAsia="Times New Roman" w:hAnsi="Times New Roman"/>
          <w:sz w:val="22"/>
          <w:szCs w:val="22"/>
          <w:color w:val="auto"/>
        </w:rPr>
        <w:t>Chemex I Corp.</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TRISON Construction, Inc.</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companies are Oklahoma entities, except LSB industries, Inc., which is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1020" w:hanging="503"/>
        <w:spacing w:after="0"/>
        <w:tabs>
          <w:tab w:leader="none" w:pos="10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333-212281) pertaining to the LSB Industries, Inc. 2016 Long Term Incentive Plan, as amended;</w:t>
      </w:r>
    </w:p>
    <w:p>
      <w:pPr>
        <w:spacing w:after="0" w:line="225"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333-256573) pertaining to the LSB Industries, Inc. 2016 Long Term Incentive Plan, as amended and restated;</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333-288317) pertaining to the LSB Industries, Inc. 2025 Long Term Incentive Plan; and</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333-265926) pertaining to the LSB Industries, Inc. 2022 Employee Stock Purchase Plan.</w:t>
      </w:r>
    </w:p>
    <w:p>
      <w:pPr>
        <w:spacing w:after="0" w:line="225"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of our reports dated February 26, 2026, with respect to the consolidated financial statements of LSB Industries, Inc. and the effectiveness of internal control over financial reporting of LSB Industries, Inc. included in this Annual Report (Form 10-K) of LSB Industries, Inc. for the year ended December 31, 2025.</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6"/>
          <w:szCs w:val="16"/>
          <w:color w:val="auto"/>
        </w:rPr>
        <w:t>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Oklahoma City, Oklahoma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T. Behrman, certify that:</w:t>
      </w:r>
    </w:p>
    <w:p>
      <w:pPr>
        <w:spacing w:after="0" w:line="117" w:lineRule="exact"/>
        <w:rPr>
          <w:sz w:val="20"/>
          <w:szCs w:val="20"/>
          <w:color w:val="auto"/>
        </w:rPr>
      </w:pPr>
    </w:p>
    <w:p>
      <w:pPr>
        <w:ind w:left="520" w:hanging="512"/>
        <w:spacing w:after="0"/>
        <w:tabs>
          <w:tab w:leader="none" w:pos="5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LSB Industries, Inc. (the “registrant”);</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20" w:hanging="514"/>
        <w:spacing w:after="0" w:line="282" w:lineRule="auto"/>
        <w:tabs>
          <w:tab w:leader="none" w:pos="15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3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T. Behrman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Cheryl A. Maguire, certify that:</w:t>
      </w:r>
    </w:p>
    <w:p>
      <w:pPr>
        <w:spacing w:after="0" w:line="117" w:lineRule="exact"/>
        <w:rPr>
          <w:sz w:val="20"/>
          <w:szCs w:val="20"/>
          <w:color w:val="auto"/>
        </w:rPr>
      </w:pPr>
    </w:p>
    <w:p>
      <w:pPr>
        <w:ind w:left="520" w:hanging="512"/>
        <w:spacing w:after="0"/>
        <w:tabs>
          <w:tab w:leader="none" w:pos="5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LSB Industries, Inc. (the “registrant”);</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20" w:hanging="514"/>
        <w:spacing w:after="0" w:line="282" w:lineRule="auto"/>
        <w:tabs>
          <w:tab w:leader="none" w:pos="15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4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Cheryl A. Maguire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LSB Industries, Inc. (“LSB”) on Form 10-K for the year ended December 31, 2025 as filed with the Securities and Exchange Commission on the date hereof (the “Report”). I, Mark T. Behrman, President and Chief Executive Officer of LSB, certify pursuant to 18 U.S.C. §1350, as adopted pursuant to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LSB.</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4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Mark T. Behrman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 and</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Chairman of the Board of Director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certification is furnished to the Securities and Exchange Commission solely for purpose of 18 U.S.C. §1350 subject to the knowledge standard contained therein, and not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LSB Industries, Inc. (“LSB”) on Form 10-K for the year ended December 31, 2025 as filed with the Securities and Exchange Commission on the date hereof (the “Report”), I, Cheryl A. Maguire, Senior Vice President and Chief Financial Officer of LSB, certify pursuant to 18 U.S.C. §1350, as adopted pursuant to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 (a) or 15 (d)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LSB.</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4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Cheryl A. Maguire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certification is furnished to the Securities and Exchange Commission solely for purpose of 18 U.S.C. §1350 subject to the knowledge standard contained therein and not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9" w:name="page150"/>
    <w:bookmarkEnd w:id="149"/>
    <w:p>
      <w:pPr>
        <w:ind w:left="10340"/>
        <w:spacing w:after="0"/>
        <w:rPr>
          <w:sz w:val="20"/>
          <w:szCs w:val="20"/>
          <w:color w:val="auto"/>
        </w:rPr>
      </w:pPr>
      <w:r>
        <w:rPr>
          <w:rFonts w:ascii="Times New Roman" w:cs="Times New Roman" w:eastAsia="Times New Roman" w:hAnsi="Times New Roman"/>
          <w:sz w:val="17"/>
          <w:szCs w:val="17"/>
          <w:color w:val="auto"/>
        </w:rPr>
        <w:t>Exhibit 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wp:posOffset>
            </wp:positionV>
            <wp:extent cx="1388745" cy="96012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47">
                      <a:extLst>
                        <a:ext uri="{28A0092B-C50C-407E-A947-70E740481C1C}"/>
                      </a:extLst>
                    </a:blip>
                    <a:srcRect/>
                    <a:stretch>
                      <a:fillRect/>
                    </a:stretch>
                  </pic:blipFill>
                  <pic:spPr bwMode="auto">
                    <a:xfrm>
                      <a:off x="0" y="0"/>
                      <a:ext cx="1388745" cy="960120"/>
                    </a:xfrm>
                    <a:prstGeom prst="rect">
                      <a:avLst/>
                    </a:prstGeom>
                    <a:noFill/>
                  </pic:spPr>
                </pic:pic>
              </a:graphicData>
            </a:graphic>
          </wp:anchor>
        </w:drawing>
      </w:r>
    </w:p>
    <w:p>
      <w:pPr>
        <w:sectPr>
          <w:pgSz w:w="11900" w:h="16838" w:orient="portrait"/>
          <w:cols w:equalWidth="0" w:num="1">
            <w:col w:w="11220"/>
          </w:cols>
          <w:pgMar w:left="34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7"/>
          <w:szCs w:val="17"/>
          <w:b w:val="1"/>
          <w:bCs w:val="1"/>
          <w:color w:val="auto"/>
        </w:rPr>
        <w:t>Effective Date November 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0000FF"/>
              </w:rPr>
              <w:t>1.</w:t>
            </w:r>
          </w:p>
        </w:tc>
        <w:tc>
          <w:tcPr>
            <w:tcW w:w="74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INTRODUCTION</w:t>
            </w: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0000FF"/>
              </w:rPr>
              <w:t>2.</w:t>
            </w:r>
          </w:p>
        </w:tc>
        <w:tc>
          <w:tcPr>
            <w:tcW w:w="74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ADMINISTRATION</w:t>
            </w: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0000FF"/>
              </w:rPr>
              <w:t>3.</w:t>
            </w:r>
          </w:p>
        </w:tc>
        <w:tc>
          <w:tcPr>
            <w:tcW w:w="74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EFFECTIVE DATE</w:t>
            </w: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0000FF"/>
              </w:rPr>
              <w:t>4.</w:t>
            </w:r>
          </w:p>
        </w:tc>
        <w:tc>
          <w:tcPr>
            <w:tcW w:w="74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COVERED EXECUTIVES</w:t>
            </w: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0000FF"/>
              </w:rPr>
              <w:t>5.</w:t>
            </w:r>
          </w:p>
        </w:tc>
        <w:tc>
          <w:tcPr>
            <w:tcW w:w="74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COVERED COMPENSATION</w:t>
            </w: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0000FF"/>
              </w:rPr>
              <w:t>6.</w:t>
            </w:r>
          </w:p>
        </w:tc>
        <w:tc>
          <w:tcPr>
            <w:tcW w:w="74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FINANCIAL RESTATEMENTS; RECOUPMENT</w:t>
            </w: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0000FF"/>
              </w:rPr>
              <w:t>7.</w:t>
            </w:r>
          </w:p>
        </w:tc>
        <w:tc>
          <w:tcPr>
            <w:tcW w:w="74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METHOD OF RECOUPMENT</w:t>
            </w: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0000FF"/>
              </w:rPr>
              <w:t>8.</w:t>
            </w:r>
          </w:p>
        </w:tc>
        <w:tc>
          <w:tcPr>
            <w:tcW w:w="74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IMPRACTICABILITY EXCEPTIONS</w:t>
            </w: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0000FF"/>
              </w:rPr>
              <w:t>9.</w:t>
            </w:r>
          </w:p>
        </w:tc>
        <w:tc>
          <w:tcPr>
            <w:tcW w:w="74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NO INDEMNIFICATION</w:t>
            </w: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0000FF"/>
              </w:rPr>
              <w:t>10.</w:t>
            </w:r>
          </w:p>
        </w:tc>
        <w:tc>
          <w:tcPr>
            <w:tcW w:w="74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SEVERABILITY</w:t>
            </w: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0000FF"/>
              </w:rPr>
              <w:t>11.</w:t>
            </w:r>
          </w:p>
        </w:tc>
        <w:tc>
          <w:tcPr>
            <w:tcW w:w="74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AMENDMENTS</w:t>
            </w: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0000FF"/>
              </w:rPr>
              <w:t>12.</w:t>
            </w:r>
          </w:p>
        </w:tc>
        <w:tc>
          <w:tcPr>
            <w:tcW w:w="74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NO IMPAIRMENT OF OTHER REMEDIES</w:t>
            </w: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80" w:hanging="398"/>
        <w:spacing w:after="0"/>
        <w:tabs>
          <w:tab w:leader="none" w:pos="480" w:val="left"/>
        </w:tabs>
        <w:numPr>
          <w:ilvl w:val="0"/>
          <w:numId w:val="126"/>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INTRODUCTION</w:t>
      </w:r>
    </w:p>
    <w:p>
      <w:pPr>
        <w:spacing w:after="0" w:line="233" w:lineRule="exact"/>
        <w:rPr>
          <w:sz w:val="20"/>
          <w:szCs w:val="20"/>
          <w:color w:val="auto"/>
        </w:rPr>
      </w:pPr>
    </w:p>
    <w:p>
      <w:pPr>
        <w:jc w:val="both"/>
        <w:ind w:left="80"/>
        <w:spacing w:after="0" w:line="260" w:lineRule="auto"/>
        <w:rPr>
          <w:sz w:val="20"/>
          <w:szCs w:val="20"/>
          <w:color w:val="auto"/>
        </w:rPr>
      </w:pPr>
      <w:r>
        <w:rPr>
          <w:rFonts w:ascii="Times New Roman" w:cs="Times New Roman" w:eastAsia="Times New Roman" w:hAnsi="Times New Roman"/>
          <w:sz w:val="19"/>
          <w:szCs w:val="19"/>
          <w:color w:val="auto"/>
        </w:rPr>
        <w:t>In accordance with Section 10D of the Securities Exchange Act of 1934, as amended (the “</w:t>
      </w:r>
      <w:r>
        <w:rPr>
          <w:rFonts w:ascii="Times New Roman" w:cs="Times New Roman" w:eastAsia="Times New Roman" w:hAnsi="Times New Roman"/>
          <w:sz w:val="19"/>
          <w:szCs w:val="19"/>
          <w:u w:val="single" w:color="auto"/>
          <w:color w:val="auto"/>
        </w:rPr>
        <w:t>Exchange Act</w:t>
      </w:r>
      <w:r>
        <w:rPr>
          <w:rFonts w:ascii="Times New Roman" w:cs="Times New Roman" w:eastAsia="Times New Roman" w:hAnsi="Times New Roman"/>
          <w:sz w:val="19"/>
          <w:szCs w:val="19"/>
          <w:color w:val="auto"/>
        </w:rPr>
        <w:t>”), and the regulations thereunder, the Board of Directors (the “</w:t>
      </w:r>
      <w:r>
        <w:rPr>
          <w:rFonts w:ascii="Times New Roman" w:cs="Times New Roman" w:eastAsia="Times New Roman" w:hAnsi="Times New Roman"/>
          <w:sz w:val="19"/>
          <w:szCs w:val="19"/>
          <w:u w:val="single" w:color="auto"/>
          <w:color w:val="auto"/>
        </w:rPr>
        <w:t>Board</w:t>
      </w:r>
      <w:r>
        <w:rPr>
          <w:rFonts w:ascii="Times New Roman" w:cs="Times New Roman" w:eastAsia="Times New Roman" w:hAnsi="Times New Roman"/>
          <w:sz w:val="19"/>
          <w:szCs w:val="19"/>
          <w:color w:val="auto"/>
        </w:rPr>
        <w:t>”) of LSB Industries, Inc.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has adopted this policy (the “</w:t>
      </w:r>
      <w:r>
        <w:rPr>
          <w:rFonts w:ascii="Times New Roman" w:cs="Times New Roman" w:eastAsia="Times New Roman" w:hAnsi="Times New Roman"/>
          <w:sz w:val="19"/>
          <w:szCs w:val="19"/>
          <w:u w:val="single" w:color="auto"/>
          <w:color w:val="auto"/>
        </w:rPr>
        <w:t>Policy</w:t>
      </w:r>
      <w:r>
        <w:rPr>
          <w:rFonts w:ascii="Times New Roman" w:cs="Times New Roman" w:eastAsia="Times New Roman" w:hAnsi="Times New Roman"/>
          <w:sz w:val="19"/>
          <w:szCs w:val="19"/>
          <w:color w:val="auto"/>
        </w:rPr>
        <w:t>”) providing for the Company’s recoupment of certain incentive-based compensation received by Covered Executives (as defined below) in the event that the Company is required to prepare an accounting restatement due to its material noncompliance with any financial reporting requirement under the securities laws. This Policy is designed to comply with, and shall be construed and interpreted to be consistent with, Section 10D of the Exchange Act, Rule 10D-1 promulgated under the Exchange Act and the related listing rules of the New York Stock Exchange.</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1</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635000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513" w:right="339" w:bottom="1440" w:gutter="0" w:footer="0" w:header="0"/>
          <w:type w:val="continuous"/>
        </w:sectPr>
      </w:pPr>
    </w:p>
    <w:bookmarkStart w:id="150" w:name="page151"/>
    <w:bookmarkEnd w:id="1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337185</wp:posOffset>
            </wp:positionV>
            <wp:extent cx="1388745" cy="96012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49">
                      <a:clrChange>
                        <a:clrFrom>
                          <a:srgbClr val="FFFFFF"/>
                        </a:clrFrom>
                        <a:clrTo>
                          <a:srgbClr val="FFFFFF">
                            <a:alpha val="0"/>
                          </a:srgbClr>
                        </a:clrTo>
                      </a:clrChange>
                      <a:extLst>
                        <a:ext uri="{28A0092B-C50C-407E-A947-70E740481C1C}"/>
                      </a:extLst>
                    </a:blip>
                    <a:srcRect/>
                    <a:stretch>
                      <a:fillRect/>
                    </a:stretch>
                  </pic:blipFill>
                  <pic:spPr bwMode="auto">
                    <a:xfrm>
                      <a:off x="0" y="0"/>
                      <a:ext cx="138874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0" w:hanging="398"/>
        <w:spacing w:after="0"/>
        <w:tabs>
          <w:tab w:leader="none" w:pos="400" w:val="left"/>
        </w:tabs>
        <w:numPr>
          <w:ilvl w:val="0"/>
          <w:numId w:val="127"/>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ADMINISTRATION</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Administration and enforcement of this Policy is delegated to the Compensation and Talent Management Committee of the Board (as constituted from time to time, and including any successor committee, the “</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The Committee shall make all determinations under this Policy in its sole discretion. Determinations of the Committee under this Policy need not be uniform with respect to any or all Covered Executives and will be final and binding.</w:t>
      </w:r>
    </w:p>
    <w:p>
      <w:pPr>
        <w:spacing w:after="0" w:line="200" w:lineRule="exact"/>
        <w:rPr>
          <w:sz w:val="20"/>
          <w:szCs w:val="20"/>
          <w:color w:val="auto"/>
        </w:rPr>
      </w:pPr>
    </w:p>
    <w:p>
      <w:pPr>
        <w:spacing w:after="0" w:line="205" w:lineRule="exact"/>
        <w:rPr>
          <w:sz w:val="20"/>
          <w:szCs w:val="20"/>
          <w:color w:val="auto"/>
        </w:rPr>
      </w:pPr>
    </w:p>
    <w:p>
      <w:pPr>
        <w:ind w:left="400" w:hanging="398"/>
        <w:spacing w:after="0"/>
        <w:tabs>
          <w:tab w:leader="none" w:pos="400" w:val="left"/>
        </w:tabs>
        <w:numPr>
          <w:ilvl w:val="0"/>
          <w:numId w:val="128"/>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EFFECTIVE DATE</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This Policy shall be effective with respect to Covered Compensation (as defined below) that is received by Covered Executives on or after October 2, 2023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w:t>
      </w:r>
    </w:p>
    <w:p>
      <w:pPr>
        <w:spacing w:after="0" w:line="385" w:lineRule="exact"/>
        <w:rPr>
          <w:sz w:val="20"/>
          <w:szCs w:val="20"/>
          <w:color w:val="auto"/>
        </w:rPr>
      </w:pPr>
    </w:p>
    <w:p>
      <w:pPr>
        <w:ind w:left="400" w:hanging="398"/>
        <w:spacing w:after="0"/>
        <w:tabs>
          <w:tab w:leader="none" w:pos="400" w:val="left"/>
        </w:tabs>
        <w:numPr>
          <w:ilvl w:val="0"/>
          <w:numId w:val="129"/>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COVERED EXECUTIVES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Policy covers each current or former officer of the Company subject to Section 16 of the Exchange Act (each, a “</w:t>
      </w:r>
      <w:r>
        <w:rPr>
          <w:rFonts w:ascii="Times New Roman" w:cs="Times New Roman" w:eastAsia="Times New Roman" w:hAnsi="Times New Roman"/>
          <w:sz w:val="19"/>
          <w:szCs w:val="19"/>
          <w:u w:val="single" w:color="auto"/>
          <w:color w:val="auto"/>
        </w:rPr>
        <w:t>Covered Executive</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53" w:lineRule="exact"/>
        <w:rPr>
          <w:sz w:val="20"/>
          <w:szCs w:val="20"/>
          <w:color w:val="auto"/>
        </w:rPr>
      </w:pPr>
    </w:p>
    <w:p>
      <w:pPr>
        <w:ind w:left="400" w:hanging="398"/>
        <w:spacing w:after="0"/>
        <w:tabs>
          <w:tab w:leader="none" w:pos="400" w:val="left"/>
        </w:tabs>
        <w:numPr>
          <w:ilvl w:val="0"/>
          <w:numId w:val="130"/>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COVERED COMPENSATION</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This Policy applies to any cash-based or equity-based incentive compensation, bonus, and/or award that is or was received by a Covered Executive and that is based, wholly or in part, upon the attainment of any financial reporting measure (“</w:t>
      </w:r>
      <w:r>
        <w:rPr>
          <w:rFonts w:ascii="Times New Roman" w:cs="Times New Roman" w:eastAsia="Times New Roman" w:hAnsi="Times New Roman"/>
          <w:sz w:val="20"/>
          <w:szCs w:val="20"/>
          <w:u w:val="single" w:color="auto"/>
          <w:color w:val="auto"/>
        </w:rPr>
        <w:t>Covered Compensation</w:t>
      </w:r>
      <w:r>
        <w:rPr>
          <w:rFonts w:ascii="Times New Roman" w:cs="Times New Roman" w:eastAsia="Times New Roman" w:hAnsi="Times New Roman"/>
          <w:sz w:val="20"/>
          <w:szCs w:val="20"/>
          <w:color w:val="auto"/>
        </w:rPr>
        <w:t>”). For the avoidance of doubt, none of the following shall be deemed to be Covered Compensation: base salary, a bonus that is paid solely at the discretion of the Committee or Board and not paid from a bonus pool determined by satisfying a financial reporting measure performance goal, and cash or equity-based awards that are earned solely upon satisfaction of one or more subjective or strategic standards. This Policy shall apply to any Covered Compensation received by an employee who served as a Covered Executive at any time during the performance period for that Covered Compensation.</w:t>
      </w:r>
    </w:p>
    <w:p>
      <w:pPr>
        <w:spacing w:after="0" w:line="200" w:lineRule="exact"/>
        <w:rPr>
          <w:sz w:val="20"/>
          <w:szCs w:val="20"/>
          <w:color w:val="auto"/>
        </w:rPr>
      </w:pPr>
    </w:p>
    <w:p>
      <w:pPr>
        <w:spacing w:after="0" w:line="211" w:lineRule="exact"/>
        <w:rPr>
          <w:sz w:val="20"/>
          <w:szCs w:val="20"/>
          <w:color w:val="auto"/>
        </w:rPr>
      </w:pPr>
    </w:p>
    <w:p>
      <w:pPr>
        <w:ind w:left="400" w:hanging="398"/>
        <w:spacing w:after="0"/>
        <w:tabs>
          <w:tab w:leader="none" w:pos="400" w:val="left"/>
        </w:tabs>
        <w:numPr>
          <w:ilvl w:val="0"/>
          <w:numId w:val="131"/>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FINANCIAL RESTATEMENTS; RECOUPMENT</w:t>
      </w:r>
    </w:p>
    <w:p>
      <w:pPr>
        <w:spacing w:after="0" w:line="2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(such an accounting restatement, a “</w:t>
      </w:r>
      <w:r>
        <w:rPr>
          <w:rFonts w:ascii="Times New Roman" w:cs="Times New Roman" w:eastAsia="Times New Roman" w:hAnsi="Times New Roman"/>
          <w:sz w:val="20"/>
          <w:szCs w:val="20"/>
          <w:u w:val="single" w:color="auto"/>
          <w:color w:val="auto"/>
        </w:rPr>
        <w:t>Restatement</w:t>
      </w:r>
      <w:r>
        <w:rPr>
          <w:rFonts w:ascii="Times New Roman" w:cs="Times New Roman" w:eastAsia="Times New Roman" w:hAnsi="Times New Roman"/>
          <w:sz w:val="20"/>
          <w:szCs w:val="20"/>
          <w:color w:val="auto"/>
        </w:rPr>
        <w:t>”), the Committee shall review the Covered Compensation received by a</w:t>
      </w:r>
    </w:p>
    <w:p>
      <w:pPr>
        <w:spacing w:after="0" w:line="14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0"/>
          <w:szCs w:val="20"/>
          <w:b w:val="1"/>
          <w:bCs w:val="1"/>
          <w:color w:val="auto"/>
        </w:rPr>
        <w:t>2</w:t>
      </w:r>
      <w:r>
        <w:rPr>
          <w:rFonts w:ascii="Times New Roman" w:cs="Times New Roman" w:eastAsia="Times New Roman" w:hAnsi="Times New Roman"/>
          <w:sz w:val="20"/>
          <w:szCs w:val="20"/>
          <w:color w:val="auto"/>
        </w:rPr>
        <w:t xml:space="preserve">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638175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40" w:right="339" w:bottom="1440" w:gutter="0" w:footer="0" w:header="0"/>
        </w:sectPr>
      </w:pPr>
    </w:p>
    <w:bookmarkStart w:id="151" w:name="page152"/>
    <w:bookmarkEnd w:id="1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337185</wp:posOffset>
            </wp:positionV>
            <wp:extent cx="1388745" cy="96012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51">
                      <a:clrChange>
                        <a:clrFrom>
                          <a:srgbClr val="FFFFFF"/>
                        </a:clrFrom>
                        <a:clrTo>
                          <a:srgbClr val="FFFFFF">
                            <a:alpha val="0"/>
                          </a:srgbClr>
                        </a:clrTo>
                      </a:clrChange>
                      <a:extLst>
                        <a:ext uri="{28A0092B-C50C-407E-A947-70E740481C1C}"/>
                      </a:extLst>
                    </a:blip>
                    <a:srcRect/>
                    <a:stretch>
                      <a:fillRect/>
                    </a:stretch>
                  </pic:blipFill>
                  <pic:spPr bwMode="auto">
                    <a:xfrm>
                      <a:off x="0" y="0"/>
                      <a:ext cx="138874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Covered Executive during the three-fiscal year period preceding the Required Financial Restatement Date (as defined below) as well as any transition period that results from a change in the Company’s fiscal year within or immediately following those three completed fiscal years. Regardless of whether the Company files the restated financial statements, the Committee shall seek recoupment of any Covered Compensation, whether in the form of cash or equity, received by a Covered Executive (computed without regard to any taxes paid), if and to the extent:</w:t>
      </w:r>
    </w:p>
    <w:p>
      <w:pPr>
        <w:spacing w:after="0" w:line="198" w:lineRule="exact"/>
        <w:rPr>
          <w:sz w:val="20"/>
          <w:szCs w:val="20"/>
          <w:color w:val="auto"/>
        </w:rPr>
      </w:pPr>
    </w:p>
    <w:p>
      <w:pPr>
        <w:ind w:left="1040" w:right="40" w:hanging="383"/>
        <w:spacing w:after="0" w:line="269" w:lineRule="auto"/>
        <w:tabs>
          <w:tab w:leader="none" w:pos="1061"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the Covered Compensation was calculated based upon the achievement of certain financial results that were subsequently the subject of a Restatement; and</w:t>
      </w:r>
    </w:p>
    <w:p>
      <w:pPr>
        <w:spacing w:after="0" w:line="172" w:lineRule="exact"/>
        <w:rPr>
          <w:rFonts w:ascii="Times New Roman" w:cs="Times New Roman" w:eastAsia="Times New Roman" w:hAnsi="Times New Roman"/>
          <w:sz w:val="20"/>
          <w:szCs w:val="20"/>
          <w:color w:val="auto"/>
        </w:rPr>
      </w:pPr>
    </w:p>
    <w:p>
      <w:pPr>
        <w:jc w:val="both"/>
        <w:ind w:left="1040" w:right="20" w:hanging="383"/>
        <w:spacing w:after="0" w:line="254" w:lineRule="auto"/>
        <w:tabs>
          <w:tab w:leader="none" w:pos="1061"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the Covered Compensation that would have been received by the Covered Executive had the financial results been properly reported would have been lower than the amount actually awarded (any such amount, “</w:t>
      </w:r>
      <w:r>
        <w:rPr>
          <w:rFonts w:ascii="Times New Roman" w:cs="Times New Roman" w:eastAsia="Times New Roman" w:hAnsi="Times New Roman"/>
          <w:sz w:val="20"/>
          <w:szCs w:val="20"/>
          <w:u w:val="single" w:color="auto"/>
          <w:color w:val="auto"/>
        </w:rPr>
        <w:t>Erroneously-Awarded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Compensation</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To the extent Covered Compensation was based on the achievement of a financial reporting measure, but the amount of such Covered Compensation was not awarded or paid on a formulaic basis, the Committee shall determine the amount, if any, of such Covered Compensation that is deemed to be Erroneously-Awarded Compensation.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purposes of this Policy, the “</w:t>
      </w:r>
      <w:r>
        <w:rPr>
          <w:rFonts w:ascii="Times New Roman" w:cs="Times New Roman" w:eastAsia="Times New Roman" w:hAnsi="Times New Roman"/>
          <w:sz w:val="20"/>
          <w:szCs w:val="20"/>
          <w:u w:val="single" w:color="auto"/>
          <w:color w:val="auto"/>
        </w:rPr>
        <w:t>Required Financial Restatement Date</w:t>
      </w:r>
      <w:r>
        <w:rPr>
          <w:rFonts w:ascii="Times New Roman" w:cs="Times New Roman" w:eastAsia="Times New Roman" w:hAnsi="Times New Roman"/>
          <w:sz w:val="20"/>
          <w:szCs w:val="20"/>
          <w:color w:val="auto"/>
        </w:rPr>
        <w:t>” is the earlier to occur of:</w:t>
      </w:r>
    </w:p>
    <w:p>
      <w:pPr>
        <w:spacing w:after="0" w:line="229" w:lineRule="exact"/>
        <w:rPr>
          <w:sz w:val="20"/>
          <w:szCs w:val="20"/>
          <w:color w:val="auto"/>
        </w:rPr>
      </w:pPr>
    </w:p>
    <w:p>
      <w:pPr>
        <w:ind w:left="1040" w:right="20" w:hanging="383"/>
        <w:spacing w:after="0" w:line="269" w:lineRule="auto"/>
        <w:tabs>
          <w:tab w:leader="none" w:pos="1061"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the Board, a committee of the Board, or any officer or officers authorized to take such action if Board action is not required, concludes, or reasonably should have concluded, that the Company is required to prepare a Restatement; or</w:t>
      </w:r>
    </w:p>
    <w:p>
      <w:pPr>
        <w:spacing w:after="0" w:line="172" w:lineRule="exact"/>
        <w:rPr>
          <w:rFonts w:ascii="Times New Roman" w:cs="Times New Roman" w:eastAsia="Times New Roman" w:hAnsi="Times New Roman"/>
          <w:sz w:val="20"/>
          <w:szCs w:val="20"/>
          <w:color w:val="auto"/>
        </w:rPr>
      </w:pPr>
    </w:p>
    <w:p>
      <w:pPr>
        <w:ind w:left="1060" w:hanging="403"/>
        <w:spacing w:after="0"/>
        <w:tabs>
          <w:tab w:leader="none" w:pos="106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a court, regulator, or other legally authorized body directs the Company to prepare a Restatement.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For the avoidance of doubt, a Covered Executive will be deemed to have received Covered Compensation in the Company’s fiscal period during which the financial reporting measure specified in the award is attained, even if the Covered Executive remains subject to additional payment conditions with respect to such award.</w:t>
      </w:r>
    </w:p>
    <w:p>
      <w:pPr>
        <w:spacing w:after="0" w:line="400" w:lineRule="exact"/>
        <w:rPr>
          <w:sz w:val="20"/>
          <w:szCs w:val="20"/>
          <w:color w:val="auto"/>
        </w:rPr>
      </w:pPr>
    </w:p>
    <w:p>
      <w:pPr>
        <w:ind w:left="400" w:hanging="398"/>
        <w:spacing w:after="0"/>
        <w:tabs>
          <w:tab w:leader="none" w:pos="400" w:val="left"/>
        </w:tabs>
        <w:numPr>
          <w:ilvl w:val="0"/>
          <w:numId w:val="134"/>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METHOD OF RECOUPMENT</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Committee will determine, in its sole discretion, the method for recouping Erroneously-Awarded Compensation, which may include, without limitation:</w:t>
      </w:r>
    </w:p>
    <w:p>
      <w:pPr>
        <w:spacing w:after="0" w:line="173" w:lineRule="exact"/>
        <w:rPr>
          <w:sz w:val="20"/>
          <w:szCs w:val="20"/>
          <w:color w:val="auto"/>
        </w:rPr>
      </w:pPr>
    </w:p>
    <w:p>
      <w:pPr>
        <w:ind w:left="5080" w:right="4260" w:hanging="4423"/>
        <w:spacing w:after="0" w:line="677" w:lineRule="auto"/>
        <w:tabs>
          <w:tab w:leader="none" w:pos="1056"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requiring reimbursement of cash incentive compensation previously paid; Page </w:t>
      </w:r>
      <w:r>
        <w:rPr>
          <w:rFonts w:ascii="Times New Roman" w:cs="Times New Roman" w:eastAsia="Times New Roman" w:hAnsi="Times New Roman"/>
          <w:sz w:val="20"/>
          <w:szCs w:val="20"/>
          <w:b w:val="1"/>
          <w:bCs w:val="1"/>
          <w:color w:val="auto"/>
        </w:rPr>
        <w:t>3</w:t>
      </w:r>
      <w:r>
        <w:rPr>
          <w:rFonts w:ascii="Times New Roman" w:cs="Times New Roman" w:eastAsia="Times New Roman" w:hAnsi="Times New Roman"/>
          <w:sz w:val="20"/>
          <w:szCs w:val="20"/>
          <w:color w:val="auto"/>
        </w:rPr>
        <w:t xml:space="preserve">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352425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40" w:right="339" w:bottom="1440" w:gutter="0" w:footer="0" w:header="0"/>
        </w:sectPr>
      </w:pPr>
    </w:p>
    <w:bookmarkStart w:id="152" w:name="page153"/>
    <w:bookmarkEnd w:id="1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1388745" cy="9601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53">
                      <a:clrChange>
                        <a:clrFrom>
                          <a:srgbClr val="FFFFFF"/>
                        </a:clrFrom>
                        <a:clrTo>
                          <a:srgbClr val="FFFFFF">
                            <a:alpha val="0"/>
                          </a:srgbClr>
                        </a:clrTo>
                      </a:clrChange>
                      <a:extLst>
                        <a:ext uri="{28A0092B-C50C-407E-A947-70E740481C1C}"/>
                      </a:extLst>
                    </a:blip>
                    <a:srcRect/>
                    <a:stretch>
                      <a:fillRect/>
                    </a:stretch>
                  </pic:blipFill>
                  <pic:spPr bwMode="auto">
                    <a:xfrm>
                      <a:off x="0" y="0"/>
                      <a:ext cx="138874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060" w:hanging="403"/>
        <w:spacing w:after="0"/>
        <w:tabs>
          <w:tab w:leader="none" w:pos="106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cancelling or rescinding some or all outstanding vested or unvested equity (and/or equity-based) awards; and/or</w:t>
      </w:r>
    </w:p>
    <w:p>
      <w:pPr>
        <w:spacing w:after="0" w:line="229" w:lineRule="exact"/>
        <w:rPr>
          <w:rFonts w:ascii="Times New Roman" w:cs="Times New Roman" w:eastAsia="Times New Roman" w:hAnsi="Times New Roman"/>
          <w:sz w:val="20"/>
          <w:szCs w:val="20"/>
          <w:color w:val="auto"/>
        </w:rPr>
      </w:pPr>
    </w:p>
    <w:p>
      <w:pPr>
        <w:ind w:left="1060" w:hanging="403"/>
        <w:spacing w:after="0"/>
        <w:tabs>
          <w:tab w:leader="none" w:pos="106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adjusting or withholding from unpaid compensation or other set-off to the extent permitted by applicable law; and/or</w:t>
      </w:r>
    </w:p>
    <w:p>
      <w:pPr>
        <w:spacing w:after="0" w:line="229" w:lineRule="exact"/>
        <w:rPr>
          <w:rFonts w:ascii="Times New Roman" w:cs="Times New Roman" w:eastAsia="Times New Roman" w:hAnsi="Times New Roman"/>
          <w:sz w:val="20"/>
          <w:szCs w:val="20"/>
          <w:color w:val="auto"/>
        </w:rPr>
      </w:pPr>
    </w:p>
    <w:p>
      <w:pPr>
        <w:ind w:left="1040" w:right="20" w:hanging="383"/>
        <w:spacing w:after="0" w:line="269" w:lineRule="auto"/>
        <w:tabs>
          <w:tab w:leader="none" w:pos="1061"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reducing or eliminating entitlements to future salary increases, cash-based or equity-based incentive compensation, bonuses, awards or severance.</w:t>
      </w:r>
    </w:p>
    <w:p>
      <w:pPr>
        <w:spacing w:after="0" w:line="385" w:lineRule="exact"/>
        <w:rPr>
          <w:sz w:val="20"/>
          <w:szCs w:val="20"/>
          <w:color w:val="auto"/>
        </w:rPr>
      </w:pPr>
    </w:p>
    <w:p>
      <w:pPr>
        <w:ind w:left="400" w:hanging="398"/>
        <w:spacing w:after="0"/>
        <w:tabs>
          <w:tab w:leader="none" w:pos="400" w:val="left"/>
        </w:tabs>
        <w:numPr>
          <w:ilvl w:val="0"/>
          <w:numId w:val="137"/>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IMPRACTICABILITY EXCEPTIONS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Committee shall not seek recoupment of any Erroneously-Awarded Compensation to the extent it determines that:</w:t>
      </w:r>
    </w:p>
    <w:p>
      <w:pPr>
        <w:spacing w:after="0" w:line="229" w:lineRule="exact"/>
        <w:rPr>
          <w:sz w:val="20"/>
          <w:szCs w:val="20"/>
          <w:color w:val="auto"/>
        </w:rPr>
      </w:pPr>
    </w:p>
    <w:p>
      <w:pPr>
        <w:ind w:left="1040" w:right="20" w:hanging="383"/>
        <w:spacing w:after="0" w:line="269" w:lineRule="auto"/>
        <w:tabs>
          <w:tab w:leader="none" w:pos="1061"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 paid to a third party to assist in enforcing this Policy would exceed the amount of Erroneously-Awarded Compensation to be recovered;</w:t>
      </w:r>
    </w:p>
    <w:p>
      <w:pPr>
        <w:spacing w:after="0" w:line="172" w:lineRule="exact"/>
        <w:rPr>
          <w:rFonts w:ascii="Times New Roman" w:cs="Times New Roman" w:eastAsia="Times New Roman" w:hAnsi="Times New Roman"/>
          <w:sz w:val="20"/>
          <w:szCs w:val="20"/>
          <w:color w:val="auto"/>
        </w:rPr>
      </w:pPr>
    </w:p>
    <w:p>
      <w:pPr>
        <w:ind w:left="1060" w:hanging="403"/>
        <w:spacing w:after="0"/>
        <w:tabs>
          <w:tab w:leader="none" w:pos="106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violate home country law where that law was adopted prior to November 28, 2022; and/or</w:t>
      </w:r>
    </w:p>
    <w:p>
      <w:pPr>
        <w:spacing w:after="0" w:line="229" w:lineRule="exact"/>
        <w:rPr>
          <w:rFonts w:ascii="Times New Roman" w:cs="Times New Roman" w:eastAsia="Times New Roman" w:hAnsi="Times New Roman"/>
          <w:sz w:val="20"/>
          <w:szCs w:val="20"/>
          <w:color w:val="auto"/>
        </w:rPr>
      </w:pPr>
    </w:p>
    <w:p>
      <w:pPr>
        <w:jc w:val="both"/>
        <w:ind w:left="1040" w:hanging="383"/>
        <w:spacing w:after="0" w:line="254" w:lineRule="auto"/>
        <w:tabs>
          <w:tab w:leader="none" w:pos="1061"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likely cause an otherwise tax-qualified retirement plan, under which benefits are broadly available to Company employees, to fail to meet the requirements of Sections 401(a)(13) and 411(a) of the Internal Revenue Code of 1986, as amended, and the regulations thereunder.</w:t>
      </w:r>
    </w:p>
    <w:p>
      <w:pPr>
        <w:spacing w:after="0" w:line="400" w:lineRule="exact"/>
        <w:rPr>
          <w:sz w:val="20"/>
          <w:szCs w:val="20"/>
          <w:color w:val="auto"/>
        </w:rPr>
      </w:pPr>
    </w:p>
    <w:p>
      <w:pPr>
        <w:ind w:left="400" w:hanging="398"/>
        <w:spacing w:after="0"/>
        <w:tabs>
          <w:tab w:leader="none" w:pos="400" w:val="left"/>
        </w:tabs>
        <w:numPr>
          <w:ilvl w:val="0"/>
          <w:numId w:val="139"/>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NO INDEMNIFICATION</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For the avoidance of doubt, the Company shall not indemnify any Covered Executive against the loss of any Erroneously-Awarded Compensation or any Covered Compensation that is recouped pursuant to the terms of this Policy, or any claims relating to the Company’s enforcement of its rights under this Policy.</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10.  SEVERABILITY</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If any provision of this Policy or the application of any such provision to any Covered Executive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spacing w:after="0" w:line="35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0"/>
          <w:szCs w:val="20"/>
          <w:b w:val="1"/>
          <w:bCs w:val="1"/>
          <w:color w:val="auto"/>
        </w:rPr>
        <w:t>4</w:t>
      </w:r>
      <w:r>
        <w:rPr>
          <w:rFonts w:ascii="Times New Roman" w:cs="Times New Roman" w:eastAsia="Times New Roman" w:hAnsi="Times New Roman"/>
          <w:sz w:val="20"/>
          <w:szCs w:val="20"/>
          <w:color w:val="auto"/>
        </w:rPr>
        <w:t xml:space="preserve">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638175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40" w:right="339" w:bottom="1440" w:gutter="0" w:footer="0" w:header="0"/>
        </w:sectPr>
      </w:pPr>
    </w:p>
    <w:bookmarkStart w:id="153" w:name="page154"/>
    <w:bookmarkEnd w:id="1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1388745" cy="96012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55">
                      <a:clrChange>
                        <a:clrFrom>
                          <a:srgbClr val="FFFFFF"/>
                        </a:clrFrom>
                        <a:clrTo>
                          <a:srgbClr val="FFFFFF">
                            <a:alpha val="0"/>
                          </a:srgbClr>
                        </a:clrTo>
                      </a:clrChange>
                      <a:extLst>
                        <a:ext uri="{28A0092B-C50C-407E-A947-70E740481C1C}"/>
                      </a:extLst>
                    </a:blip>
                    <a:srcRect/>
                    <a:stretch>
                      <a:fillRect/>
                    </a:stretch>
                  </pic:blipFill>
                  <pic:spPr bwMode="auto">
                    <a:xfrm>
                      <a:off x="0" y="0"/>
                      <a:ext cx="138874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11.  AMENDMENTS</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Committee may amend, modify or terminate this Policy in whole or in part at any time and may adopt such rules and procedures that it deems necessary or appropriate to implement this Policy or to comply with applicable laws and regulations.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12.  NO IMPAIRMENT OF OTHER REMEDIES</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remedies under this Policy are in addition to, and not in lieu of, any legal and equitable claims the Company may have, the Company’s ability to enforce, without duplication, the recoupment provisions set forth in any separate Company policy or in any Company plan, program or agreement (each, a “</w:t>
      </w:r>
      <w:r>
        <w:rPr>
          <w:rFonts w:ascii="Times New Roman" w:cs="Times New Roman" w:eastAsia="Times New Roman" w:hAnsi="Times New Roman"/>
          <w:sz w:val="20"/>
          <w:szCs w:val="20"/>
          <w:u w:val="single" w:color="auto"/>
          <w:color w:val="auto"/>
        </w:rPr>
        <w:t>Separate Recoupment Policy</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Separate Recoupment Policies</w:t>
      </w:r>
      <w:r>
        <w:rPr>
          <w:rFonts w:ascii="Times New Roman" w:cs="Times New Roman" w:eastAsia="Times New Roman" w:hAnsi="Times New Roman"/>
          <w:sz w:val="20"/>
          <w:szCs w:val="20"/>
          <w:color w:val="auto"/>
        </w:rPr>
        <w:t>”), or any actions that may be imposed by law enforcement agencies, regulators or other authorities. Notwithstanding the foregoing, in the event that there is a conflict between the application of this Policy to a Covered Executive in the event of a Restatement and any additional recoupment provisions set forth in a Separate Recoupment Policy to which a Covered Executive is subject, the provisions of this Policy shall control. The Company may also adopt additional Separate Recoupment Policies in the future or amend existing requirements as required by law or regulation.</w:t>
      </w:r>
    </w:p>
    <w:p>
      <w:pPr>
        <w:spacing w:after="0" w:line="14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0"/>
          <w:szCs w:val="20"/>
          <w:b w:val="1"/>
          <w:bCs w:val="1"/>
          <w:color w:val="auto"/>
        </w:rPr>
        <w:t>5</w:t>
      </w:r>
      <w:r>
        <w:rPr>
          <w:rFonts w:ascii="Times New Roman" w:cs="Times New Roman" w:eastAsia="Times New Roman" w:hAnsi="Times New Roman"/>
          <w:sz w:val="20"/>
          <w:szCs w:val="20"/>
          <w:color w:val="auto"/>
        </w:rPr>
        <w:t xml:space="preserve">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638175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40" w:right="339" w:bottom="1440" w:gutter="0" w:footer="0" w:header="0"/>
        </w:sectPr>
      </w:pPr>
    </w:p>
    <w:bookmarkStart w:id="154" w:name="page155"/>
    <w:bookmarkEnd w:id="1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1075055</wp:posOffset>
            </wp:positionV>
            <wp:extent cx="1388745" cy="83121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57">
                      <a:clrChange>
                        <a:clrFrom>
                          <a:srgbClr val="FFFFFF"/>
                        </a:clrFrom>
                        <a:clrTo>
                          <a:srgbClr val="FFFFFF">
                            <a:alpha val="0"/>
                          </a:srgbClr>
                        </a:clrTo>
                      </a:clrChange>
                      <a:extLst>
                        <a:ext uri="{28A0092B-C50C-407E-A947-70E740481C1C}"/>
                      </a:extLst>
                    </a:blip>
                    <a:srcRect/>
                    <a:stretch>
                      <a:fillRect/>
                    </a:stretch>
                  </pic:blipFill>
                  <pic:spPr bwMode="auto">
                    <a:xfrm>
                      <a:off x="0" y="0"/>
                      <a:ext cx="1388745"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LSB INDUSTRIES, INC.</w:t>
      </w: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u w:val="single" w:color="auto"/>
          <w:color w:val="auto"/>
        </w:rPr>
        <w:t>CLAWBACK POLICY ACKNOWLEDGMENT</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Reference is made to the LSB Industries, Inc. Policy for Recoupment of Incentive Compensation, effective as of November 8, 2023 (the “</w:t>
      </w:r>
      <w:r>
        <w:rPr>
          <w:rFonts w:ascii="Times New Roman" w:cs="Times New Roman" w:eastAsia="Times New Roman" w:hAnsi="Times New Roman"/>
          <w:sz w:val="20"/>
          <w:szCs w:val="20"/>
          <w:u w:val="single" w:color="auto"/>
          <w:color w:val="auto"/>
        </w:rPr>
        <w:t>Clawback Policy</w:t>
      </w:r>
      <w:r>
        <w:rPr>
          <w:rFonts w:ascii="Times New Roman" w:cs="Times New Roman" w:eastAsia="Times New Roman" w:hAnsi="Times New Roman"/>
          <w:sz w:val="20"/>
          <w:szCs w:val="20"/>
          <w:color w:val="auto"/>
        </w:rPr>
        <w:t>”). By signing in the space indicated below, you acknowledge and agree that you have received and understand the Clawback Policy and that effective as of November 8, 2023 the Clawback Policy applies and will continue to apply to you during and after your employment or other service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EXECUTIVE:</w:t>
      </w:r>
    </w:p>
    <w:p>
      <w:pPr>
        <w:spacing w:after="0" w:line="200" w:lineRule="exact"/>
        <w:rPr>
          <w:sz w:val="20"/>
          <w:szCs w:val="20"/>
          <w:color w:val="auto"/>
        </w:rPr>
      </w:pPr>
    </w:p>
    <w:p>
      <w:pPr>
        <w:spacing w:after="0" w:line="23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_____________________________________</w:t>
      </w:r>
    </w:p>
    <w:p>
      <w:pPr>
        <w:spacing w:after="0" w:line="22"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0"/>
          <w:szCs w:val="20"/>
          <w:color w:val="auto"/>
        </w:rPr>
        <w:t>Name: [NAME]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[DATE], 2023</w:t>
      </w:r>
    </w:p>
    <w:p>
      <w:pPr>
        <w:spacing w:after="0" w:line="200" w:lineRule="exact"/>
        <w:rPr>
          <w:sz w:val="20"/>
          <w:szCs w:val="20"/>
          <w:color w:val="auto"/>
        </w:rPr>
      </w:pPr>
    </w:p>
    <w:p>
      <w:pPr>
        <w:spacing w:after="0" w:line="2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i w:val="1"/>
          <w:iCs w:val="1"/>
          <w:color w:val="auto"/>
        </w:rPr>
        <w:t>Signature Page to</w:t>
      </w:r>
    </w:p>
    <w:p>
      <w:pPr>
        <w:spacing w:after="0" w:line="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i w:val="1"/>
          <w:iCs w:val="1"/>
          <w:color w:val="auto"/>
        </w:rPr>
        <w:t>Clawback Policy Acknowledgement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467360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40" w:right="339" w:bottom="1440" w:gutter="0" w:footer="0" w:header="0"/>
        </w:sectPr>
      </w:pPr>
    </w:p>
    <w:bookmarkStart w:id="155" w:name="page156"/>
    <w:bookmarkEnd w:id="1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
      <w:numFmt w:val="bullet"/>
      <w:start w:val="1"/>
    </w:lvl>
  </w:abstractNum>
  <w:abstractNum w:abstractNumId="3">
    <w:nsid w:val="6B94764"/>
    <w:multiLevelType w:val="hybridMultilevel"/>
    <w:lvl w:ilvl="0">
      <w:lvlJc w:val="left"/>
      <w:lvlText w:val="•"/>
      <w:numFmt w:val="bullet"/>
      <w:start w:val="1"/>
    </w:lvl>
  </w:abstractNum>
  <w:abstractNum w:abstractNumId="4">
    <w:nsid w:val="42C296BD"/>
    <w:multiLevelType w:val="hybridMultilevel"/>
    <w:lvl w:ilvl="0">
      <w:lvlJc w:val="left"/>
      <w:lvlText w:val="•"/>
      <w:numFmt w:val="bullet"/>
      <w:start w:val="1"/>
    </w:lvl>
  </w:abstractNum>
  <w:abstractNum w:abstractNumId="5">
    <w:nsid w:val="168E121F"/>
    <w:multiLevelType w:val="hybridMultilevel"/>
    <w:lvl w:ilvl="0">
      <w:lvlJc w:val="left"/>
      <w:lvlText w:val="•"/>
      <w:numFmt w:val="bullet"/>
      <w:start w:val="1"/>
    </w:lvl>
  </w:abstractNum>
  <w:abstractNum w:abstractNumId="6">
    <w:nsid w:val="1EBA5D23"/>
    <w:multiLevelType w:val="hybridMultilevel"/>
    <w:lvl w:ilvl="0">
      <w:lvlJc w:val="left"/>
      <w:lvlText w:val="•"/>
      <w:numFmt w:val="bullet"/>
      <w:start w:val="1"/>
    </w:lvl>
  </w:abstractNum>
  <w:abstractNum w:abstractNumId="7">
    <w:nsid w:val="661E3F1E"/>
    <w:multiLevelType w:val="hybridMultilevel"/>
    <w:lvl w:ilvl="0">
      <w:lvlJc w:val="left"/>
      <w:lvlText w:val="•"/>
      <w:numFmt w:val="bullet"/>
      <w:start w:val="1"/>
    </w:lvl>
    <w:lvl w:ilvl="1">
      <w:lvlJc w:val="left"/>
      <w:lvlText w:val="•"/>
      <w:numFmt w:val="bullet"/>
      <w:start w:val="1"/>
    </w:lvl>
  </w:abstractNum>
  <w:abstractNum w:abstractNumId="8">
    <w:nsid w:val="5DC79EA8"/>
    <w:multiLevelType w:val="hybridMultilevel"/>
    <w:lvl w:ilvl="0">
      <w:lvlJc w:val="left"/>
      <w:lvlText w:val="•"/>
      <w:numFmt w:val="bullet"/>
      <w:start w:val="1"/>
    </w:lvl>
  </w:abstractNum>
  <w:abstractNum w:abstractNumId="9">
    <w:nsid w:val="540A471C"/>
    <w:multiLevelType w:val="hybridMultilevel"/>
    <w:lvl w:ilvl="0">
      <w:lvlJc w:val="left"/>
      <w:lvlText w:val="•"/>
      <w:numFmt w:val="bullet"/>
      <w:start w:val="1"/>
    </w:lvl>
  </w:abstractNum>
  <w:abstractNum w:abstractNumId="10">
    <w:nsid w:val="7BD3EE7B"/>
    <w:multiLevelType w:val="hybridMultilevel"/>
    <w:lvl w:ilvl="0">
      <w:lvlJc w:val="left"/>
      <w:lvlText w:val="•"/>
      <w:numFmt w:val="bullet"/>
      <w:start w:val="1"/>
    </w:lvl>
  </w:abstractNum>
  <w:abstractNum w:abstractNumId="11">
    <w:nsid w:val="51D9C564"/>
    <w:multiLevelType w:val="hybridMultilevel"/>
    <w:lvl w:ilvl="0">
      <w:lvlJc w:val="left"/>
      <w:lvlText w:val="•"/>
      <w:numFmt w:val="bullet"/>
      <w:start w:val="1"/>
    </w:lvl>
  </w:abstractNum>
  <w:abstractNum w:abstractNumId="12">
    <w:nsid w:val="613EFDC5"/>
    <w:multiLevelType w:val="hybridMultilevel"/>
    <w:lvl w:ilvl="0">
      <w:lvlJc w:val="left"/>
      <w:lvlText w:val="•"/>
      <w:numFmt w:val="bullet"/>
      <w:start w:val="1"/>
    </w:lvl>
  </w:abstractNum>
  <w:abstractNum w:abstractNumId="13">
    <w:nsid w:val="BF72B14"/>
    <w:multiLevelType w:val="hybridMultilevel"/>
    <w:lvl w:ilvl="0">
      <w:lvlJc w:val="left"/>
      <w:lvlText w:val="(%1)"/>
      <w:numFmt w:val="upperLetter"/>
      <w:start w:val="1"/>
    </w:lvl>
  </w:abstractNum>
  <w:abstractNum w:abstractNumId="14">
    <w:nsid w:val="11447B73"/>
    <w:multiLevelType w:val="hybridMultilevel"/>
    <w:lvl w:ilvl="0">
      <w:lvlJc w:val="left"/>
      <w:lvlText w:val="%1."/>
      <w:numFmt w:val="decimal"/>
      <w:start w:val="1"/>
    </w:lvl>
  </w:abstractNum>
  <w:abstractNum w:abstractNumId="15">
    <w:nsid w:val="42963E5A"/>
    <w:multiLevelType w:val="hybridMultilevel"/>
    <w:lvl w:ilvl="0">
      <w:lvlJc w:val="left"/>
      <w:lvlText w:val="•"/>
      <w:numFmt w:val="bullet"/>
      <w:start w:val="1"/>
    </w:lvl>
    <w:lvl w:ilvl="1">
      <w:lvlJc w:val="left"/>
      <w:lvlText w:val="▪"/>
      <w:numFmt w:val="bullet"/>
      <w:start w:val="1"/>
    </w:lvl>
  </w:abstractNum>
  <w:abstractNum w:abstractNumId="16">
    <w:nsid w:val="A0382C5"/>
    <w:multiLevelType w:val="hybridMultilevel"/>
    <w:lvl w:ilvl="0">
      <w:lvlJc w:val="left"/>
      <w:lvlText w:val="•"/>
      <w:numFmt w:val="bullet"/>
      <w:start w:val="1"/>
    </w:lvl>
  </w:abstractNum>
  <w:abstractNum w:abstractNumId="17">
    <w:nsid w:val="8F2B15E"/>
    <w:multiLevelType w:val="hybridMultilevel"/>
    <w:lvl w:ilvl="0">
      <w:lvlJc w:val="left"/>
      <w:lvlText w:val="(%1)"/>
      <w:numFmt w:val="decimal"/>
      <w:start w:val="1"/>
    </w:lvl>
  </w:abstractNum>
  <w:abstractNum w:abstractNumId="18">
    <w:nsid w:val="1A32234B"/>
    <w:multiLevelType w:val="hybridMultilevel"/>
    <w:lvl w:ilvl="0">
      <w:lvlJc w:val="left"/>
      <w:lvlText w:val="(%1)"/>
      <w:numFmt w:val="decimal"/>
      <w:start w:val="1"/>
    </w:lvl>
  </w:abstractNum>
  <w:abstractNum w:abstractNumId="19">
    <w:nsid w:val="3B0FD379"/>
    <w:multiLevelType w:val="hybridMultilevel"/>
    <w:lvl w:ilvl="0">
      <w:lvlJc w:val="left"/>
      <w:lvlText w:val="(%1)"/>
      <w:numFmt w:val="decimal"/>
      <w:start w:val="1"/>
    </w:lvl>
  </w:abstractNum>
  <w:abstractNum w:abstractNumId="20">
    <w:nsid w:val="68EB2F63"/>
    <w:multiLevelType w:val="hybridMultilevel"/>
    <w:lvl w:ilvl="0">
      <w:lvlJc w:val="left"/>
      <w:lvlText w:val="(%1)"/>
      <w:numFmt w:val="decimal"/>
      <w:start w:val="1"/>
    </w:lvl>
  </w:abstractNum>
  <w:abstractNum w:abstractNumId="21">
    <w:nsid w:val="4962813B"/>
    <w:multiLevelType w:val="hybridMultilevel"/>
    <w:lvl w:ilvl="0">
      <w:lvlJc w:val="left"/>
      <w:lvlText w:val="*"/>
      <w:numFmt w:val="bullet"/>
      <w:start w:val="1"/>
    </w:lvl>
    <w:lvl w:ilvl="1">
      <w:lvlJc w:val="left"/>
      <w:lvlText w:val="+"/>
      <w:numFmt w:val="bullet"/>
      <w:start w:val="1"/>
    </w:lvl>
    <w:lvl w:ilvl="2">
      <w:lvlJc w:val="left"/>
      <w:lvlText w:val="(%3)"/>
      <w:numFmt w:val="lowerLetter"/>
      <w:start w:val="1"/>
    </w:lvl>
  </w:abstractNum>
  <w:abstractNum w:abstractNumId="22">
    <w:nsid w:val="60B6DF70"/>
    <w:multiLevelType w:val="hybridMultilevel"/>
    <w:lvl w:ilvl="0">
      <w:lvlJc w:val="left"/>
      <w:lvlText w:val="•"/>
      <w:numFmt w:val="bullet"/>
      <w:start w:val="1"/>
    </w:lvl>
  </w:abstractNum>
  <w:abstractNum w:abstractNumId="23">
    <w:nsid w:val="6A5EE64"/>
    <w:multiLevelType w:val="hybridMultilevel"/>
    <w:lvl w:ilvl="0">
      <w:lvlJc w:val="left"/>
      <w:lvlText w:val="•"/>
      <w:numFmt w:val="bullet"/>
      <w:start w:val="1"/>
    </w:lvl>
  </w:abstractNum>
  <w:abstractNum w:abstractNumId="24">
    <w:nsid w:val="14330624"/>
    <w:multiLevelType w:val="hybridMultilevel"/>
    <w:lvl w:ilvl="0">
      <w:lvlJc w:val="left"/>
      <w:lvlText w:val="(%1)"/>
      <w:numFmt w:val="decimal"/>
      <w:start w:val="1"/>
    </w:lvl>
  </w:abstractNum>
  <w:abstractNum w:abstractNumId="25">
    <w:nsid w:val="7FFFCA11"/>
    <w:multiLevelType w:val="hybridMultilevel"/>
    <w:lvl w:ilvl="0">
      <w:lvlJc w:val="left"/>
      <w:lvlText w:val="(%1)"/>
      <w:numFmt w:val="decimal"/>
      <w:start w:val="1"/>
    </w:lvl>
  </w:abstractNum>
  <w:abstractNum w:abstractNumId="26">
    <w:nsid w:val="1A27709E"/>
    <w:multiLevelType w:val="hybridMultilevel"/>
    <w:lvl w:ilvl="0">
      <w:lvlJc w:val="left"/>
      <w:lvlText w:val="*"/>
      <w:numFmt w:val="bullet"/>
      <w:start w:val="1"/>
    </w:lvl>
  </w:abstractNum>
  <w:abstractNum w:abstractNumId="27">
    <w:nsid w:val="71EA1109"/>
    <w:multiLevelType w:val="hybridMultilevel"/>
    <w:lvl w:ilvl="0">
      <w:lvlJc w:val="left"/>
      <w:lvlText w:val="%1."/>
      <w:numFmt w:val="decimal"/>
      <w:start w:val="8"/>
    </w:lvl>
  </w:abstractNum>
  <w:abstractNum w:abstractNumId="28">
    <w:nsid w:val="100F59DC"/>
    <w:multiLevelType w:val="hybridMultilevel"/>
    <w:lvl w:ilvl="0">
      <w:lvlJc w:val="left"/>
      <w:lvlText w:val="%1"/>
      <w:numFmt w:val="decimal"/>
      <w:start w:val="1"/>
    </w:lvl>
    <w:lvl w:ilvl="1">
      <w:lvlJc w:val="left"/>
      <w:lvlText w:val="(%2)"/>
      <w:numFmt w:val="decimal"/>
      <w:start w:val="1"/>
    </w:lvl>
  </w:abstractNum>
  <w:abstractNum w:abstractNumId="29">
    <w:nsid w:val="7FB7E0AA"/>
    <w:multiLevelType w:val="hybridMultilevel"/>
    <w:lvl w:ilvl="0">
      <w:lvlJc w:val="left"/>
      <w:lvlText w:val="%1."/>
      <w:numFmt w:val="decimal"/>
      <w:start w:val="9"/>
    </w:lvl>
    <w:lvl w:ilvl="1">
      <w:lvlJc w:val="left"/>
      <w:lvlText w:val="%2"/>
      <w:numFmt w:val="decimal"/>
      <w:start w:val="1"/>
    </w:lvl>
  </w:abstractNum>
  <w:abstractNum w:abstractNumId="30">
    <w:nsid w:val="6EB5BD4"/>
    <w:multiLevelType w:val="hybridMultilevel"/>
    <w:lvl w:ilvl="0">
      <w:lvlJc w:val="left"/>
      <w:lvlText w:val="(%1)"/>
      <w:numFmt w:val="decimal"/>
      <w:start w:val="1"/>
    </w:lvl>
  </w:abstractNum>
  <w:abstractNum w:abstractNumId="31">
    <w:nsid w:val="6F6DD9AC"/>
    <w:multiLevelType w:val="hybridMultilevel"/>
    <w:lvl w:ilvl="0">
      <w:lvlJc w:val="left"/>
      <w:lvlText w:val="•"/>
      <w:numFmt w:val="bullet"/>
      <w:start w:val="1"/>
    </w:lvl>
  </w:abstractNum>
  <w:abstractNum w:abstractNumId="32">
    <w:nsid w:val="94211F2"/>
    <w:multiLevelType w:val="hybridMultilevel"/>
    <w:lvl w:ilvl="0">
      <w:lvlJc w:val="left"/>
      <w:lvlText w:val="(%1)"/>
      <w:numFmt w:val="decimal"/>
      <w:start w:val="1"/>
    </w:lvl>
  </w:abstractNum>
  <w:abstractNum w:abstractNumId="33">
    <w:nsid w:val="885E1B"/>
    <w:multiLevelType w:val="hybridMultilevel"/>
    <w:lvl w:ilvl="0">
      <w:lvlJc w:val="left"/>
      <w:lvlText w:val="(%1)"/>
      <w:numFmt w:val="decimal"/>
      <w:start w:val="1"/>
    </w:lvl>
  </w:abstractNum>
  <w:abstractNum w:abstractNumId="34">
    <w:nsid w:val="76272110"/>
    <w:multiLevelType w:val="hybridMultilevel"/>
    <w:lvl w:ilvl="0">
      <w:lvlJc w:val="left"/>
      <w:lvlText w:val="(%1)"/>
      <w:numFmt w:val="lowerLetter"/>
      <w:start w:val="1"/>
    </w:lvl>
  </w:abstractNum>
  <w:abstractNum w:abstractNumId="35">
    <w:nsid w:val="4C04A8AF"/>
    <w:multiLevelType w:val="hybridMultilevel"/>
    <w:lvl w:ilvl="0">
      <w:lvlJc w:val="left"/>
      <w:lvlText w:val="(%1)"/>
      <w:numFmt w:val="lowerRoman"/>
      <w:start w:val="1"/>
    </w:lvl>
  </w:abstractNum>
  <w:abstractNum w:abstractNumId="36">
    <w:nsid w:val="1716703B"/>
    <w:multiLevelType w:val="hybridMultilevel"/>
    <w:lvl w:ilvl="0">
      <w:lvlJc w:val="left"/>
      <w:lvlText w:val="(%1)"/>
      <w:numFmt w:val="lowerRoman"/>
      <w:start w:val="2"/>
    </w:lvl>
  </w:abstractNum>
  <w:abstractNum w:abstractNumId="37">
    <w:nsid w:val="14E17E33"/>
    <w:multiLevelType w:val="hybridMultilevel"/>
    <w:lvl w:ilvl="0">
      <w:lvlJc w:val="left"/>
      <w:lvlText w:val="(%1)"/>
      <w:numFmt w:val="lowerRoman"/>
      <w:start w:val="1"/>
    </w:lvl>
  </w:abstractNum>
  <w:abstractNum w:abstractNumId="38">
    <w:nsid w:val="3222E7CD"/>
    <w:multiLevelType w:val="hybridMultilevel"/>
    <w:lvl w:ilvl="0">
      <w:lvlJc w:val="left"/>
      <w:lvlText w:val="(%1)"/>
      <w:numFmt w:val="lowerRoman"/>
      <w:start w:val="1"/>
    </w:lvl>
  </w:abstractNum>
  <w:abstractNum w:abstractNumId="39">
    <w:nsid w:val="74DE0EE3"/>
    <w:multiLevelType w:val="hybridMultilevel"/>
    <w:lvl w:ilvl="0">
      <w:lvlJc w:val="left"/>
      <w:lvlText w:val="(%1)"/>
      <w:numFmt w:val="lowerRoman"/>
      <w:start w:val="1"/>
    </w:lvl>
  </w:abstractNum>
  <w:abstractNum w:abstractNumId="40">
    <w:nsid w:val="68EBC55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41">
    <w:nsid w:val="2DF6D648"/>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42">
    <w:nsid w:val="46B7D447"/>
    <w:multiLevelType w:val="hybridMultilevel"/>
    <w:lvl w:ilvl="0">
      <w:lvlJc w:val="left"/>
      <w:lvlText w:val="(%1)"/>
      <w:numFmt w:val="lowerRoman"/>
      <w:start w:val="4"/>
    </w:lvl>
    <w:lvl w:ilvl="1">
      <w:lvlJc w:val="left"/>
      <w:lvlText w:val="(%2)"/>
      <w:numFmt w:val="lowerLetter"/>
      <w:start w:val="3"/>
    </w:lvl>
    <w:lvl w:ilvl="2">
      <w:lvlJc w:val="left"/>
      <w:lvlText w:val="(%3)"/>
      <w:numFmt w:val="lowerLetter"/>
      <w:start w:val="9"/>
    </w:lvl>
  </w:abstractNum>
  <w:abstractNum w:abstractNumId="43">
    <w:nsid w:val="4A2AC315"/>
    <w:multiLevelType w:val="hybridMultilevel"/>
    <w:lvl w:ilvl="0">
      <w:lvlJc w:val="left"/>
      <w:lvlText w:val="(%1)"/>
      <w:numFmt w:val="lowerRoman"/>
      <w:start w:val="2"/>
    </w:lvl>
    <w:lvl w:ilvl="1">
      <w:lvlJc w:val="left"/>
      <w:lvlText w:val="(%2)"/>
      <w:numFmt w:val="lowerRoman"/>
      <w:start w:val="6"/>
    </w:lvl>
  </w:abstractNum>
  <w:abstractNum w:abstractNumId="44">
    <w:nsid w:val="39EE015C"/>
    <w:multiLevelType w:val="hybridMultilevel"/>
    <w:lvl w:ilvl="0">
      <w:lvlJc w:val="left"/>
      <w:lvlText w:val="(%1)"/>
      <w:numFmt w:val="lowerLetter"/>
      <w:start w:val="5"/>
    </w:lvl>
    <w:lvl w:ilvl="1">
      <w:lvlJc w:val="left"/>
      <w:lvlText w:val="(%2)"/>
      <w:numFmt w:val="lowerRoman"/>
      <w:start w:val="1"/>
    </w:lvl>
  </w:abstractNum>
  <w:abstractNum w:abstractNumId="45">
    <w:nsid w:val="57FC4FBB"/>
    <w:multiLevelType w:val="hybridMultilevel"/>
    <w:lvl w:ilvl="0">
      <w:lvlJc w:val="left"/>
      <w:lvlText w:val="(%1)"/>
      <w:numFmt w:val="lowerLetter"/>
      <w:start w:val="7"/>
    </w:lvl>
  </w:abstractNum>
  <w:abstractNum w:abstractNumId="46">
    <w:nsid w:val="CC1016F"/>
    <w:multiLevelType w:val="hybridMultilevel"/>
    <w:lvl w:ilvl="0">
      <w:lvlJc w:val="left"/>
      <w:lvlText w:val="(%1)"/>
      <w:numFmt w:val="lowerRoman"/>
      <w:start w:val="2"/>
    </w:lvl>
  </w:abstractNum>
  <w:abstractNum w:abstractNumId="47">
    <w:nsid w:val="43F1842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8">
    <w:nsid w:val="60EF0119"/>
    <w:multiLevelType w:val="hybridMultilevel"/>
    <w:lvl w:ilvl="0">
      <w:lvlJc w:val="left"/>
      <w:lvlText w:val="(%1)"/>
      <w:numFmt w:val="lowerLetter"/>
      <w:start w:val="1"/>
    </w:lvl>
    <w:lvl w:ilvl="1">
      <w:lvlJc w:val="left"/>
      <w:lvlText w:val="(%2)"/>
      <w:numFmt w:val="lowerRoman"/>
      <w:start w:val="1"/>
    </w:lvl>
  </w:abstractNum>
  <w:abstractNum w:abstractNumId="49">
    <w:nsid w:val="26F324BA"/>
    <w:multiLevelType w:val="hybridMultilevel"/>
    <w:lvl w:ilvl="0">
      <w:lvlJc w:val="left"/>
      <w:lvlText w:val="%1."/>
      <w:numFmt w:val="decimal"/>
      <w:start w:val="7"/>
    </w:lvl>
    <w:lvl w:ilvl="1">
      <w:lvlJc w:val="left"/>
      <w:lvlText w:val="(%2)"/>
      <w:numFmt w:val="lowerLetter"/>
      <w:start w:val="1"/>
    </w:lvl>
  </w:abstractNum>
  <w:abstractNum w:abstractNumId="50">
    <w:nsid w:val="7F01579B"/>
    <w:multiLevelType w:val="hybridMultilevel"/>
    <w:lvl w:ilvl="0">
      <w:lvlJc w:val="left"/>
      <w:lvlText w:val="(%1)"/>
      <w:numFmt w:val="lowerLetter"/>
      <w:start w:val="2"/>
    </w:lvl>
  </w:abstractNum>
  <w:abstractNum w:abstractNumId="51">
    <w:nsid w:val="49DA307D"/>
    <w:multiLevelType w:val="hybridMultilevel"/>
    <w:lvl w:ilvl="0">
      <w:lvlJc w:val="left"/>
      <w:lvlText w:val="%1"/>
      <w:numFmt w:val="decimal"/>
      <w:start w:val="1"/>
    </w:lvl>
    <w:lvl w:ilvl="1">
      <w:lvlJc w:val="left"/>
      <w:lvlText w:val="(%2)"/>
      <w:numFmt w:val="lowerLetter"/>
      <w:start w:val="10"/>
    </w:lvl>
  </w:abstractNum>
  <w:abstractNum w:abstractNumId="52">
    <w:nsid w:val="7055A5F5"/>
    <w:multiLevelType w:val="hybridMultilevel"/>
    <w:lvl w:ilvl="0">
      <w:lvlJc w:val="left"/>
      <w:lvlText w:val="%1."/>
      <w:numFmt w:val="decimal"/>
      <w:start w:val="12"/>
    </w:lvl>
    <w:lvl w:ilvl="1">
      <w:lvlJc w:val="left"/>
      <w:lvlText w:val="%2"/>
      <w:numFmt w:val="lowerLetter"/>
      <w:start w:val="1"/>
    </w:lvl>
  </w:abstractNum>
  <w:abstractNum w:abstractNumId="53">
    <w:nsid w:val="5FB8370B"/>
    <w:multiLevelType w:val="hybridMultilevel"/>
    <w:lvl w:ilvl="0">
      <w:lvlJc w:val="left"/>
      <w:lvlText w:val="(%1)"/>
      <w:numFmt w:val="lowerLetter"/>
      <w:start w:val="1"/>
    </w:lvl>
  </w:abstractNum>
  <w:abstractNum w:abstractNumId="54">
    <w:nsid w:val="50801EE1"/>
    <w:multiLevelType w:val="hybridMultilevel"/>
    <w:lvl w:ilvl="0">
      <w:lvlJc w:val="left"/>
      <w:lvlText w:val="•"/>
      <w:numFmt w:val="bullet"/>
      <w:start w:val="1"/>
    </w:lvl>
  </w:abstractNum>
  <w:abstractNum w:abstractNumId="55">
    <w:nsid w:val="488AC1A"/>
    <w:multiLevelType w:val="hybridMultilevel"/>
    <w:lvl w:ilvl="0">
      <w:lvlJc w:val="left"/>
      <w:lvlText w:val="•"/>
      <w:numFmt w:val="bullet"/>
      <w:start w:val="1"/>
    </w:lvl>
  </w:abstractNum>
  <w:abstractNum w:abstractNumId="56">
    <w:nsid w:val="5FB8011C"/>
    <w:multiLevelType w:val="hybridMultilevel"/>
    <w:lvl w:ilvl="0">
      <w:lvlJc w:val="left"/>
      <w:lvlText w:val="(%1)"/>
      <w:numFmt w:val="decimal"/>
      <w:start w:val="1"/>
    </w:lvl>
  </w:abstractNum>
  <w:abstractNum w:abstractNumId="57">
    <w:nsid w:val="6AA78F7F"/>
    <w:multiLevelType w:val="hybridMultilevel"/>
    <w:lvl w:ilvl="0">
      <w:lvlJc w:val="left"/>
      <w:lvlText w:val="(%1)"/>
      <w:numFmt w:val="lowerLetter"/>
      <w:start w:val="1"/>
    </w:lvl>
  </w:abstractNum>
  <w:abstractNum w:abstractNumId="58">
    <w:nsid w:val="7672BD23"/>
    <w:multiLevelType w:val="hybridMultilevel"/>
    <w:lvl w:ilvl="0">
      <w:lvlJc w:val="left"/>
      <w:lvlText w:val="(%1)"/>
      <w:numFmt w:val="lowerLetter"/>
      <w:start w:val="4"/>
    </w:lvl>
  </w:abstractNum>
  <w:abstractNum w:abstractNumId="59">
    <w:nsid w:val="6FC75AF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0">
    <w:nsid w:val="6A5F7029"/>
    <w:multiLevelType w:val="hybridMultilevel"/>
    <w:lvl w:ilvl="0">
      <w:lvlJc w:val="left"/>
      <w:lvlText w:val="(%1)"/>
      <w:numFmt w:val="lowerRoman"/>
      <w:start w:val="2"/>
    </w:lvl>
  </w:abstractNum>
  <w:abstractNum w:abstractNumId="61">
    <w:nsid w:val="7D5E18F8"/>
    <w:multiLevelType w:val="hybridMultilevel"/>
    <w:lvl w:ilvl="0">
      <w:lvlJc w:val="left"/>
      <w:lvlText w:val="(%1)"/>
      <w:numFmt w:val="lowerLetter"/>
      <w:start w:val="8"/>
    </w:lvl>
  </w:abstractNum>
  <w:abstractNum w:abstractNumId="62">
    <w:nsid w:val="5F3534A4"/>
    <w:multiLevelType w:val="hybridMultilevel"/>
    <w:lvl w:ilvl="0">
      <w:lvlJc w:val="left"/>
      <w:lvlText w:val="(%1)"/>
      <w:numFmt w:val="lowerLetter"/>
      <w:start w:val="9"/>
    </w:lvl>
  </w:abstractNum>
  <w:abstractNum w:abstractNumId="63">
    <w:nsid w:val="73A1821B"/>
    <w:multiLevelType w:val="hybridMultilevel"/>
    <w:lvl w:ilvl="0">
      <w:lvlJc w:val="left"/>
      <w:lvlText w:val="(%1)"/>
      <w:numFmt w:val="lowerLetter"/>
      <w:start w:val="23"/>
    </w:lvl>
  </w:abstractNum>
  <w:abstractNum w:abstractNumId="64">
    <w:nsid w:val="7DE67713"/>
    <w:multiLevelType w:val="hybridMultilevel"/>
    <w:lvl w:ilvl="0">
      <w:lvlJc w:val="left"/>
      <w:lvlText w:val="(%1)"/>
      <w:numFmt w:val="lowerLetter"/>
      <w:start w:val="27"/>
    </w:lvl>
  </w:abstractNum>
  <w:abstractNum w:abstractNumId="65">
    <w:nsid w:val="555C55B5"/>
    <w:multiLevelType w:val="hybridMultilevel"/>
    <w:lvl w:ilvl="0">
      <w:lvlJc w:val="left"/>
      <w:lvlText w:val="%1"/>
      <w:numFmt w:val="decimal"/>
      <w:start w:val="1"/>
    </w:lvl>
    <w:lvl w:ilvl="1">
      <w:lvlJc w:val="left"/>
      <w:lvlText w:val="(%2)"/>
      <w:numFmt w:val="lowerLetter"/>
      <w:start w:val="36"/>
    </w:lvl>
  </w:abstractNum>
  <w:abstractNum w:abstractNumId="66">
    <w:nsid w:val="3FA62ACA"/>
    <w:multiLevelType w:val="hybridMultilevel"/>
    <w:lvl w:ilvl="0">
      <w:lvlJc w:val="left"/>
      <w:lvlText w:val="%1."/>
      <w:numFmt w:val="decimal"/>
      <w:start w:val="3"/>
    </w:lvl>
    <w:lvl w:ilvl="1">
      <w:lvlJc w:val="left"/>
      <w:lvlText w:val="(%2)"/>
      <w:numFmt w:val="lowerLetter"/>
      <w:start w:val="1"/>
    </w:lvl>
  </w:abstractNum>
  <w:abstractNum w:abstractNumId="67">
    <w:nsid w:val="14FCE74E"/>
    <w:multiLevelType w:val="hybridMultilevel"/>
    <w:lvl w:ilvl="0">
      <w:lvlJc w:val="left"/>
      <w:lvlText w:val="(%1)"/>
      <w:numFmt w:val="lowerLetter"/>
      <w:start w:val="3"/>
    </w:lvl>
  </w:abstractNum>
  <w:abstractNum w:abstractNumId="68">
    <w:nsid w:val="6A3DD3E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9">
    <w:nsid w:val="71C9129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70">
    <w:nsid w:val="9DAF632"/>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71">
    <w:nsid w:val="53299938"/>
    <w:multiLevelType w:val="hybridMultilevel"/>
    <w:lvl w:ilvl="0">
      <w:lvlJc w:val="left"/>
      <w:lvlText w:val="(%1)"/>
      <w:numFmt w:val="lowerRoman"/>
      <w:start w:val="2"/>
    </w:lvl>
  </w:abstractNum>
  <w:abstractNum w:abstractNumId="72">
    <w:nsid w:val="1FBFE8E0"/>
    <w:multiLevelType w:val="hybridMultilevel"/>
    <w:lvl w:ilvl="0">
      <w:lvlJc w:val="left"/>
      <w:lvlText w:val="%1"/>
      <w:numFmt w:val="lowerLetter"/>
      <w:start w:val="1"/>
    </w:lvl>
    <w:lvl w:ilvl="1">
      <w:lvlJc w:val="left"/>
      <w:lvlText w:val="(%2)"/>
      <w:numFmt w:val="lowerLetter"/>
      <w:start w:val="61"/>
    </w:lvl>
  </w:abstractNum>
  <w:abstractNum w:abstractNumId="73">
    <w:nsid w:val="5092CA79"/>
    <w:multiLevelType w:val="hybridMultilevel"/>
    <w:lvl w:ilvl="0">
      <w:lvlJc w:val="left"/>
      <w:lvlText w:val="(%1)"/>
      <w:numFmt w:val="lowerLetter"/>
      <w:start w:val="3"/>
    </w:lvl>
    <w:lvl w:ilvl="1">
      <w:lvlJc w:val="left"/>
      <w:lvlText w:val="(%2)"/>
      <w:numFmt w:val="lowerLetter"/>
      <w:start w:val="9"/>
    </w:lvl>
  </w:abstractNum>
  <w:abstractNum w:abstractNumId="74">
    <w:nsid w:val="1D545C4D"/>
    <w:multiLevelType w:val="hybridMultilevel"/>
    <w:lvl w:ilvl="0">
      <w:lvlJc w:val="left"/>
      <w:lvlText w:val="(%1)"/>
      <w:numFmt w:val="lowerRoman"/>
      <w:start w:val="2"/>
    </w:lvl>
  </w:abstractNum>
  <w:abstractNum w:abstractNumId="75">
    <w:nsid w:val="59ADEA3D"/>
    <w:multiLevelType w:val="hybridMultilevel"/>
    <w:lvl w:ilvl="0">
      <w:lvlJc w:val="left"/>
      <w:lvlText w:val="%1"/>
      <w:numFmt w:val="lowerLetter"/>
      <w:start w:val="1"/>
    </w:lvl>
    <w:lvl w:ilvl="1">
      <w:lvlJc w:val="left"/>
      <w:lvlText w:val="(%2)"/>
      <w:numFmt w:val="lowerRoman"/>
      <w:start w:val="4"/>
    </w:lvl>
  </w:abstractNum>
  <w:abstractNum w:abstractNumId="76">
    <w:nsid w:val="288F1A34"/>
    <w:multiLevelType w:val="hybridMultilevel"/>
    <w:lvl w:ilvl="0">
      <w:lvlJc w:val="left"/>
      <w:lvlText w:val="(%1)"/>
      <w:numFmt w:val="lowerLetter"/>
      <w:start w:val="4"/>
    </w:lvl>
    <w:lvl w:ilvl="1">
      <w:lvlJc w:val="left"/>
      <w:lvlText w:val="(%2)"/>
      <w:numFmt w:val="lowerRoman"/>
      <w:start w:val="1"/>
    </w:lvl>
  </w:abstractNum>
  <w:abstractNum w:abstractNumId="77">
    <w:nsid w:val="2A155DBC"/>
    <w:multiLevelType w:val="hybridMultilevel"/>
    <w:lvl w:ilvl="0">
      <w:lvlJc w:val="left"/>
      <w:lvlText w:val="(%1)"/>
      <w:numFmt w:val="lowerLetter"/>
      <w:start w:val="6"/>
    </w:lvl>
  </w:abstractNum>
  <w:abstractNum w:abstractNumId="78">
    <w:nsid w:val="1D9F6E5F"/>
    <w:multiLevelType w:val="hybridMultilevel"/>
    <w:lvl w:ilvl="0">
      <w:lvlJc w:val="left"/>
      <w:lvlText w:val="(%1)"/>
      <w:numFmt w:val="lowerLetter"/>
      <w:start w:val="11"/>
    </w:lvl>
    <w:lvl w:ilvl="1">
      <w:lvlJc w:val="left"/>
      <w:lvlText w:val="(%2)"/>
      <w:numFmt w:val="lowerRoman"/>
      <w:start w:val="1"/>
    </w:lvl>
    <w:lvl w:ilvl="2">
      <w:lvlJc w:val="left"/>
      <w:lvlText w:val="(%3)"/>
      <w:numFmt w:val="decimal"/>
      <w:start w:val="28"/>
    </w:lvl>
  </w:abstractNum>
  <w:abstractNum w:abstractNumId="79">
    <w:nsid w:val="97E1B4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80">
    <w:nsid w:val="51088277"/>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81">
    <w:nsid w:val="1CA0C5FA"/>
    <w:multiLevelType w:val="hybridMultilevel"/>
    <w:lvl w:ilvl="0">
      <w:lvlJc w:val="left"/>
      <w:lvlText w:val="%1"/>
      <w:numFmt w:val="decimal"/>
      <w:start w:val="1"/>
    </w:lvl>
    <w:lvl w:ilvl="1">
      <w:lvlJc w:val="left"/>
      <w:lvlText w:val="(%2)"/>
      <w:numFmt w:val="lowerLetter"/>
      <w:start w:val="3"/>
    </w:lvl>
  </w:abstractNum>
  <w:abstractNum w:abstractNumId="82">
    <w:nsid w:val="53584BCB"/>
    <w:multiLevelType w:val="hybridMultilevel"/>
    <w:lvl w:ilvl="0">
      <w:lvlJc w:val="left"/>
      <w:lvlText w:val="%1."/>
      <w:numFmt w:val="decimal"/>
      <w:start w:val="8"/>
    </w:lvl>
    <w:lvl w:ilvl="1">
      <w:lvlJc w:val="left"/>
      <w:lvlText w:val="(%2)"/>
      <w:numFmt w:val="lowerLetter"/>
      <w:start w:val="1"/>
    </w:lvl>
  </w:abstractNum>
  <w:abstractNum w:abstractNumId="83">
    <w:nsid w:val="415E286C"/>
    <w:multiLevelType w:val="hybridMultilevel"/>
    <w:lvl w:ilvl="0">
      <w:lvlJc w:val="left"/>
      <w:lvlText w:val="(%1)"/>
      <w:numFmt w:val="lowerLetter"/>
      <w:start w:val="3"/>
    </w:lvl>
    <w:lvl w:ilvl="1">
      <w:lvlJc w:val="left"/>
      <w:lvlText w:val="(%2)"/>
      <w:numFmt w:val="lowerRoman"/>
      <w:start w:val="1"/>
    </w:lvl>
  </w:abstractNum>
  <w:abstractNum w:abstractNumId="84">
    <w:nsid w:val="7C58FD05"/>
    <w:multiLevelType w:val="hybridMultilevel"/>
    <w:lvl w:ilvl="0">
      <w:lvlJc w:val="left"/>
      <w:lvlText w:val="(%1)"/>
      <w:numFmt w:val="lowerLetter"/>
      <w:start w:val="5"/>
    </w:lvl>
    <w:lvl w:ilvl="1">
      <w:lvlJc w:val="left"/>
      <w:lvlText w:val="(%2)"/>
      <w:numFmt w:val="lowerLetter"/>
      <w:start w:val="61"/>
    </w:lvl>
  </w:abstractNum>
  <w:abstractNum w:abstractNumId="85">
    <w:nsid w:val="23D86AAC"/>
    <w:multiLevelType w:val="hybridMultilevel"/>
    <w:lvl w:ilvl="0">
      <w:lvlJc w:val="left"/>
      <w:lvlText w:val="%1"/>
      <w:numFmt w:val="lowerLetter"/>
      <w:start w:val="1"/>
    </w:lvl>
    <w:lvl w:ilvl="1">
      <w:lvlJc w:val="left"/>
      <w:lvlText w:val="(%2)"/>
      <w:numFmt w:val="lowerLetter"/>
      <w:start w:val="24"/>
    </w:lvl>
  </w:abstractNum>
  <w:abstractNum w:abstractNumId="86">
    <w:nsid w:val="45E6D486"/>
    <w:multiLevelType w:val="hybridMultilevel"/>
    <w:lvl w:ilvl="0">
      <w:lvlJc w:val="left"/>
      <w:lvlText w:val="(%1)"/>
      <w:numFmt w:val="lowerLetter"/>
      <w:start w:val="7"/>
    </w:lvl>
    <w:lvl w:ilvl="1">
      <w:lvlJc w:val="left"/>
      <w:lvlText w:val="%2"/>
      <w:numFmt w:val="lowerLetter"/>
      <w:start w:val="1"/>
    </w:lvl>
  </w:abstractNum>
  <w:abstractNum w:abstractNumId="87">
    <w:nsid w:val="5C10FE21"/>
    <w:multiLevelType w:val="hybridMultilevel"/>
    <w:lvl w:ilvl="0">
      <w:lvlJc w:val="left"/>
      <w:lvlText w:val="%1."/>
      <w:numFmt w:val="decimal"/>
      <w:start w:val="9"/>
    </w:lvl>
    <w:lvl w:ilvl="1">
      <w:lvlJc w:val="left"/>
      <w:lvlText w:val="(%2)"/>
      <w:numFmt w:val="lowerLetter"/>
      <w:start w:val="1"/>
    </w:lvl>
  </w:abstractNum>
  <w:abstractNum w:abstractNumId="88">
    <w:nsid w:val="E7FFA2B"/>
    <w:multiLevelType w:val="hybridMultilevel"/>
    <w:lvl w:ilvl="0">
      <w:lvlJc w:val="left"/>
      <w:lvlText w:val="(%1)"/>
      <w:numFmt w:val="lowerLetter"/>
      <w:start w:val="5"/>
    </w:lvl>
  </w:abstractNum>
  <w:abstractNum w:abstractNumId="89">
    <w:nsid w:val="3C5991AA"/>
    <w:multiLevelType w:val="hybridMultilevel"/>
    <w:lvl w:ilvl="0">
      <w:lvlJc w:val="left"/>
      <w:lvlText w:val="(%1)"/>
      <w:numFmt w:val="lowerLetter"/>
      <w:start w:val="9"/>
    </w:lvl>
  </w:abstractNum>
  <w:abstractNum w:abstractNumId="90">
    <w:nsid w:val="4BD8591A"/>
    <w:multiLevelType w:val="hybridMultilevel"/>
    <w:lvl w:ilvl="0">
      <w:lvlJc w:val="left"/>
      <w:lvlText w:val="(%1)"/>
      <w:numFmt w:val="lowerLetter"/>
      <w:start w:val="13"/>
    </w:lvl>
  </w:abstractNum>
  <w:abstractNum w:abstractNumId="91">
    <w:nsid w:val="78DF6A55"/>
    <w:multiLevelType w:val="hybridMultilevel"/>
    <w:lvl w:ilvl="0">
      <w:lvlJc w:val="left"/>
      <w:lvlText w:val="%1."/>
      <w:numFmt w:val="decimal"/>
      <w:start w:val="1"/>
    </w:lvl>
    <w:lvl w:ilvl="1">
      <w:lvlJc w:val="left"/>
      <w:lvlText w:val="(%2)"/>
      <w:numFmt w:val="lowerLetter"/>
      <w:start w:val="1"/>
    </w:lvl>
  </w:abstractNum>
  <w:abstractNum w:abstractNumId="92">
    <w:nsid w:val="39B7AAA2"/>
    <w:multiLevelType w:val="hybridMultilevel"/>
    <w:lvl w:ilvl="0">
      <w:lvlJc w:val="left"/>
      <w:lvlText w:val="(%1)"/>
      <w:numFmt w:val="lowerRoman"/>
      <w:start w:val="3"/>
    </w:lvl>
  </w:abstractNum>
  <w:abstractNum w:abstractNumId="93">
    <w:nsid w:val="2B0D8DBE"/>
    <w:multiLevelType w:val="hybridMultilevel"/>
    <w:lvl w:ilvl="0">
      <w:lvlJc w:val="left"/>
      <w:lvlText w:val="(%1)"/>
      <w:numFmt w:val="lowerLetter"/>
      <w:start w:val="2"/>
    </w:lvl>
    <w:lvl w:ilvl="1">
      <w:lvlJc w:val="left"/>
      <w:lvlText w:val="(%2)"/>
      <w:numFmt w:val="lowerRoman"/>
      <w:start w:val="1"/>
    </w:lvl>
  </w:abstractNum>
  <w:abstractNum w:abstractNumId="94">
    <w:nsid w:val="6C80EC70"/>
    <w:multiLevelType w:val="hybridMultilevel"/>
    <w:lvl w:ilvl="0">
      <w:lvlJc w:val="left"/>
      <w:lvlText w:val="%1."/>
      <w:numFmt w:val="decimal"/>
      <w:start w:val="2"/>
    </w:lvl>
  </w:abstractNum>
  <w:abstractNum w:abstractNumId="95">
    <w:nsid w:val="379E21B5"/>
    <w:multiLevelType w:val="hybridMultilevel"/>
    <w:lvl w:ilvl="0">
      <w:lvlJc w:val="left"/>
      <w:lvlText w:val="%1."/>
      <w:numFmt w:val="decimal"/>
      <w:start w:val="3"/>
    </w:lvl>
    <w:lvl w:ilvl="1">
      <w:lvlJc w:val="left"/>
      <w:lvlText w:val="(%2)"/>
      <w:numFmt w:val="lowerLetter"/>
      <w:start w:val="1"/>
    </w:lvl>
  </w:abstractNum>
  <w:abstractNum w:abstractNumId="96">
    <w:nsid w:val="69E373"/>
    <w:multiLevelType w:val="hybridMultilevel"/>
    <w:lvl w:ilvl="0">
      <w:lvlJc w:val="left"/>
      <w:lvlText w:val="(%1)"/>
      <w:numFmt w:val="lowerLetter"/>
      <w:start w:val="3"/>
    </w:lvl>
    <w:lvl w:ilvl="1">
      <w:lvlJc w:val="left"/>
      <w:lvlText w:val="(%2)"/>
      <w:numFmt w:val="lowerRoman"/>
      <w:start w:val="1"/>
    </w:lvl>
  </w:abstractNum>
  <w:abstractNum w:abstractNumId="97">
    <w:nsid w:val="2C27173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98">
    <w:nsid w:val="4C9B0904"/>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99">
    <w:nsid w:val="6AA7B75C"/>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00">
    <w:nsid w:val="1DF029D3"/>
    <w:multiLevelType w:val="hybridMultilevel"/>
    <w:lvl w:ilvl="0">
      <w:lvlJc w:val="left"/>
      <w:lvlText w:val="%1."/>
      <w:numFmt w:val="decimal"/>
      <w:start w:val="5"/>
    </w:lvl>
    <w:lvl w:ilvl="1">
      <w:lvlJc w:val="left"/>
      <w:lvlText w:val="(%2)"/>
      <w:numFmt w:val="lowerLetter"/>
      <w:start w:val="1"/>
    </w:lvl>
  </w:abstractNum>
  <w:abstractNum w:abstractNumId="101">
    <w:nsid w:val="5675FF36"/>
    <w:multiLevelType w:val="hybridMultilevel"/>
    <w:lvl w:ilvl="0">
      <w:lvlJc w:val="left"/>
      <w:lvlText w:val="(%1)"/>
      <w:numFmt w:val="lowerRoman"/>
      <w:start w:val="1"/>
    </w:lvl>
  </w:abstractNum>
  <w:abstractNum w:abstractNumId="102">
    <w:nsid w:val="3DD15094"/>
    <w:multiLevelType w:val="hybridMultilevel"/>
    <w:lvl w:ilvl="0">
      <w:lvlJc w:val="left"/>
      <w:lvlText w:val="(%1)"/>
      <w:numFmt w:val="lowerLetter"/>
      <w:start w:val="5"/>
    </w:lvl>
    <w:lvl w:ilvl="1">
      <w:lvlJc w:val="left"/>
      <w:lvlText w:val="(%2)"/>
      <w:numFmt w:val="lowerRoman"/>
      <w:start w:val="1"/>
    </w:lvl>
  </w:abstractNum>
  <w:abstractNum w:abstractNumId="103">
    <w:nsid w:val="3DB012B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104">
    <w:nsid w:val="2708C9AF"/>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105">
    <w:nsid w:val="5B25ACE2"/>
    <w:multiLevelType w:val="hybridMultilevel"/>
    <w:lvl w:ilvl="0">
      <w:lvlJc w:val="left"/>
      <w:lvlText w:val="(%1)"/>
      <w:numFmt w:val="lowerLetter"/>
      <w:start w:val="2"/>
    </w:lvl>
  </w:abstractNum>
  <w:abstractNum w:abstractNumId="106">
    <w:nsid w:val="175DFCF0"/>
    <w:multiLevelType w:val="hybridMultilevel"/>
    <w:lvl w:ilvl="0">
      <w:lvlJc w:val="left"/>
      <w:lvlText w:val="(%1)"/>
      <w:numFmt w:val="lowerLetter"/>
      <w:start w:val="6"/>
    </w:lvl>
  </w:abstractNum>
  <w:abstractNum w:abstractNumId="107">
    <w:nsid w:val="4F97E3E4"/>
    <w:multiLevelType w:val="hybridMultilevel"/>
    <w:lvl w:ilvl="0">
      <w:lvlJc w:val="left"/>
      <w:lvlText w:val="%1."/>
      <w:numFmt w:val="decimal"/>
      <w:start w:val="1"/>
    </w:lvl>
    <w:lvl w:ilvl="1">
      <w:lvlJc w:val="left"/>
      <w:lvlText w:val="%2)"/>
      <w:numFmt w:val="lowerLetter"/>
      <w:start w:val="1"/>
    </w:lvl>
  </w:abstractNum>
  <w:abstractNum w:abstractNumId="108">
    <w:nsid w:val="53B0A9E"/>
    <w:multiLevelType w:val="hybridMultilevel"/>
    <w:lvl w:ilvl="0">
      <w:lvlJc w:val="left"/>
      <w:lvlText w:val="%1."/>
      <w:numFmt w:val="decimal"/>
      <w:start w:val="2"/>
    </w:lvl>
    <w:lvl w:ilvl="1">
      <w:lvlJc w:val="left"/>
      <w:lvlText w:val="%2)"/>
      <w:numFmt w:val="lowerLetter"/>
      <w:start w:val="1"/>
    </w:lvl>
  </w:abstractNum>
  <w:abstractNum w:abstractNumId="109">
    <w:nsid w:val="34FD6B4F"/>
    <w:multiLevelType w:val="hybridMultilevel"/>
    <w:lvl w:ilvl="0">
      <w:lvlJc w:val="left"/>
      <w:lvlText w:val="%1."/>
      <w:numFmt w:val="upperLetter"/>
      <w:start w:val="9"/>
    </w:lvl>
  </w:abstractNum>
  <w:abstractNum w:abstractNumId="110">
    <w:nsid w:val="5915FF32"/>
    <w:multiLevelType w:val="hybridMultilevel"/>
    <w:lvl w:ilvl="0">
      <w:lvlJc w:val="left"/>
      <w:lvlText w:val="%1."/>
      <w:numFmt w:val="upperLetter"/>
      <w:start w:val="35"/>
    </w:lvl>
  </w:abstractNum>
  <w:abstractNum w:abstractNumId="111">
    <w:nsid w:val="56438D15"/>
    <w:multiLevelType w:val="hybridMultilevel"/>
    <w:lvl w:ilvl="0">
      <w:lvlJc w:val="left"/>
      <w:lvlText w:val="%1."/>
      <w:numFmt w:val="upperLetter"/>
      <w:start w:val="61"/>
    </w:lvl>
  </w:abstractNum>
  <w:abstractNum w:abstractNumId="112">
    <w:nsid w:val="519E3149"/>
    <w:multiLevelType w:val="hybridMultilevel"/>
    <w:lvl w:ilvl="0">
      <w:lvlJc w:val="left"/>
      <w:lvlText w:val="%1."/>
      <w:numFmt w:val="upperLetter"/>
      <w:start w:val="22"/>
    </w:lvl>
  </w:abstractNum>
  <w:abstractNum w:abstractNumId="113">
    <w:nsid w:val="2C6E4AFD"/>
    <w:multiLevelType w:val="hybridMultilevel"/>
    <w:lvl w:ilvl="0">
      <w:lvlJc w:val="left"/>
      <w:lvlText w:val="%1."/>
      <w:numFmt w:val="decimal"/>
      <w:start w:val="1"/>
    </w:lvl>
  </w:abstractNum>
  <w:abstractNum w:abstractNumId="114">
    <w:nsid w:val="17A1B582"/>
    <w:multiLevelType w:val="hybridMultilevel"/>
    <w:lvl w:ilvl="0">
      <w:lvlJc w:val="left"/>
      <w:lvlText w:val="%1."/>
      <w:numFmt w:val="decimal"/>
      <w:start w:val="6"/>
    </w:lvl>
  </w:abstractNum>
  <w:abstractNum w:abstractNumId="115">
    <w:nsid w:val="4DF72E4E"/>
    <w:multiLevelType w:val="hybridMultilevel"/>
    <w:lvl w:ilvl="0">
      <w:lvlJc w:val="left"/>
      <w:lvlText w:val="%1."/>
      <w:numFmt w:val="upperLetter"/>
      <w:start w:val="24"/>
    </w:lvl>
  </w:abstractNum>
  <w:abstractNum w:abstractNumId="116">
    <w:nsid w:val="5046B5A9"/>
    <w:multiLevelType w:val="hybridMultilevel"/>
    <w:lvl w:ilvl="0">
      <w:lvlJc w:val="left"/>
      <w:lvlText w:val="▪"/>
      <w:numFmt w:val="bullet"/>
      <w:start w:val="1"/>
    </w:lvl>
  </w:abstractNum>
  <w:abstractNum w:abstractNumId="117">
    <w:nsid w:val="5D888A08"/>
    <w:multiLevelType w:val="hybridMultilevel"/>
    <w:lvl w:ilvl="0">
      <w:lvlJc w:val="left"/>
      <w:lvlText w:val="▪"/>
      <w:numFmt w:val="bullet"/>
      <w:start w:val="1"/>
    </w:lvl>
  </w:abstractNum>
  <w:abstractNum w:abstractNumId="118">
    <w:nsid w:val="2A082C70"/>
    <w:multiLevelType w:val="hybridMultilevel"/>
    <w:lvl w:ilvl="0">
      <w:lvlJc w:val="left"/>
      <w:lvlText w:val="•"/>
      <w:numFmt w:val="bullet"/>
      <w:start w:val="1"/>
    </w:lvl>
  </w:abstractNum>
  <w:abstractNum w:abstractNumId="119">
    <w:nsid w:val="5EC6AFD4"/>
    <w:multiLevelType w:val="hybridMultilevel"/>
    <w:lvl w:ilvl="0">
      <w:lvlJc w:val="left"/>
      <w:lvlText w:val="•"/>
      <w:numFmt w:val="bullet"/>
      <w:start w:val="1"/>
    </w:lvl>
  </w:abstractNum>
  <w:abstractNum w:abstractNumId="120">
    <w:nsid w:val="19E21BB2"/>
    <w:multiLevelType w:val="hybridMultilevel"/>
    <w:lvl w:ilvl="0">
      <w:lvlJc w:val="left"/>
      <w:lvlText w:val="%1."/>
      <w:numFmt w:val="decimal"/>
      <w:start w:val="1"/>
    </w:lvl>
  </w:abstractNum>
  <w:abstractNum w:abstractNumId="121">
    <w:nsid w:val="75E0858A"/>
    <w:multiLevelType w:val="hybridMultilevel"/>
    <w:lvl w:ilvl="0">
      <w:lvlJc w:val="left"/>
      <w:lvlText w:val="%1."/>
      <w:numFmt w:val="decimal"/>
      <w:start w:val="1"/>
    </w:lvl>
    <w:lvl w:ilvl="1">
      <w:lvlJc w:val="left"/>
      <w:lvlText w:val="%2)"/>
      <w:numFmt w:val="lowerLetter"/>
      <w:start w:val="1"/>
    </w:lvl>
  </w:abstractNum>
  <w:abstractNum w:abstractNumId="122">
    <w:nsid w:val="57A61A29"/>
    <w:multiLevelType w:val="hybridMultilevel"/>
    <w:lvl w:ilvl="0">
      <w:lvlJc w:val="left"/>
      <w:lvlText w:val="%1."/>
      <w:numFmt w:val="decimal"/>
      <w:start w:val="1"/>
    </w:lvl>
    <w:lvl w:ilvl="1">
      <w:lvlJc w:val="left"/>
      <w:lvlText w:val="%2)"/>
      <w:numFmt w:val="lowerLetter"/>
      <w:start w:val="1"/>
    </w:lvl>
  </w:abstractNum>
  <w:abstractNum w:abstractNumId="123">
    <w:nsid w:val="5399C654"/>
    <w:multiLevelType w:val="hybridMultilevel"/>
    <w:lvl w:ilvl="0">
      <w:lvlJc w:val="left"/>
      <w:lvlText w:val="(%1)"/>
      <w:numFmt w:val="decimal"/>
      <w:start w:val="1"/>
    </w:lvl>
  </w:abstractNum>
  <w:abstractNum w:abstractNumId="124">
    <w:nsid w:val="20EE1348"/>
    <w:multiLevelType w:val="hybridMultilevel"/>
    <w:lvl w:ilvl="0">
      <w:lvlJc w:val="left"/>
      <w:lvlText w:val="(%1)"/>
      <w:numFmt w:val="decimal"/>
      <w:start w:val="1"/>
    </w:lvl>
  </w:abstractNum>
  <w:abstractNum w:abstractNumId="125">
    <w:nsid w:val="4427069A"/>
    <w:multiLevelType w:val="hybridMultilevel"/>
    <w:lvl w:ilvl="0">
      <w:lvlJc w:val="left"/>
      <w:lvlText w:val="%1."/>
      <w:numFmt w:val="decimal"/>
      <w:start w:val="1"/>
    </w:lvl>
  </w:abstractNum>
  <w:abstractNum w:abstractNumId="126">
    <w:nsid w:val="B37E80A"/>
    <w:multiLevelType w:val="hybridMultilevel"/>
    <w:lvl w:ilvl="0">
      <w:lvlJc w:val="left"/>
      <w:lvlText w:val="%1."/>
      <w:numFmt w:val="decimal"/>
      <w:start w:val="2"/>
    </w:lvl>
  </w:abstractNum>
  <w:abstractNum w:abstractNumId="127">
    <w:nsid w:val="2157F6BC"/>
    <w:multiLevelType w:val="hybridMultilevel"/>
    <w:lvl w:ilvl="0">
      <w:lvlJc w:val="left"/>
      <w:lvlText w:val="%1."/>
      <w:numFmt w:val="decimal"/>
      <w:start w:val="3"/>
    </w:lvl>
  </w:abstractNum>
  <w:abstractNum w:abstractNumId="128">
    <w:nsid w:val="704E1DD5"/>
    <w:multiLevelType w:val="hybridMultilevel"/>
    <w:lvl w:ilvl="0">
      <w:lvlJc w:val="left"/>
      <w:lvlText w:val="%1."/>
      <w:numFmt w:val="decimal"/>
      <w:start w:val="4"/>
    </w:lvl>
  </w:abstractNum>
  <w:abstractNum w:abstractNumId="129">
    <w:nsid w:val="57D2F10E"/>
    <w:multiLevelType w:val="hybridMultilevel"/>
    <w:lvl w:ilvl="0">
      <w:lvlJc w:val="left"/>
      <w:lvlText w:val="%1."/>
      <w:numFmt w:val="decimal"/>
      <w:start w:val="5"/>
    </w:lvl>
  </w:abstractNum>
  <w:abstractNum w:abstractNumId="130">
    <w:nsid w:val="BFFAE18"/>
    <w:multiLevelType w:val="hybridMultilevel"/>
    <w:lvl w:ilvl="0">
      <w:lvlJc w:val="left"/>
      <w:lvlText w:val="%1."/>
      <w:numFmt w:val="decimal"/>
      <w:start w:val="6"/>
    </w:lvl>
  </w:abstractNum>
  <w:abstractNum w:abstractNumId="131">
    <w:nsid w:val="E3E47A8"/>
    <w:multiLevelType w:val="hybridMultilevel"/>
    <w:lvl w:ilvl="0">
      <w:lvlJc w:val="left"/>
      <w:lvlText w:val="%1."/>
      <w:numFmt w:val="lowerLetter"/>
      <w:start w:val="1"/>
    </w:lvl>
  </w:abstractNum>
  <w:abstractNum w:abstractNumId="132">
    <w:nsid w:val="2E48F044"/>
    <w:multiLevelType w:val="hybridMultilevel"/>
    <w:lvl w:ilvl="0">
      <w:lvlJc w:val="left"/>
      <w:lvlText w:val="%1."/>
      <w:numFmt w:val="lowerLetter"/>
      <w:start w:val="1"/>
    </w:lvl>
  </w:abstractNum>
  <w:abstractNum w:abstractNumId="133">
    <w:nsid w:val="49D0FEAC"/>
    <w:multiLevelType w:val="hybridMultilevel"/>
    <w:lvl w:ilvl="0">
      <w:lvlJc w:val="left"/>
      <w:lvlText w:val="%1."/>
      <w:numFmt w:val="decimal"/>
      <w:start w:val="7"/>
    </w:lvl>
  </w:abstractNum>
  <w:abstractNum w:abstractNumId="134">
    <w:nsid w:val="4BEE5A5B"/>
    <w:multiLevelType w:val="hybridMultilevel"/>
    <w:lvl w:ilvl="0">
      <w:lvlJc w:val="left"/>
      <w:lvlText w:val="%1."/>
      <w:numFmt w:val="lowerLetter"/>
      <w:start w:val="1"/>
    </w:lvl>
  </w:abstractNum>
  <w:abstractNum w:abstractNumId="135">
    <w:nsid w:val="5551B9F3"/>
    <w:multiLevelType w:val="hybridMultilevel"/>
    <w:lvl w:ilvl="0">
      <w:lvlJc w:val="left"/>
      <w:lvlText w:val="%1."/>
      <w:numFmt w:val="lowerLetter"/>
      <w:start w:val="2"/>
    </w:lvl>
  </w:abstractNum>
  <w:abstractNum w:abstractNumId="136">
    <w:nsid w:val="24F6AB8E"/>
    <w:multiLevelType w:val="hybridMultilevel"/>
    <w:lvl w:ilvl="0">
      <w:lvlJc w:val="left"/>
      <w:lvlText w:val="%1."/>
      <w:numFmt w:val="decimal"/>
      <w:start w:val="8"/>
    </w:lvl>
  </w:abstractNum>
  <w:abstractNum w:abstractNumId="137">
    <w:nsid w:val="634C574C"/>
    <w:multiLevelType w:val="hybridMultilevel"/>
    <w:lvl w:ilvl="0">
      <w:lvlJc w:val="left"/>
      <w:lvlText w:val="%1."/>
      <w:numFmt w:val="lowerLetter"/>
      <w:start w:val="1"/>
    </w:lvl>
  </w:abstractNum>
  <w:abstractNum w:abstractNumId="138">
    <w:nsid w:val="24E99DD7"/>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55" Type="http://schemas.openxmlformats.org/officeDocument/2006/relationships/image" Target="media/image133.png"/><Relationship Id="rId156" Type="http://schemas.openxmlformats.org/officeDocument/2006/relationships/image" Target="media/image134.png"/><Relationship Id="rId157" Type="http://schemas.openxmlformats.org/officeDocument/2006/relationships/image" Target="media/image135.png"/><Relationship Id="rId158" Type="http://schemas.openxmlformats.org/officeDocument/2006/relationships/image" Target="media/image136.png"/><Relationship Id="rId173" Type="http://schemas.openxmlformats.org/officeDocument/2006/relationships/image" Target="media/image137.png"/><Relationship Id="rId174" Type="http://schemas.openxmlformats.org/officeDocument/2006/relationships/image" Target="media/image138.png"/><Relationship Id="rId180" Type="http://schemas.openxmlformats.org/officeDocument/2006/relationships/image" Target="media/image139.png"/><Relationship Id="rId181" Type="http://schemas.openxmlformats.org/officeDocument/2006/relationships/image" Target="media/image140.png"/><Relationship Id="rId184" Type="http://schemas.openxmlformats.org/officeDocument/2006/relationships/image" Target="media/image141.png"/><Relationship Id="rId185" Type="http://schemas.openxmlformats.org/officeDocument/2006/relationships/image" Target="media/image142.png"/><Relationship Id="rId187" Type="http://schemas.openxmlformats.org/officeDocument/2006/relationships/image" Target="media/image143.png"/><Relationship Id="rId188" Type="http://schemas.openxmlformats.org/officeDocument/2006/relationships/image" Target="media/image144.png"/><Relationship Id="rId191" Type="http://schemas.openxmlformats.org/officeDocument/2006/relationships/image" Target="media/image145.png"/><Relationship Id="rId192" Type="http://schemas.openxmlformats.org/officeDocument/2006/relationships/image" Target="media/image146.png"/><Relationship Id="rId195" Type="http://schemas.openxmlformats.org/officeDocument/2006/relationships/image" Target="media/image147.png"/><Relationship Id="rId196" Type="http://schemas.openxmlformats.org/officeDocument/2006/relationships/image" Target="media/image148.png"/><Relationship Id="rId197" Type="http://schemas.openxmlformats.org/officeDocument/2006/relationships/image" Target="media/image149.png"/><Relationship Id="rId198" Type="http://schemas.openxmlformats.org/officeDocument/2006/relationships/image" Target="media/image150.png"/><Relationship Id="rId206" Type="http://schemas.openxmlformats.org/officeDocument/2006/relationships/image" Target="media/image151.png"/><Relationship Id="rId207" Type="http://schemas.openxmlformats.org/officeDocument/2006/relationships/image" Target="media/image152.png"/><Relationship Id="rId211" Type="http://schemas.openxmlformats.org/officeDocument/2006/relationships/image" Target="media/image153.png"/><Relationship Id="rId212" Type="http://schemas.openxmlformats.org/officeDocument/2006/relationships/image" Target="media/image154.png"/><Relationship Id="rId213" Type="http://schemas.openxmlformats.org/officeDocument/2006/relationships/image" Target="media/image155.png"/><Relationship Id="rId214" Type="http://schemas.openxmlformats.org/officeDocument/2006/relationships/image" Target="media/image156.png"/><Relationship Id="rId215" Type="http://schemas.openxmlformats.org/officeDocument/2006/relationships/image" Target="media/image157.png"/><Relationship Id="rId216" Type="http://schemas.openxmlformats.org/officeDocument/2006/relationships/image" Target="media/image158.png"/><Relationship Id="rId217" Type="http://schemas.openxmlformats.org/officeDocument/2006/relationships/image" Target="media/image159.png"/><Relationship Id="rId218" Type="http://schemas.openxmlformats.org/officeDocument/2006/relationships/image" Target="media/image160.png"/><Relationship Id="rId219" Type="http://schemas.openxmlformats.org/officeDocument/2006/relationships/image" Target="media/image161.png"/><Relationship Id="rId220" Type="http://schemas.openxmlformats.org/officeDocument/2006/relationships/image" Target="media/image162.png"/><Relationship Id="rId221" Type="http://schemas.openxmlformats.org/officeDocument/2006/relationships/image" Target="media/image163.png"/><Relationship Id="rId222" Type="http://schemas.openxmlformats.org/officeDocument/2006/relationships/image" Target="media/image164.png"/><Relationship Id="rId223" Type="http://schemas.openxmlformats.org/officeDocument/2006/relationships/image" Target="media/image165.png"/><Relationship Id="rId224" Type="http://schemas.openxmlformats.org/officeDocument/2006/relationships/image" Target="media/image166.png"/><Relationship Id="rId225" Type="http://schemas.openxmlformats.org/officeDocument/2006/relationships/image" Target="media/image167.png"/><Relationship Id="rId226" Type="http://schemas.openxmlformats.org/officeDocument/2006/relationships/image" Target="media/image168.png"/><Relationship Id="rId227" Type="http://schemas.openxmlformats.org/officeDocument/2006/relationships/image" Target="media/image169.png"/><Relationship Id="rId228" Type="http://schemas.openxmlformats.org/officeDocument/2006/relationships/image" Target="media/image170.png"/><Relationship Id="rId229" Type="http://schemas.openxmlformats.org/officeDocument/2006/relationships/image" Target="media/image171.png"/><Relationship Id="rId230" Type="http://schemas.openxmlformats.org/officeDocument/2006/relationships/image" Target="media/image172.png"/><Relationship Id="rId231" Type="http://schemas.openxmlformats.org/officeDocument/2006/relationships/image" Target="media/image173.png"/><Relationship Id="rId232" Type="http://schemas.openxmlformats.org/officeDocument/2006/relationships/image" Target="media/image174.png"/><Relationship Id="rId233" Type="http://schemas.openxmlformats.org/officeDocument/2006/relationships/image" Target="media/image175.png"/><Relationship Id="rId234" Type="http://schemas.openxmlformats.org/officeDocument/2006/relationships/image" Target="media/image176.png"/><Relationship Id="rId235" Type="http://schemas.openxmlformats.org/officeDocument/2006/relationships/image" Target="media/image177.png"/><Relationship Id="rId236" Type="http://schemas.openxmlformats.org/officeDocument/2006/relationships/image" Target="media/image178.png"/><Relationship Id="rId237" Type="http://schemas.openxmlformats.org/officeDocument/2006/relationships/image" Target="media/image179.png"/><Relationship Id="rId238" Type="http://schemas.openxmlformats.org/officeDocument/2006/relationships/image" Target="media/image180.png"/><Relationship Id="rId239" Type="http://schemas.openxmlformats.org/officeDocument/2006/relationships/image" Target="media/image181.png"/><Relationship Id="rId240" Type="http://schemas.openxmlformats.org/officeDocument/2006/relationships/image" Target="media/image182.png"/><Relationship Id="rId241" Type="http://schemas.openxmlformats.org/officeDocument/2006/relationships/image" Target="media/image183.png"/><Relationship Id="rId242" Type="http://schemas.openxmlformats.org/officeDocument/2006/relationships/image" Target="media/image184.png"/><Relationship Id="rId243" Type="http://schemas.openxmlformats.org/officeDocument/2006/relationships/image" Target="media/image185.png"/><Relationship Id="rId244" Type="http://schemas.openxmlformats.org/officeDocument/2006/relationships/image" Target="media/image186.png"/><Relationship Id="rId245" Type="http://schemas.openxmlformats.org/officeDocument/2006/relationships/image" Target="media/image187.png"/><Relationship Id="rId246" Type="http://schemas.openxmlformats.org/officeDocument/2006/relationships/image" Target="media/image188.png"/><Relationship Id="rId247" Type="http://schemas.openxmlformats.org/officeDocument/2006/relationships/image" Target="media/image189.png"/><Relationship Id="rId248" Type="http://schemas.openxmlformats.org/officeDocument/2006/relationships/image" Target="media/image190.png"/><Relationship Id="rId249" Type="http://schemas.openxmlformats.org/officeDocument/2006/relationships/image" Target="media/image191.png"/><Relationship Id="rId250" Type="http://schemas.openxmlformats.org/officeDocument/2006/relationships/image" Target="media/image192.png"/><Relationship Id="rId251" Type="http://schemas.openxmlformats.org/officeDocument/2006/relationships/image" Target="media/image193.png"/><Relationship Id="rId252" Type="http://schemas.openxmlformats.org/officeDocument/2006/relationships/image" Target="media/image194.png"/><Relationship Id="rId253" Type="http://schemas.openxmlformats.org/officeDocument/2006/relationships/image" Target="media/image195.png"/><Relationship Id="rId254" Type="http://schemas.openxmlformats.org/officeDocument/2006/relationships/image" Target="media/image196.png"/><Relationship Id="rId255" Type="http://schemas.openxmlformats.org/officeDocument/2006/relationships/image" Target="media/image197.png"/><Relationship Id="rId256" Type="http://schemas.openxmlformats.org/officeDocument/2006/relationships/image" Target="media/image198.png"/><Relationship Id="rId257" Type="http://schemas.openxmlformats.org/officeDocument/2006/relationships/image" Target="media/image199.png"/><Relationship Id="rId258" Type="http://schemas.openxmlformats.org/officeDocument/2006/relationships/image" Target="media/image200.png"/><Relationship Id="rId259" Type="http://schemas.openxmlformats.org/officeDocument/2006/relationships/image" Target="media/image201.png"/><Relationship Id="rId260" Type="http://schemas.openxmlformats.org/officeDocument/2006/relationships/image" Target="media/image202.png"/><Relationship Id="rId261" Type="http://schemas.openxmlformats.org/officeDocument/2006/relationships/image" Target="media/image203.png"/><Relationship Id="rId262" Type="http://schemas.openxmlformats.org/officeDocument/2006/relationships/image" Target="media/image204.png"/><Relationship Id="rId263" Type="http://schemas.openxmlformats.org/officeDocument/2006/relationships/image" Target="media/image205.png"/><Relationship Id="rId264" Type="http://schemas.openxmlformats.org/officeDocument/2006/relationships/image" Target="media/image206.png"/><Relationship Id="rId265" Type="http://schemas.openxmlformats.org/officeDocument/2006/relationships/image" Target="media/image207.png"/><Relationship Id="rId266" Type="http://schemas.openxmlformats.org/officeDocument/2006/relationships/image" Target="media/image208.png"/><Relationship Id="rId267" Type="http://schemas.openxmlformats.org/officeDocument/2006/relationships/image" Target="media/image209.png"/><Relationship Id="rId268" Type="http://schemas.openxmlformats.org/officeDocument/2006/relationships/image" Target="media/image210.png"/><Relationship Id="rId269" Type="http://schemas.openxmlformats.org/officeDocument/2006/relationships/image" Target="media/image211.png"/><Relationship Id="rId270" Type="http://schemas.openxmlformats.org/officeDocument/2006/relationships/image" Target="media/image212.png"/><Relationship Id="rId271" Type="http://schemas.openxmlformats.org/officeDocument/2006/relationships/image" Target="media/image213.png"/><Relationship Id="rId272" Type="http://schemas.openxmlformats.org/officeDocument/2006/relationships/image" Target="media/image214.png"/><Relationship Id="rId273" Type="http://schemas.openxmlformats.org/officeDocument/2006/relationships/image" Target="media/image215.png"/><Relationship Id="rId274" Type="http://schemas.openxmlformats.org/officeDocument/2006/relationships/image" Target="media/image216.png"/><Relationship Id="rId275" Type="http://schemas.openxmlformats.org/officeDocument/2006/relationships/image" Target="media/image217.png"/><Relationship Id="rId276" Type="http://schemas.openxmlformats.org/officeDocument/2006/relationships/image" Target="media/image218.png"/><Relationship Id="rId277" Type="http://schemas.openxmlformats.org/officeDocument/2006/relationships/image" Target="media/image219.png"/><Relationship Id="rId278" Type="http://schemas.openxmlformats.org/officeDocument/2006/relationships/image" Target="media/image220.png"/><Relationship Id="rId279" Type="http://schemas.openxmlformats.org/officeDocument/2006/relationships/image" Target="media/image221.png"/><Relationship Id="rId280" Type="http://schemas.openxmlformats.org/officeDocument/2006/relationships/image" Target="media/image222.png"/><Relationship Id="rId281" Type="http://schemas.openxmlformats.org/officeDocument/2006/relationships/image" Target="media/image223.png"/><Relationship Id="rId282" Type="http://schemas.openxmlformats.org/officeDocument/2006/relationships/image" Target="media/image224.png"/><Relationship Id="rId283" Type="http://schemas.openxmlformats.org/officeDocument/2006/relationships/image" Target="media/image225.png"/><Relationship Id="rId284" Type="http://schemas.openxmlformats.org/officeDocument/2006/relationships/image" Target="media/image226.png"/><Relationship Id="rId285" Type="http://schemas.openxmlformats.org/officeDocument/2006/relationships/image" Target="media/image227.png"/><Relationship Id="rId286" Type="http://schemas.openxmlformats.org/officeDocument/2006/relationships/image" Target="media/image228.png"/><Relationship Id="rId287" Type="http://schemas.openxmlformats.org/officeDocument/2006/relationships/image" Target="media/image229.png"/><Relationship Id="rId288" Type="http://schemas.openxmlformats.org/officeDocument/2006/relationships/image" Target="media/image230.png"/><Relationship Id="rId289" Type="http://schemas.openxmlformats.org/officeDocument/2006/relationships/image" Target="media/image231.png"/><Relationship Id="rId290" Type="http://schemas.openxmlformats.org/officeDocument/2006/relationships/image" Target="media/image232.png"/><Relationship Id="rId291" Type="http://schemas.openxmlformats.org/officeDocument/2006/relationships/image" Target="media/image233.png"/><Relationship Id="rId292" Type="http://schemas.openxmlformats.org/officeDocument/2006/relationships/image" Target="media/image234.png"/><Relationship Id="rId293" Type="http://schemas.openxmlformats.org/officeDocument/2006/relationships/image" Target="media/image235.png"/><Relationship Id="rId294" Type="http://schemas.openxmlformats.org/officeDocument/2006/relationships/image" Target="media/image236.png"/><Relationship Id="rId295" Type="http://schemas.openxmlformats.org/officeDocument/2006/relationships/image" Target="media/image237.png"/><Relationship Id="rId296" Type="http://schemas.openxmlformats.org/officeDocument/2006/relationships/image" Target="media/image238.png"/><Relationship Id="rId297" Type="http://schemas.openxmlformats.org/officeDocument/2006/relationships/image" Target="media/image239.png"/><Relationship Id="rId298" Type="http://schemas.openxmlformats.org/officeDocument/2006/relationships/image" Target="media/image240.png"/><Relationship Id="rId299" Type="http://schemas.openxmlformats.org/officeDocument/2006/relationships/image" Target="media/image241.png"/><Relationship Id="rId300" Type="http://schemas.openxmlformats.org/officeDocument/2006/relationships/image" Target="media/image242.png"/><Relationship Id="rId301" Type="http://schemas.openxmlformats.org/officeDocument/2006/relationships/image" Target="media/image243.png"/><Relationship Id="rId302" Type="http://schemas.openxmlformats.org/officeDocument/2006/relationships/image" Target="media/image244.png"/><Relationship Id="rId303" Type="http://schemas.openxmlformats.org/officeDocument/2006/relationships/image" Target="media/image245.png"/><Relationship Id="rId304" Type="http://schemas.openxmlformats.org/officeDocument/2006/relationships/image" Target="media/image246.png"/><Relationship Id="rId305" Type="http://schemas.openxmlformats.org/officeDocument/2006/relationships/image" Target="media/image247.png"/><Relationship Id="rId306" Type="http://schemas.openxmlformats.org/officeDocument/2006/relationships/image" Target="media/image248.png"/><Relationship Id="rId307" Type="http://schemas.openxmlformats.org/officeDocument/2006/relationships/image" Target="media/image249.png"/><Relationship Id="rId308" Type="http://schemas.openxmlformats.org/officeDocument/2006/relationships/image" Target="media/image250.png"/><Relationship Id="rId309" Type="http://schemas.openxmlformats.org/officeDocument/2006/relationships/image" Target="media/image251.png"/><Relationship Id="rId310" Type="http://schemas.openxmlformats.org/officeDocument/2006/relationships/image" Target="media/image252.png"/><Relationship Id="rId311" Type="http://schemas.openxmlformats.org/officeDocument/2006/relationships/image" Target="media/image253.png"/><Relationship Id="rId312" Type="http://schemas.openxmlformats.org/officeDocument/2006/relationships/image" Target="media/image254.png"/><Relationship Id="rId313" Type="http://schemas.openxmlformats.org/officeDocument/2006/relationships/image" Target="media/image255.png"/><Relationship Id="rId314" Type="http://schemas.openxmlformats.org/officeDocument/2006/relationships/image" Target="media/image256.png"/><Relationship Id="rId315" Type="http://schemas.openxmlformats.org/officeDocument/2006/relationships/image" Target="media/image257.png"/><Relationship Id="rId316" Type="http://schemas.openxmlformats.org/officeDocument/2006/relationships/image" Target="media/image258.png"/><Relationship Id="rId317" Type="http://schemas.openxmlformats.org/officeDocument/2006/relationships/image" Target="media/image259.png"/><Relationship Id="rId318" Type="http://schemas.openxmlformats.org/officeDocument/2006/relationships/image" Target="media/image260.png"/><Relationship Id="rId319" Type="http://schemas.openxmlformats.org/officeDocument/2006/relationships/image" Target="media/image261.png"/><Relationship Id="rId320" Type="http://schemas.openxmlformats.org/officeDocument/2006/relationships/image" Target="media/image262.png"/><Relationship Id="rId321" Type="http://schemas.openxmlformats.org/officeDocument/2006/relationships/image" Target="media/image263.png"/><Relationship Id="rId322" Type="http://schemas.openxmlformats.org/officeDocument/2006/relationships/image" Target="media/image264.png"/><Relationship Id="rId323" Type="http://schemas.openxmlformats.org/officeDocument/2006/relationships/image" Target="media/image265.png"/><Relationship Id="rId324" Type="http://schemas.openxmlformats.org/officeDocument/2006/relationships/image" Target="media/image266.png"/><Relationship Id="rId325" Type="http://schemas.openxmlformats.org/officeDocument/2006/relationships/image" Target="media/image267.png"/><Relationship Id="rId326" Type="http://schemas.openxmlformats.org/officeDocument/2006/relationships/image" Target="media/image268.png"/><Relationship Id="rId327" Type="http://schemas.openxmlformats.org/officeDocument/2006/relationships/image" Target="media/image269.png"/><Relationship Id="rId328" Type="http://schemas.openxmlformats.org/officeDocument/2006/relationships/image" Target="media/image270.png"/><Relationship Id="rId329" Type="http://schemas.openxmlformats.org/officeDocument/2006/relationships/image" Target="media/image271.png"/><Relationship Id="rId330" Type="http://schemas.openxmlformats.org/officeDocument/2006/relationships/image" Target="media/image272.png"/><Relationship Id="rId331" Type="http://schemas.openxmlformats.org/officeDocument/2006/relationships/image" Target="media/image273.png"/><Relationship Id="rId332" Type="http://schemas.openxmlformats.org/officeDocument/2006/relationships/image" Target="media/image274.png"/><Relationship Id="rId333" Type="http://schemas.openxmlformats.org/officeDocument/2006/relationships/image" Target="media/image275.png"/><Relationship Id="rId334" Type="http://schemas.openxmlformats.org/officeDocument/2006/relationships/image" Target="media/image276.png"/><Relationship Id="rId335" Type="http://schemas.openxmlformats.org/officeDocument/2006/relationships/image" Target="media/image277.png"/><Relationship Id="rId336" Type="http://schemas.openxmlformats.org/officeDocument/2006/relationships/image" Target="media/image278.png"/><Relationship Id="rId337" Type="http://schemas.openxmlformats.org/officeDocument/2006/relationships/image" Target="media/image279.png"/><Relationship Id="rId338" Type="http://schemas.openxmlformats.org/officeDocument/2006/relationships/image" Target="media/image280.png"/><Relationship Id="rId339" Type="http://schemas.openxmlformats.org/officeDocument/2006/relationships/image" Target="media/image281.png"/><Relationship Id="rId340" Type="http://schemas.openxmlformats.org/officeDocument/2006/relationships/image" Target="media/image282.png"/><Relationship Id="rId341" Type="http://schemas.openxmlformats.org/officeDocument/2006/relationships/image" Target="media/image283.png"/><Relationship Id="rId342" Type="http://schemas.openxmlformats.org/officeDocument/2006/relationships/image" Target="media/image284.png"/><Relationship Id="rId343" Type="http://schemas.openxmlformats.org/officeDocument/2006/relationships/image" Target="media/image285.png"/><Relationship Id="rId344" Type="http://schemas.openxmlformats.org/officeDocument/2006/relationships/image" Target="media/image286.png"/><Relationship Id="rId345" Type="http://schemas.openxmlformats.org/officeDocument/2006/relationships/image" Target="media/image287.png"/><Relationship Id="rId346" Type="http://schemas.openxmlformats.org/officeDocument/2006/relationships/image" Target="media/image288.png"/><Relationship Id="rId347" Type="http://schemas.openxmlformats.org/officeDocument/2006/relationships/image" Target="media/image289.png"/><Relationship Id="rId348" Type="http://schemas.openxmlformats.org/officeDocument/2006/relationships/image" Target="media/image290.png"/><Relationship Id="rId349" Type="http://schemas.openxmlformats.org/officeDocument/2006/relationships/image" Target="media/image291.png"/><Relationship Id="rId350" Type="http://schemas.openxmlformats.org/officeDocument/2006/relationships/image" Target="media/image292.png"/><Relationship Id="rId351" Type="http://schemas.openxmlformats.org/officeDocument/2006/relationships/image" Target="media/image293.png"/><Relationship Id="rId352" Type="http://schemas.openxmlformats.org/officeDocument/2006/relationships/image" Target="media/image294.png"/><Relationship Id="rId353" Type="http://schemas.openxmlformats.org/officeDocument/2006/relationships/image" Target="media/image295.png"/><Relationship Id="rId354" Type="http://schemas.openxmlformats.org/officeDocument/2006/relationships/image" Target="media/image296.png"/><Relationship Id="rId355" Type="http://schemas.openxmlformats.org/officeDocument/2006/relationships/image" Target="media/image297.png"/><Relationship Id="rId356" Type="http://schemas.openxmlformats.org/officeDocument/2006/relationships/image" Target="media/image298.png"/><Relationship Id="rId357" Type="http://schemas.openxmlformats.org/officeDocument/2006/relationships/image" Target="media/image299.png"/><Relationship Id="rId358" Type="http://schemas.openxmlformats.org/officeDocument/2006/relationships/image" Target="media/image300.png"/><Relationship Id="rId359" Type="http://schemas.openxmlformats.org/officeDocument/2006/relationships/image" Target="media/image301.png"/><Relationship Id="rId360" Type="http://schemas.openxmlformats.org/officeDocument/2006/relationships/image" Target="media/image302.png"/><Relationship Id="rId361" Type="http://schemas.openxmlformats.org/officeDocument/2006/relationships/image" Target="media/image303.png"/><Relationship Id="rId362" Type="http://schemas.openxmlformats.org/officeDocument/2006/relationships/image" Target="media/image304.png"/><Relationship Id="rId363" Type="http://schemas.openxmlformats.org/officeDocument/2006/relationships/image" Target="media/image305.png"/><Relationship Id="rId364" Type="http://schemas.openxmlformats.org/officeDocument/2006/relationships/image" Target="media/image306.png"/><Relationship Id="rId365" Type="http://schemas.openxmlformats.org/officeDocument/2006/relationships/image" Target="media/image307.png"/><Relationship Id="rId366" Type="http://schemas.openxmlformats.org/officeDocument/2006/relationships/image" Target="media/image308.png"/><Relationship Id="rId367" Type="http://schemas.openxmlformats.org/officeDocument/2006/relationships/image" Target="media/image309.png"/><Relationship Id="rId368" Type="http://schemas.openxmlformats.org/officeDocument/2006/relationships/image" Target="media/image310.png"/><Relationship Id="rId369" Type="http://schemas.openxmlformats.org/officeDocument/2006/relationships/image" Target="media/image311.png"/><Relationship Id="rId370" Type="http://schemas.openxmlformats.org/officeDocument/2006/relationships/image" Target="media/image312.png"/><Relationship Id="rId371" Type="http://schemas.openxmlformats.org/officeDocument/2006/relationships/image" Target="media/image313.png"/><Relationship Id="rId372" Type="http://schemas.openxmlformats.org/officeDocument/2006/relationships/image" Target="media/image314.png"/><Relationship Id="rId373" Type="http://schemas.openxmlformats.org/officeDocument/2006/relationships/image" Target="media/image315.png"/><Relationship Id="rId374" Type="http://schemas.openxmlformats.org/officeDocument/2006/relationships/image" Target="media/image316.png"/><Relationship Id="rId375" Type="http://schemas.openxmlformats.org/officeDocument/2006/relationships/image" Target="media/image317.png"/><Relationship Id="rId376" Type="http://schemas.openxmlformats.org/officeDocument/2006/relationships/image" Target="media/image318.png"/><Relationship Id="rId377" Type="http://schemas.openxmlformats.org/officeDocument/2006/relationships/image" Target="media/image319.png"/><Relationship Id="rId378" Type="http://schemas.openxmlformats.org/officeDocument/2006/relationships/image" Target="media/image320.png"/><Relationship Id="rId379" Type="http://schemas.openxmlformats.org/officeDocument/2006/relationships/image" Target="media/image321.png"/><Relationship Id="rId380" Type="http://schemas.openxmlformats.org/officeDocument/2006/relationships/image" Target="media/image322.png"/><Relationship Id="rId381" Type="http://schemas.openxmlformats.org/officeDocument/2006/relationships/image" Target="media/image323.png"/><Relationship Id="rId382" Type="http://schemas.openxmlformats.org/officeDocument/2006/relationships/image" Target="media/image324.png"/><Relationship Id="rId383" Type="http://schemas.openxmlformats.org/officeDocument/2006/relationships/image" Target="media/image325.png"/><Relationship Id="rId384" Type="http://schemas.openxmlformats.org/officeDocument/2006/relationships/image" Target="media/image326.png"/><Relationship Id="rId385" Type="http://schemas.openxmlformats.org/officeDocument/2006/relationships/image" Target="media/image327.png"/><Relationship Id="rId386" Type="http://schemas.openxmlformats.org/officeDocument/2006/relationships/image" Target="media/image328.png"/><Relationship Id="rId387" Type="http://schemas.openxmlformats.org/officeDocument/2006/relationships/image" Target="media/image329.png"/><Relationship Id="rId388" Type="http://schemas.openxmlformats.org/officeDocument/2006/relationships/image" Target="media/image330.png"/><Relationship Id="rId389" Type="http://schemas.openxmlformats.org/officeDocument/2006/relationships/image" Target="media/image331.png"/><Relationship Id="rId390" Type="http://schemas.openxmlformats.org/officeDocument/2006/relationships/image" Target="media/image332.png"/><Relationship Id="rId391" Type="http://schemas.openxmlformats.org/officeDocument/2006/relationships/image" Target="media/image333.png"/><Relationship Id="rId392" Type="http://schemas.openxmlformats.org/officeDocument/2006/relationships/image" Target="media/image334.png"/><Relationship Id="rId393" Type="http://schemas.openxmlformats.org/officeDocument/2006/relationships/image" Target="media/image335.png"/><Relationship Id="rId394" Type="http://schemas.openxmlformats.org/officeDocument/2006/relationships/image" Target="media/image336.png"/><Relationship Id="rId395" Type="http://schemas.openxmlformats.org/officeDocument/2006/relationships/image" Target="media/image337.png"/><Relationship Id="rId396" Type="http://schemas.openxmlformats.org/officeDocument/2006/relationships/image" Target="media/image338.png"/><Relationship Id="rId397" Type="http://schemas.openxmlformats.org/officeDocument/2006/relationships/image" Target="media/image339.png"/><Relationship Id="rId398" Type="http://schemas.openxmlformats.org/officeDocument/2006/relationships/image" Target="media/image340.png"/><Relationship Id="rId399" Type="http://schemas.openxmlformats.org/officeDocument/2006/relationships/image" Target="media/image341.png"/><Relationship Id="rId400" Type="http://schemas.openxmlformats.org/officeDocument/2006/relationships/image" Target="media/image342.png"/><Relationship Id="rId401" Type="http://schemas.openxmlformats.org/officeDocument/2006/relationships/image" Target="media/image343.png"/><Relationship Id="rId402" Type="http://schemas.openxmlformats.org/officeDocument/2006/relationships/image" Target="media/image344.png"/><Relationship Id="rId403" Type="http://schemas.openxmlformats.org/officeDocument/2006/relationships/image" Target="media/image345.png"/><Relationship Id="rId404" Type="http://schemas.openxmlformats.org/officeDocument/2006/relationships/image" Target="media/image346.png"/><Relationship Id="rId405" Type="http://schemas.openxmlformats.org/officeDocument/2006/relationships/image" Target="media/image347.png"/><Relationship Id="rId406" Type="http://schemas.openxmlformats.org/officeDocument/2006/relationships/image" Target="media/image348.png"/><Relationship Id="rId407" Type="http://schemas.openxmlformats.org/officeDocument/2006/relationships/image" Target="media/image349.png"/><Relationship Id="rId408" Type="http://schemas.openxmlformats.org/officeDocument/2006/relationships/image" Target="media/image350.png"/><Relationship Id="rId409" Type="http://schemas.openxmlformats.org/officeDocument/2006/relationships/image" Target="media/image351.png"/><Relationship Id="rId410" Type="http://schemas.openxmlformats.org/officeDocument/2006/relationships/image" Target="media/image352.png"/><Relationship Id="rId411" Type="http://schemas.openxmlformats.org/officeDocument/2006/relationships/image" Target="media/image353.png"/><Relationship Id="rId412" Type="http://schemas.openxmlformats.org/officeDocument/2006/relationships/image" Target="media/image354.png"/><Relationship Id="rId413" Type="http://schemas.openxmlformats.org/officeDocument/2006/relationships/image" Target="media/image355.png"/><Relationship Id="rId414" Type="http://schemas.openxmlformats.org/officeDocument/2006/relationships/image" Target="media/image356.png"/><Relationship Id="rId415" Type="http://schemas.openxmlformats.org/officeDocument/2006/relationships/image" Target="media/image357.png"/><Relationship Id="rId416" Type="http://schemas.openxmlformats.org/officeDocument/2006/relationships/image" Target="media/image358.png"/><Relationship Id="rId417" Type="http://schemas.openxmlformats.org/officeDocument/2006/relationships/image" Target="media/image359.png"/><Relationship Id="rId418" Type="http://schemas.openxmlformats.org/officeDocument/2006/relationships/image" Target="media/image360.png"/><Relationship Id="rId419" Type="http://schemas.openxmlformats.org/officeDocument/2006/relationships/image" Target="media/image361.png"/><Relationship Id="rId420" Type="http://schemas.openxmlformats.org/officeDocument/2006/relationships/image" Target="media/image362.png"/><Relationship Id="rId421" Type="http://schemas.openxmlformats.org/officeDocument/2006/relationships/image" Target="media/image363.png"/><Relationship Id="rId422" Type="http://schemas.openxmlformats.org/officeDocument/2006/relationships/image" Target="media/image364.png"/><Relationship Id="rId423" Type="http://schemas.openxmlformats.org/officeDocument/2006/relationships/image" Target="media/image365.png"/><Relationship Id="rId424" Type="http://schemas.openxmlformats.org/officeDocument/2006/relationships/image" Target="media/image366.png"/><Relationship Id="rId425" Type="http://schemas.openxmlformats.org/officeDocument/2006/relationships/image" Target="media/image367.png"/><Relationship Id="rId426" Type="http://schemas.openxmlformats.org/officeDocument/2006/relationships/image" Target="media/image368.png"/><Relationship Id="rId427" Type="http://schemas.openxmlformats.org/officeDocument/2006/relationships/image" Target="media/image369.png"/><Relationship Id="rId428" Type="http://schemas.openxmlformats.org/officeDocument/2006/relationships/image" Target="media/image370.png"/><Relationship Id="rId429" Type="http://schemas.openxmlformats.org/officeDocument/2006/relationships/image" Target="media/image371.png"/><Relationship Id="rId430" Type="http://schemas.openxmlformats.org/officeDocument/2006/relationships/image" Target="media/image372.png"/><Relationship Id="rId431" Type="http://schemas.openxmlformats.org/officeDocument/2006/relationships/image" Target="media/image373.png"/><Relationship Id="rId432" Type="http://schemas.openxmlformats.org/officeDocument/2006/relationships/image" Target="media/image374.png"/><Relationship Id="rId433" Type="http://schemas.openxmlformats.org/officeDocument/2006/relationships/image" Target="media/image375.png"/><Relationship Id="rId434" Type="http://schemas.openxmlformats.org/officeDocument/2006/relationships/image" Target="media/image376.png"/><Relationship Id="rId435" Type="http://schemas.openxmlformats.org/officeDocument/2006/relationships/image" Target="media/image377.png"/><Relationship Id="rId436" Type="http://schemas.openxmlformats.org/officeDocument/2006/relationships/image" Target="media/image378.png"/><Relationship Id="rId437" Type="http://schemas.openxmlformats.org/officeDocument/2006/relationships/image" Target="media/image379.png"/><Relationship Id="rId438" Type="http://schemas.openxmlformats.org/officeDocument/2006/relationships/image" Target="media/image380.png"/><Relationship Id="rId439" Type="http://schemas.openxmlformats.org/officeDocument/2006/relationships/image" Target="media/image381.png"/><Relationship Id="rId440" Type="http://schemas.openxmlformats.org/officeDocument/2006/relationships/image" Target="media/image382.png"/><Relationship Id="rId441" Type="http://schemas.openxmlformats.org/officeDocument/2006/relationships/image" Target="media/image383.png"/><Relationship Id="rId442" Type="http://schemas.openxmlformats.org/officeDocument/2006/relationships/image" Target="media/image384.png"/><Relationship Id="rId443" Type="http://schemas.openxmlformats.org/officeDocument/2006/relationships/image" Target="media/image385.png"/><Relationship Id="rId444" Type="http://schemas.openxmlformats.org/officeDocument/2006/relationships/image" Target="media/image386.png"/><Relationship Id="rId445" Type="http://schemas.openxmlformats.org/officeDocument/2006/relationships/image" Target="media/image387.png"/><Relationship Id="rId446" Type="http://schemas.openxmlformats.org/officeDocument/2006/relationships/image" Target="media/image388.png"/><Relationship Id="rId447" Type="http://schemas.openxmlformats.org/officeDocument/2006/relationships/image" Target="media/image389.png"/><Relationship Id="rId448" Type="http://schemas.openxmlformats.org/officeDocument/2006/relationships/image" Target="media/image390.png"/><Relationship Id="rId449" Type="http://schemas.openxmlformats.org/officeDocument/2006/relationships/image" Target="media/image391.png"/><Relationship Id="rId450" Type="http://schemas.openxmlformats.org/officeDocument/2006/relationships/image" Target="media/image392.png"/><Relationship Id="rId451" Type="http://schemas.openxmlformats.org/officeDocument/2006/relationships/image" Target="media/image393.png"/><Relationship Id="rId452" Type="http://schemas.openxmlformats.org/officeDocument/2006/relationships/image" Target="media/image394.png"/><Relationship Id="rId453" Type="http://schemas.openxmlformats.org/officeDocument/2006/relationships/image" Target="media/image395.png"/><Relationship Id="rId454" Type="http://schemas.openxmlformats.org/officeDocument/2006/relationships/image" Target="media/image396.png"/><Relationship Id="rId455" Type="http://schemas.openxmlformats.org/officeDocument/2006/relationships/image" Target="media/image397.png"/><Relationship Id="rId456" Type="http://schemas.openxmlformats.org/officeDocument/2006/relationships/image" Target="media/image398.png"/><Relationship Id="rId457" Type="http://schemas.openxmlformats.org/officeDocument/2006/relationships/image" Target="media/image399.png"/><Relationship Id="rId458" Type="http://schemas.openxmlformats.org/officeDocument/2006/relationships/image" Target="media/image400.png"/><Relationship Id="rId459" Type="http://schemas.openxmlformats.org/officeDocument/2006/relationships/image" Target="media/image401.png"/><Relationship Id="rId460" Type="http://schemas.openxmlformats.org/officeDocument/2006/relationships/image" Target="media/image402.png"/><Relationship Id="rId461" Type="http://schemas.openxmlformats.org/officeDocument/2006/relationships/image" Target="media/image403.png"/><Relationship Id="rId462" Type="http://schemas.openxmlformats.org/officeDocument/2006/relationships/image" Target="media/image404.png"/><Relationship Id="rId463" Type="http://schemas.openxmlformats.org/officeDocument/2006/relationships/image" Target="media/image405.png"/><Relationship Id="rId464" Type="http://schemas.openxmlformats.org/officeDocument/2006/relationships/image" Target="media/image406.png"/><Relationship Id="rId465" Type="http://schemas.openxmlformats.org/officeDocument/2006/relationships/image" Target="media/image407.png"/><Relationship Id="rId466" Type="http://schemas.openxmlformats.org/officeDocument/2006/relationships/image" Target="media/image408.png"/><Relationship Id="rId467" Type="http://schemas.openxmlformats.org/officeDocument/2006/relationships/image" Target="media/image409.png"/><Relationship Id="rId468" Type="http://schemas.openxmlformats.org/officeDocument/2006/relationships/image" Target="media/image410.png"/><Relationship Id="rId469" Type="http://schemas.openxmlformats.org/officeDocument/2006/relationships/image" Target="media/image411.png"/><Relationship Id="rId470" Type="http://schemas.openxmlformats.org/officeDocument/2006/relationships/image" Target="media/image412.png"/><Relationship Id="rId471" Type="http://schemas.openxmlformats.org/officeDocument/2006/relationships/image" Target="media/image413.png"/><Relationship Id="rId472" Type="http://schemas.openxmlformats.org/officeDocument/2006/relationships/image" Target="media/image414.png"/><Relationship Id="rId473" Type="http://schemas.openxmlformats.org/officeDocument/2006/relationships/image" Target="media/image415.png"/><Relationship Id="rId474" Type="http://schemas.openxmlformats.org/officeDocument/2006/relationships/image" Target="media/image416.png"/><Relationship Id="rId475" Type="http://schemas.openxmlformats.org/officeDocument/2006/relationships/image" Target="media/image417.png"/><Relationship Id="rId476" Type="http://schemas.openxmlformats.org/officeDocument/2006/relationships/image" Target="media/image418.png"/><Relationship Id="rId477" Type="http://schemas.openxmlformats.org/officeDocument/2006/relationships/image" Target="media/image419.png"/><Relationship Id="rId478" Type="http://schemas.openxmlformats.org/officeDocument/2006/relationships/image" Target="media/image420.png"/><Relationship Id="rId479" Type="http://schemas.openxmlformats.org/officeDocument/2006/relationships/image" Target="media/image421.png"/><Relationship Id="rId480" Type="http://schemas.openxmlformats.org/officeDocument/2006/relationships/image" Target="media/image422.png"/><Relationship Id="rId481" Type="http://schemas.openxmlformats.org/officeDocument/2006/relationships/image" Target="media/image423.png"/><Relationship Id="rId482" Type="http://schemas.openxmlformats.org/officeDocument/2006/relationships/image" Target="media/image424.png"/><Relationship Id="rId483" Type="http://schemas.openxmlformats.org/officeDocument/2006/relationships/image" Target="media/image425.png"/><Relationship Id="rId484" Type="http://schemas.openxmlformats.org/officeDocument/2006/relationships/image" Target="media/image426.png"/><Relationship Id="rId485" Type="http://schemas.openxmlformats.org/officeDocument/2006/relationships/image" Target="media/image427.png"/><Relationship Id="rId486" Type="http://schemas.openxmlformats.org/officeDocument/2006/relationships/image" Target="media/image428.png"/><Relationship Id="rId487" Type="http://schemas.openxmlformats.org/officeDocument/2006/relationships/image" Target="media/image429.png"/><Relationship Id="rId488" Type="http://schemas.openxmlformats.org/officeDocument/2006/relationships/image" Target="media/image430.png"/><Relationship Id="rId489" Type="http://schemas.openxmlformats.org/officeDocument/2006/relationships/image" Target="media/image431.png"/><Relationship Id="rId490" Type="http://schemas.openxmlformats.org/officeDocument/2006/relationships/image" Target="media/image432.png"/><Relationship Id="rId491" Type="http://schemas.openxmlformats.org/officeDocument/2006/relationships/image" Target="media/image433.png"/><Relationship Id="rId492" Type="http://schemas.openxmlformats.org/officeDocument/2006/relationships/image" Target="media/image434.png"/><Relationship Id="rId493" Type="http://schemas.openxmlformats.org/officeDocument/2006/relationships/image" Target="media/image435.png"/><Relationship Id="rId494" Type="http://schemas.openxmlformats.org/officeDocument/2006/relationships/image" Target="media/image436.png"/><Relationship Id="rId495" Type="http://schemas.openxmlformats.org/officeDocument/2006/relationships/image" Target="media/image437.png"/><Relationship Id="rId496" Type="http://schemas.openxmlformats.org/officeDocument/2006/relationships/image" Target="media/image438.png"/><Relationship Id="rId497" Type="http://schemas.openxmlformats.org/officeDocument/2006/relationships/image" Target="media/image439.png"/><Relationship Id="rId498" Type="http://schemas.openxmlformats.org/officeDocument/2006/relationships/image" Target="media/image440.png"/><Relationship Id="rId499" Type="http://schemas.openxmlformats.org/officeDocument/2006/relationships/image" Target="media/image441.png"/><Relationship Id="rId500" Type="http://schemas.openxmlformats.org/officeDocument/2006/relationships/image" Target="media/image442.png"/><Relationship Id="rId501" Type="http://schemas.openxmlformats.org/officeDocument/2006/relationships/image" Target="media/image443.png"/><Relationship Id="rId502" Type="http://schemas.openxmlformats.org/officeDocument/2006/relationships/image" Target="media/image444.png"/><Relationship Id="rId503" Type="http://schemas.openxmlformats.org/officeDocument/2006/relationships/image" Target="media/image445.png"/><Relationship Id="rId504" Type="http://schemas.openxmlformats.org/officeDocument/2006/relationships/image" Target="media/image446.png"/><Relationship Id="rId505" Type="http://schemas.openxmlformats.org/officeDocument/2006/relationships/image" Target="media/image447.png"/><Relationship Id="rId506" Type="http://schemas.openxmlformats.org/officeDocument/2006/relationships/image" Target="media/image448.png"/><Relationship Id="rId507" Type="http://schemas.openxmlformats.org/officeDocument/2006/relationships/image" Target="media/image449.png"/><Relationship Id="rId508" Type="http://schemas.openxmlformats.org/officeDocument/2006/relationships/image" Target="media/image450.png"/><Relationship Id="rId509" Type="http://schemas.openxmlformats.org/officeDocument/2006/relationships/image" Target="media/image451.png"/><Relationship Id="rId510" Type="http://schemas.openxmlformats.org/officeDocument/2006/relationships/image" Target="media/image452.png"/><Relationship Id="rId511" Type="http://schemas.openxmlformats.org/officeDocument/2006/relationships/image" Target="media/image453.png"/><Relationship Id="rId512" Type="http://schemas.openxmlformats.org/officeDocument/2006/relationships/image" Target="media/image454.png"/><Relationship Id="rId513" Type="http://schemas.openxmlformats.org/officeDocument/2006/relationships/image" Target="media/image455.png"/><Relationship Id="rId514" Type="http://schemas.openxmlformats.org/officeDocument/2006/relationships/image" Target="media/image456.png"/><Relationship Id="rId515" Type="http://schemas.openxmlformats.org/officeDocument/2006/relationships/image" Target="media/image457.png"/><Relationship Id="rId516" Type="http://schemas.openxmlformats.org/officeDocument/2006/relationships/image" Target="media/image458.png"/><Relationship Id="rId517" Type="http://schemas.openxmlformats.org/officeDocument/2006/relationships/image" Target="media/image459.png"/><Relationship Id="rId518" Type="http://schemas.openxmlformats.org/officeDocument/2006/relationships/image" Target="media/image460.png"/><Relationship Id="rId519" Type="http://schemas.openxmlformats.org/officeDocument/2006/relationships/image" Target="media/image461.png"/><Relationship Id="rId520" Type="http://schemas.openxmlformats.org/officeDocument/2006/relationships/image" Target="media/image462.png"/><Relationship Id="rId521" Type="http://schemas.openxmlformats.org/officeDocument/2006/relationships/image" Target="media/image463.png"/><Relationship Id="rId522" Type="http://schemas.openxmlformats.org/officeDocument/2006/relationships/image" Target="media/image464.png"/><Relationship Id="rId523" Type="http://schemas.openxmlformats.org/officeDocument/2006/relationships/image" Target="media/image465.png"/><Relationship Id="rId524" Type="http://schemas.openxmlformats.org/officeDocument/2006/relationships/image" Target="media/image466.png"/><Relationship Id="rId525" Type="http://schemas.openxmlformats.org/officeDocument/2006/relationships/image" Target="media/image467.png"/><Relationship Id="rId526" Type="http://schemas.openxmlformats.org/officeDocument/2006/relationships/image" Target="media/image468.png"/><Relationship Id="rId527" Type="http://schemas.openxmlformats.org/officeDocument/2006/relationships/image" Target="media/image469.png"/><Relationship Id="rId528" Type="http://schemas.openxmlformats.org/officeDocument/2006/relationships/image" Target="media/image470.png"/><Relationship Id="rId529" Type="http://schemas.openxmlformats.org/officeDocument/2006/relationships/image" Target="media/image471.png"/><Relationship Id="rId530" Type="http://schemas.openxmlformats.org/officeDocument/2006/relationships/image" Target="media/image472.png"/><Relationship Id="rId531" Type="http://schemas.openxmlformats.org/officeDocument/2006/relationships/image" Target="media/image473.png"/><Relationship Id="rId532" Type="http://schemas.openxmlformats.org/officeDocument/2006/relationships/image" Target="media/image474.png"/><Relationship Id="rId533" Type="http://schemas.openxmlformats.org/officeDocument/2006/relationships/image" Target="media/image475.png"/><Relationship Id="rId534" Type="http://schemas.openxmlformats.org/officeDocument/2006/relationships/image" Target="media/image476.png"/><Relationship Id="rId535" Type="http://schemas.openxmlformats.org/officeDocument/2006/relationships/image" Target="media/image477.png"/><Relationship Id="rId536" Type="http://schemas.openxmlformats.org/officeDocument/2006/relationships/image" Target="media/image478.png"/><Relationship Id="rId537" Type="http://schemas.openxmlformats.org/officeDocument/2006/relationships/image" Target="media/image479.png"/><Relationship Id="rId538" Type="http://schemas.openxmlformats.org/officeDocument/2006/relationships/image" Target="media/image480.png"/><Relationship Id="rId539" Type="http://schemas.openxmlformats.org/officeDocument/2006/relationships/image" Target="media/image481.png"/><Relationship Id="rId540" Type="http://schemas.openxmlformats.org/officeDocument/2006/relationships/image" Target="media/image482.png"/><Relationship Id="rId541" Type="http://schemas.openxmlformats.org/officeDocument/2006/relationships/image" Target="media/image483.png"/><Relationship Id="rId542" Type="http://schemas.openxmlformats.org/officeDocument/2006/relationships/image" Target="media/image484.png"/><Relationship Id="rId543" Type="http://schemas.openxmlformats.org/officeDocument/2006/relationships/image" Target="media/image485.png"/><Relationship Id="rId544" Type="http://schemas.openxmlformats.org/officeDocument/2006/relationships/image" Target="media/image486.png"/><Relationship Id="rId545" Type="http://schemas.openxmlformats.org/officeDocument/2006/relationships/image" Target="media/image487.png"/><Relationship Id="rId546" Type="http://schemas.openxmlformats.org/officeDocument/2006/relationships/image" Target="media/image488.png"/><Relationship Id="rId547" Type="http://schemas.openxmlformats.org/officeDocument/2006/relationships/image" Target="media/image489.jpeg"/><Relationship Id="rId548" Type="http://schemas.openxmlformats.org/officeDocument/2006/relationships/image" Target="media/image490.png"/><Relationship Id="rId549" Type="http://schemas.openxmlformats.org/officeDocument/2006/relationships/image" Target="media/image491.jpeg"/><Relationship Id="rId550" Type="http://schemas.openxmlformats.org/officeDocument/2006/relationships/image" Target="media/image492.png"/><Relationship Id="rId551" Type="http://schemas.openxmlformats.org/officeDocument/2006/relationships/image" Target="media/image493.jpeg"/><Relationship Id="rId552" Type="http://schemas.openxmlformats.org/officeDocument/2006/relationships/image" Target="media/image494.png"/><Relationship Id="rId553" Type="http://schemas.openxmlformats.org/officeDocument/2006/relationships/image" Target="media/image495.jpeg"/><Relationship Id="rId554" Type="http://schemas.openxmlformats.org/officeDocument/2006/relationships/image" Target="media/image496.png"/><Relationship Id="rId555" Type="http://schemas.openxmlformats.org/officeDocument/2006/relationships/image" Target="media/image497.jpeg"/><Relationship Id="rId556" Type="http://schemas.openxmlformats.org/officeDocument/2006/relationships/image" Target="media/image498.png"/><Relationship Id="rId557" Type="http://schemas.openxmlformats.org/officeDocument/2006/relationships/image" Target="media/image499.jpeg"/><Relationship Id="rId558" Type="http://schemas.openxmlformats.org/officeDocument/2006/relationships/image" Target="media/image500.png"/><Relationship Id="rId140" Type="http://schemas.openxmlformats.org/officeDocument/2006/relationships/hyperlink" Target="https://www.sec.gov/Archives/edgar/data/60714/000119312513084410/d447083dex3i1.htm" TargetMode="External"/><Relationship Id="rId141" Type="http://schemas.openxmlformats.org/officeDocument/2006/relationships/hyperlink" Target="https://www.sec.gov/Archives/edgar/data/0000060714/000119312521331386/d173096dex3i2.htm" TargetMode="External"/><Relationship Id="rId142" Type="http://schemas.openxmlformats.org/officeDocument/2006/relationships/hyperlink" Target="https://www.sec.gov/Archives/edgar/data/60714/000095017025029046/lxu-ex3_ii-1.htm" TargetMode="External"/><Relationship Id="rId143" Type="http://schemas.openxmlformats.org/officeDocument/2006/relationships/hyperlink" Target="https://www.sec.gov/Archives/edgar/data/60714/000119312512474073/d440760dex43.htm" TargetMode="External"/><Relationship Id="rId144" Type="http://schemas.openxmlformats.org/officeDocument/2006/relationships/hyperlink" Target="https://www.sec.gov/Archives/edgar/data/60714/000095017023044575/lxu-ex4_1.htm" TargetMode="External"/><Relationship Id="rId145" Type="http://schemas.openxmlformats.org/officeDocument/2006/relationships/hyperlink" Target="https://www.sec.gov/Archives/edgar/data/60714/000119312524130861/d808850dex41.htm" TargetMode="External"/><Relationship Id="rId146" Type="http://schemas.openxmlformats.org/officeDocument/2006/relationships/hyperlink" Target="https://www.sec.gov/Archives/edgar/data/60714/000119312521298982/d239869dex41.htm" TargetMode="External"/><Relationship Id="rId147" Type="http://schemas.openxmlformats.org/officeDocument/2006/relationships/hyperlink" Target="https://www.sec.gov/Archives/edgar/data/60714/000156459022006694/lxu-ex417_382.htm" TargetMode="External"/><Relationship Id="rId148" Type="http://schemas.openxmlformats.org/officeDocument/2006/relationships/hyperlink" Target="https://www.sec.gov/Archives/edgar/data/60714/000119312516634750/d218339dex48.htm" TargetMode="External"/><Relationship Id="rId149" Type="http://schemas.openxmlformats.org/officeDocument/2006/relationships/hyperlink" Target="https://www.sec.gov/Archives/edgar/data/60714/000119312516634750/d218339dex49.htm" TargetMode="External"/><Relationship Id="rId150" Type="http://schemas.openxmlformats.org/officeDocument/2006/relationships/hyperlink" Target="https://www.sec.gov/Archives/edgar/data/60714/000119312516634750/d218339dex410.htm" TargetMode="External"/><Relationship Id="rId151" Type="http://schemas.openxmlformats.org/officeDocument/2006/relationships/hyperlink" Target="https://www.sec.gov/Archives/edgar/data/60714/000119312516634750/d218339dex411.htm" TargetMode="External"/><Relationship Id="rId152" Type="http://schemas.openxmlformats.org/officeDocument/2006/relationships/hyperlink" Target="https://www.sec.gov/Archives/edgar/data/60714/000119312519000948/d684802dex104.htm" TargetMode="External"/><Relationship Id="rId153" Type="http://schemas.openxmlformats.org/officeDocument/2006/relationships/hyperlink" Target="https://www.sec.gov/Archives/edgar/data/60714/000119312519000948/d684802dex105.htm" TargetMode="External"/><Relationship Id="rId154" Type="http://schemas.openxmlformats.org/officeDocument/2006/relationships/hyperlink" Target="https://www.sec.gov/Archives/edgar/data/60714/000119312525146916/d96221ds8.htm" TargetMode="External"/><Relationship Id="rId159" Type="http://schemas.openxmlformats.org/officeDocument/2006/relationships/hyperlink" Target="https://www.sec.gov/Archives/edgar/data/60714/000095017025100258/lxu-ex10_2.htm" TargetMode="External"/><Relationship Id="rId160" Type="http://schemas.openxmlformats.org/officeDocument/2006/relationships/hyperlink" Target="https://www.sec.gov/Archives/edgar/data/60714/000119312526044775/lxu-ex10_1.htm" TargetMode="External"/><Relationship Id="rId161" Type="http://schemas.openxmlformats.org/officeDocument/2006/relationships/hyperlink" Target="https://www.sec.gov/Archives/edgar/data/60714/000095017025100258/lxu-ex10_3.htm" TargetMode="External"/><Relationship Id="rId162" Type="http://schemas.openxmlformats.org/officeDocument/2006/relationships/hyperlink" Target="https://www.sec.gov/Archives/edgar/data/60714/000095017025100258/lxu-ex10_4.htm" TargetMode="External"/><Relationship Id="rId163" Type="http://schemas.openxmlformats.org/officeDocument/2006/relationships/hyperlink" Target="https://www.sec.gov/Archives/edgar/data/60714/000119312519000948/d684802dex101.htm" TargetMode="External"/><Relationship Id="rId164" Type="http://schemas.openxmlformats.org/officeDocument/2006/relationships/hyperlink" Target="https://www.sec.gov/Archives/edgar/data/60714/000119312519000948/d684802dex103.htm" TargetMode="External"/><Relationship Id="rId165" Type="http://schemas.openxmlformats.org/officeDocument/2006/relationships/hyperlink" Target="https://www.sec.gov/Archives/edgar/data/60714/000119312519000948/d684802dex102.htm" TargetMode="External"/><Relationship Id="rId166" Type="http://schemas.openxmlformats.org/officeDocument/2006/relationships/hyperlink" Target="https://www.sec.gov/Archives/edgar/data/60714/000156459020022839/lxu-ex101_172.htm" TargetMode="External"/><Relationship Id="rId167" Type="http://schemas.openxmlformats.org/officeDocument/2006/relationships/hyperlink" Target="https://www.sec.gov/Archives/edgar/data/60714/000119312515346822/d84269dex102.htm" TargetMode="External"/><Relationship Id="rId168" Type="http://schemas.openxmlformats.org/officeDocument/2006/relationships/hyperlink" Target="https://www.sec.gov/Archives/edgar/data/60714/000119312516589507/d158530dex101.htm" TargetMode="External"/><Relationship Id="rId169" Type="http://schemas.openxmlformats.org/officeDocument/2006/relationships/hyperlink" Target="https://www.sec.gov/Archives/edgar/data/60714/000119312512493957/d450320dex992.htm" TargetMode="External"/><Relationship Id="rId170" Type="http://schemas.openxmlformats.org/officeDocument/2006/relationships/hyperlink" Target="https://www.sec.gov/Archives/edgar/data/60714/000119312513336457/d584968dex101.htm" TargetMode="External"/><Relationship Id="rId171" Type="http://schemas.openxmlformats.org/officeDocument/2006/relationships/hyperlink" Target="https://www.sec.gov/Archives/edgar/data/60714/000119312513437582/d624909dex991.htm" TargetMode="External"/><Relationship Id="rId172" Type="http://schemas.openxmlformats.org/officeDocument/2006/relationships/hyperlink" Target="https://www.sec.gov/Archives/edgar/data/60714/000119312513437582/d624909dex992.htm" TargetMode="External"/><Relationship Id="rId175" Type="http://schemas.openxmlformats.org/officeDocument/2006/relationships/hyperlink" Target="https://www.sec.gov/Archives/edgar/data/60714/000119312514003788/d654209dex991.htm" TargetMode="External"/><Relationship Id="rId176" Type="http://schemas.openxmlformats.org/officeDocument/2006/relationships/hyperlink" Target="https://www.sec.gov/Archives/edgar/data/60714/000119312515352882/d70894dex101.htm" TargetMode="External"/><Relationship Id="rId177" Type="http://schemas.openxmlformats.org/officeDocument/2006/relationships/hyperlink" Target="https://www.sec.gov/Archives/edgar/data/60714/000119312514223976/d737274dex991.htm" TargetMode="External"/><Relationship Id="rId178" Type="http://schemas.openxmlformats.org/officeDocument/2006/relationships/hyperlink" Target="https://www.sec.gov/Archives/edgar/data/60714/000119312513332936/d583332dex991.htm" TargetMode="External"/><Relationship Id="rId179" Type="http://schemas.openxmlformats.org/officeDocument/2006/relationships/hyperlink" Target="https://www.sec.gov/Archives/edgar/data/60714/000119312515377933/d95941dex104.htm" TargetMode="External"/><Relationship Id="rId182" Type="http://schemas.openxmlformats.org/officeDocument/2006/relationships/hyperlink" Target="https://www.sec.gov/Archives/edgar/data/60714/000119312518131457/d576542dex101.htm" TargetMode="External"/><Relationship Id="rId183" Type="http://schemas.openxmlformats.org/officeDocument/2006/relationships/hyperlink" Target="https://www.sec.gov/Archives/edgar/data/60714/000119312521298982/d239869dex101.htm" TargetMode="External"/><Relationship Id="rId186" Type="http://schemas.openxmlformats.org/officeDocument/2006/relationships/hyperlink" Target="https://www.sec.gov/Archives/edgar/data/60714/000119312523303035/d669761dex103.htm" TargetMode="External"/><Relationship Id="rId189" Type="http://schemas.openxmlformats.org/officeDocument/2006/relationships/hyperlink" Target="https://www.sec.gov/Archives/edgar/data/60714/000119312523303035/d669761dex101.htm" TargetMode="External"/><Relationship Id="rId190" Type="http://schemas.openxmlformats.org/officeDocument/2006/relationships/hyperlink" Target="https://www.sec.gov/Archives/edgar/data/60714/000119312523303035/d669761dex102.htm" TargetMode="External"/><Relationship Id="rId193" Type="http://schemas.openxmlformats.org/officeDocument/2006/relationships/hyperlink" Target="https://www.sec.gov/Archives/edgar/data/60714/000119312515397856/d22963dex104.htm" TargetMode="External"/><Relationship Id="rId194" Type="http://schemas.openxmlformats.org/officeDocument/2006/relationships/hyperlink" Target="https://www.sec.gov/Archives/edgar/data/60714/000119312515397856/d22963dex103.htm" TargetMode="External"/><Relationship Id="rId199" Type="http://schemas.openxmlformats.org/officeDocument/2006/relationships/hyperlink" Target="https://www.sec.gov/Archives/edgar/data/60714/000119312517325152/d458883dex101.htm" TargetMode="External"/><Relationship Id="rId200" Type="http://schemas.openxmlformats.org/officeDocument/2006/relationships/hyperlink" Target="https://www.sec.gov/Archives/edgar/data/60714/000119312518303142/d635267dex102.htm" TargetMode="External"/><Relationship Id="rId201" Type="http://schemas.openxmlformats.org/officeDocument/2006/relationships/hyperlink" Target="https://www.sec.gov/Archives/edgar/data/60714/000119312521286899/d218002dex101.htm" TargetMode="External"/><Relationship Id="rId202" Type="http://schemas.openxmlformats.org/officeDocument/2006/relationships/hyperlink" Target="https://www.sec.gov/Archives/edgar/data/60714/000119312521219140/d189542dex101.htm" TargetMode="External"/><Relationship Id="rId203" Type="http://schemas.openxmlformats.org/officeDocument/2006/relationships/hyperlink" Target="https://www.sec.gov/Archives/edgar/data/60714/000095017023004101/lxu-ex10_45.htm" TargetMode="External"/><Relationship Id="rId204" Type="http://schemas.openxmlformats.org/officeDocument/2006/relationships/hyperlink" Target="https://www.sec.gov/Archives/edgar/data/60714/000095017023004101/lxu-ex10_47.htm" TargetMode="External"/><Relationship Id="rId205" Type="http://schemas.openxmlformats.org/officeDocument/2006/relationships/hyperlink" Target="https://www.sec.gov/Archives/edgar/data/60714/000119312522221198/d15256dex101.htm" TargetMode="External"/><Relationship Id="rId208" Type="http://schemas.openxmlformats.org/officeDocument/2006/relationships/hyperlink" Target="https://www.sec.gov/Archives/edgar/data/60714/000095017024027144/lxu-ex10_42.htm" TargetMode="External"/><Relationship Id="rId209" Type="http://schemas.openxmlformats.org/officeDocument/2006/relationships/hyperlink" Target="https://www.sec.gov/Archives/edgar/data/60714/000119312522221198/d15256dex102.htm" TargetMode="External"/><Relationship Id="rId210" Type="http://schemas.openxmlformats.org/officeDocument/2006/relationships/hyperlink" Target="https://www.sec.gov/Archives/edgar/data/60714/000095017025029046/lxu-ex10_4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2026-02-26T16:36:06Z</dcterms:created>
  <dcterms:modified xsi:type="dcterms:W3CDTF">2026-02-26T16:36:06Z</dcterms:modified>
</cp:coreProperties>
</file>