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3"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December 31, 2018</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1" w:lineRule="exact"/>
        <w:rPr>
          <w:rFonts w:ascii="MS PGothic" w:cs="MS PGothic" w:eastAsia="MS PGothic" w:hAnsi="MS PGothic"/>
          <w:sz w:val="17"/>
          <w:szCs w:val="17"/>
          <w:color w:val="auto"/>
          <w:highlight w:val="black"/>
        </w:rPr>
      </w:pPr>
    </w:p>
    <w:p>
      <w:pPr>
        <w:ind w:left="372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6"/>
          <w:szCs w:val="16"/>
          <w:b w:val="1"/>
          <w:bCs w:val="1"/>
          <w:color w:val="auto"/>
        </w:rPr>
        <w:t>For the transition period from __________ to __________</w:t>
      </w:r>
    </w:p>
    <w:p>
      <w:pPr>
        <w:spacing w:after="0" w:line="72" w:lineRule="exact"/>
        <w:rPr>
          <w:rFonts w:ascii="MS PGothic" w:cs="MS PGothic" w:eastAsia="MS PGothic" w:hAnsi="MS PGothic"/>
          <w:sz w:val="17"/>
          <w:szCs w:val="17"/>
          <w:color w:val="auto"/>
          <w:highlight w:val="black"/>
        </w:rPr>
      </w:pPr>
    </w:p>
    <w:p>
      <w:pPr>
        <w:ind w:left="456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LSB INDUSTRIES, INC.</w:t>
      </w:r>
    </w:p>
    <w:p>
      <w:pPr>
        <w:sectPr>
          <w:pgSz w:w="11900" w:h="16838" w:orient="portrait"/>
          <w:cols w:equalWidth="0" w:num="1">
            <w:col w:w="11420"/>
          </w:cols>
          <w:pgMar w:left="240" w:top="534" w:right="2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3"/>
          <w:szCs w:val="13"/>
          <w:b w:val="1"/>
          <w:bCs w:val="1"/>
          <w:color w:val="auto"/>
        </w:rPr>
        <w:t>(State of or other Jurisdiction</w:t>
      </w:r>
    </w:p>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73-1015226</w:t>
      </w: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580" w:space="560"/>
            <w:col w:w="3280"/>
          </w:cols>
          <w:pgMar w:left="240" w:top="534"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7580" w:type="dxa"/>
            <w:vAlign w:val="bottom"/>
            <w:gridSpan w:val="5"/>
          </w:tcPr>
          <w:p>
            <w:pPr>
              <w:jc w:val="center"/>
              <w:ind w:right="2000"/>
              <w:spacing w:after="0" w:line="255" w:lineRule="exact"/>
              <w:rPr>
                <w:sz w:val="20"/>
                <w:szCs w:val="20"/>
                <w:color w:val="auto"/>
              </w:rPr>
            </w:pPr>
            <w:r>
              <w:rPr>
                <w:rFonts w:ascii="Times New Roman" w:cs="Times New Roman" w:eastAsia="Times New Roman" w:hAnsi="Times New Roman"/>
                <w:sz w:val="16"/>
                <w:szCs w:val="16"/>
                <w:b w:val="1"/>
                <w:bCs w:val="1"/>
                <w:color w:val="auto"/>
                <w:w w:val="98"/>
              </w:rPr>
              <w:t>3503 NW 63</w:t>
            </w:r>
            <w:r>
              <w:rPr>
                <w:rFonts w:ascii="Times New Roman" w:cs="Times New Roman" w:eastAsia="Times New Roman" w:hAnsi="Times New Roman"/>
                <w:sz w:val="27"/>
                <w:szCs w:val="27"/>
                <w:b w:val="1"/>
                <w:bCs w:val="1"/>
                <w:color w:val="auto"/>
                <w:w w:val="98"/>
                <w:vertAlign w:val="superscript"/>
              </w:rPr>
              <w:t>rd</w:t>
            </w:r>
            <w:r>
              <w:rPr>
                <w:rFonts w:ascii="Times New Roman" w:cs="Times New Roman" w:eastAsia="Times New Roman" w:hAnsi="Times New Roman"/>
                <w:sz w:val="16"/>
                <w:szCs w:val="16"/>
                <w:b w:val="1"/>
                <w:bCs w:val="1"/>
                <w:color w:val="auto"/>
                <w:w w:val="98"/>
              </w:rPr>
              <w:t xml:space="preserve"> Street, Suite 500,</w:t>
            </w:r>
          </w:p>
        </w:tc>
        <w:tc>
          <w:tcPr>
            <w:tcW w:w="58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198"/>
        </w:trPr>
        <w:tc>
          <w:tcPr>
            <w:tcW w:w="20" w:type="dxa"/>
            <w:vAlign w:val="bottom"/>
          </w:tcPr>
          <w:p>
            <w:pPr>
              <w:spacing w:after="0"/>
              <w:rPr>
                <w:sz w:val="17"/>
                <w:szCs w:val="17"/>
                <w:color w:val="auto"/>
              </w:rPr>
            </w:pPr>
          </w:p>
        </w:tc>
        <w:tc>
          <w:tcPr>
            <w:tcW w:w="7580" w:type="dxa"/>
            <w:vAlign w:val="bottom"/>
            <w:gridSpan w:val="5"/>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Oklahoma City, Oklahoma</w:t>
            </w:r>
          </w:p>
        </w:tc>
        <w:tc>
          <w:tcPr>
            <w:tcW w:w="580" w:type="dxa"/>
            <w:vAlign w:val="bottom"/>
          </w:tcPr>
          <w:p>
            <w:pPr>
              <w:spacing w:after="0"/>
              <w:rPr>
                <w:sz w:val="17"/>
                <w:szCs w:val="17"/>
                <w:color w:val="auto"/>
              </w:rPr>
            </w:pPr>
          </w:p>
        </w:tc>
        <w:tc>
          <w:tcPr>
            <w:tcW w:w="3240" w:type="dxa"/>
            <w:vAlign w:val="bottom"/>
          </w:tcPr>
          <w:p>
            <w:pPr>
              <w:jc w:val="center"/>
              <w:ind w:right="2286"/>
              <w:spacing w:after="0"/>
              <w:rPr>
                <w:sz w:val="20"/>
                <w:szCs w:val="20"/>
                <w:color w:val="auto"/>
              </w:rPr>
            </w:pPr>
            <w:r>
              <w:rPr>
                <w:rFonts w:ascii="Times New Roman" w:cs="Times New Roman" w:eastAsia="Times New Roman" w:hAnsi="Times New Roman"/>
                <w:sz w:val="16"/>
                <w:szCs w:val="16"/>
                <w:b w:val="1"/>
                <w:bCs w:val="1"/>
                <w:color w:val="auto"/>
                <w:w w:val="99"/>
              </w:rPr>
              <w:t>73116</w:t>
            </w:r>
          </w:p>
        </w:tc>
      </w:tr>
      <w:tr>
        <w:trPr>
          <w:trHeight w:val="166"/>
        </w:trPr>
        <w:tc>
          <w:tcPr>
            <w:tcW w:w="20" w:type="dxa"/>
            <w:vAlign w:val="bottom"/>
          </w:tcPr>
          <w:p>
            <w:pPr>
              <w:spacing w:after="0"/>
              <w:rPr>
                <w:sz w:val="14"/>
                <w:szCs w:val="14"/>
                <w:color w:val="auto"/>
              </w:rPr>
            </w:pPr>
          </w:p>
        </w:tc>
        <w:tc>
          <w:tcPr>
            <w:tcW w:w="7580" w:type="dxa"/>
            <w:vAlign w:val="bottom"/>
            <w:gridSpan w:val="5"/>
          </w:tcPr>
          <w:p>
            <w:pPr>
              <w:jc w:val="center"/>
              <w:ind w:right="200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80" w:type="dxa"/>
            <w:vAlign w:val="bottom"/>
          </w:tcPr>
          <w:p>
            <w:pPr>
              <w:spacing w:after="0"/>
              <w:rPr>
                <w:sz w:val="14"/>
                <w:szCs w:val="14"/>
                <w:color w:val="auto"/>
              </w:rPr>
            </w:pPr>
          </w:p>
        </w:tc>
        <w:tc>
          <w:tcPr>
            <w:tcW w:w="3240" w:type="dxa"/>
            <w:vAlign w:val="bottom"/>
          </w:tcPr>
          <w:p>
            <w:pPr>
              <w:jc w:val="center"/>
              <w:ind w:right="22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40"/>
        </w:trPr>
        <w:tc>
          <w:tcPr>
            <w:tcW w:w="20" w:type="dxa"/>
            <w:vAlign w:val="bottom"/>
          </w:tcPr>
          <w:p>
            <w:pPr>
              <w:spacing w:after="0"/>
              <w:rPr>
                <w:sz w:val="20"/>
                <w:szCs w:val="20"/>
                <w:color w:val="auto"/>
              </w:rPr>
            </w:pPr>
          </w:p>
        </w:tc>
        <w:tc>
          <w:tcPr>
            <w:tcW w:w="8160" w:type="dxa"/>
            <w:vAlign w:val="bottom"/>
            <w:gridSpan w:val="6"/>
          </w:tcPr>
          <w:p>
            <w:pPr>
              <w:jc w:val="center"/>
              <w:ind w:left="314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(405) 235-4546</w:t>
            </w:r>
          </w:p>
        </w:tc>
        <w:tc>
          <w:tcPr>
            <w:tcW w:w="324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160" w:type="dxa"/>
            <w:vAlign w:val="bottom"/>
            <w:gridSpan w:val="6"/>
          </w:tcPr>
          <w:p>
            <w:pPr>
              <w:jc w:val="center"/>
              <w:ind w:left="314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240" w:type="dxa"/>
            <w:vAlign w:val="bottom"/>
          </w:tcPr>
          <w:p>
            <w:pPr>
              <w:spacing w:after="0"/>
              <w:rPr>
                <w:sz w:val="22"/>
                <w:szCs w:val="22"/>
                <w:color w:val="auto"/>
              </w:rPr>
            </w:pPr>
          </w:p>
        </w:tc>
      </w:tr>
      <w:tr>
        <w:trPr>
          <w:trHeight w:val="188"/>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20" w:type="dxa"/>
            <w:vAlign w:val="bottom"/>
            <w:gridSpan w:val="2"/>
          </w:tcPr>
          <w:p>
            <w:pPr>
              <w:jc w:val="center"/>
              <w:ind w:right="1706"/>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20" w:type="dxa"/>
            <w:vAlign w:val="bottom"/>
          </w:tcPr>
          <w:p>
            <w:pPr>
              <w:spacing w:after="0"/>
              <w:rPr>
                <w:sz w:val="13"/>
                <w:szCs w:val="13"/>
                <w:color w:val="auto"/>
              </w:rPr>
            </w:pPr>
          </w:p>
        </w:tc>
        <w:tc>
          <w:tcPr>
            <w:tcW w:w="7580" w:type="dxa"/>
            <w:vAlign w:val="bottom"/>
            <w:gridSpan w:val="5"/>
          </w:tcPr>
          <w:p>
            <w:pPr>
              <w:jc w:val="center"/>
              <w:ind w:right="200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3820" w:type="dxa"/>
            <w:vAlign w:val="bottom"/>
            <w:gridSpan w:val="2"/>
          </w:tcPr>
          <w:p>
            <w:pPr>
              <w:jc w:val="center"/>
              <w:ind w:right="1706"/>
              <w:spacing w:after="0"/>
              <w:rPr>
                <w:sz w:val="20"/>
                <w:szCs w:val="20"/>
                <w:color w:val="auto"/>
              </w:rPr>
            </w:pPr>
            <w:r>
              <w:rPr>
                <w:rFonts w:ascii="Times New Roman" w:cs="Times New Roman" w:eastAsia="Times New Roman" w:hAnsi="Times New Roman"/>
                <w:sz w:val="13"/>
                <w:szCs w:val="13"/>
                <w:b w:val="1"/>
                <w:bCs w:val="1"/>
                <w:color w:val="auto"/>
                <w:w w:val="96"/>
              </w:rPr>
              <w:t>On Which Registered</w:t>
            </w:r>
          </w:p>
        </w:tc>
      </w:tr>
      <w:tr>
        <w:trPr>
          <w:trHeight w:val="180"/>
        </w:trPr>
        <w:tc>
          <w:tcPr>
            <w:tcW w:w="20" w:type="dxa"/>
            <w:vAlign w:val="bottom"/>
          </w:tcPr>
          <w:p>
            <w:pPr>
              <w:spacing w:after="0"/>
              <w:rPr>
                <w:sz w:val="15"/>
                <w:szCs w:val="15"/>
                <w:color w:val="auto"/>
              </w:rPr>
            </w:pPr>
          </w:p>
        </w:tc>
        <w:tc>
          <w:tcPr>
            <w:tcW w:w="5600" w:type="dxa"/>
            <w:vAlign w:val="bottom"/>
            <w:tcBorders>
              <w:top w:val="single" w:sz="8" w:color="auto"/>
            </w:tcBorders>
            <w:gridSpan w:val="2"/>
          </w:tcPr>
          <w:p>
            <w:pPr>
              <w:jc w:val="center"/>
              <w:ind w:right="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Common Stock, Par Value $.10</w:t>
            </w:r>
          </w:p>
        </w:tc>
        <w:tc>
          <w:tcPr>
            <w:tcW w:w="2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gridSpan w:val="2"/>
          </w:tcPr>
          <w:p>
            <w:pPr>
              <w:jc w:val="center"/>
              <w:ind w:right="1706"/>
              <w:spacing w:after="0" w:line="181" w:lineRule="exact"/>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12"/>
        </w:trPr>
        <w:tc>
          <w:tcPr>
            <w:tcW w:w="20" w:type="dxa"/>
            <w:vAlign w:val="bottom"/>
          </w:tcPr>
          <w:p>
            <w:pPr>
              <w:spacing w:after="0"/>
              <w:rPr>
                <w:sz w:val="18"/>
                <w:szCs w:val="18"/>
                <w:color w:val="auto"/>
              </w:rPr>
            </w:pPr>
          </w:p>
        </w:tc>
        <w:tc>
          <w:tcPr>
            <w:tcW w:w="7580" w:type="dxa"/>
            <w:vAlign w:val="bottom"/>
            <w:gridSpan w:val="5"/>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Preferred Share Purchase Rights</w:t>
            </w:r>
          </w:p>
        </w:tc>
        <w:tc>
          <w:tcPr>
            <w:tcW w:w="3820" w:type="dxa"/>
            <w:vAlign w:val="bottom"/>
            <w:gridSpan w:val="2"/>
          </w:tcPr>
          <w:p>
            <w:pPr>
              <w:jc w:val="center"/>
              <w:ind w:right="1706"/>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101"/>
        </w:trPr>
        <w:tc>
          <w:tcPr>
            <w:tcW w:w="4580" w:type="dxa"/>
            <w:vAlign w:val="bottom"/>
            <w:gridSpan w:val="2"/>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241"/>
        </w:trPr>
        <w:tc>
          <w:tcPr>
            <w:tcW w:w="7600" w:type="dxa"/>
            <w:vAlign w:val="bottom"/>
            <w:gridSpan w:val="6"/>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p>
        </w:tc>
        <w:tc>
          <w:tcPr>
            <w:tcW w:w="58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4"/>
                <w:szCs w:val="14"/>
                <w:color w:val="auto"/>
              </w:rPr>
              <w:t>☒</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w:t>
            </w:r>
          </w:p>
        </w:tc>
      </w:tr>
      <w:tr>
        <w:trPr>
          <w:trHeight w:val="230"/>
        </w:trPr>
        <w:tc>
          <w:tcPr>
            <w:tcW w:w="7600" w:type="dxa"/>
            <w:vAlign w:val="bottom"/>
            <w:gridSpan w:val="6"/>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w:t>
            </w:r>
            <w:r>
              <w:rPr>
                <w:rFonts w:ascii="MS PGothic" w:cs="MS PGothic" w:eastAsia="MS PGothic" w:hAnsi="MS PGothic"/>
                <w:sz w:val="14"/>
                <w:szCs w:val="14"/>
                <w:color w:val="auto"/>
              </w:rPr>
              <w:t>☐</w:t>
            </w:r>
          </w:p>
        </w:tc>
        <w:tc>
          <w:tcPr>
            <w:tcW w:w="580" w:type="dxa"/>
            <w:vAlign w:val="bottom"/>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4"/>
                <w:szCs w:val="14"/>
                <w:color w:val="auto"/>
              </w:rPr>
              <w:t>☒</w:t>
            </w:r>
          </w:p>
        </w:tc>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w:t>
            </w:r>
          </w:p>
        </w:tc>
      </w:tr>
    </w:tbl>
    <w:p>
      <w:pPr>
        <w:spacing w:after="0" w:line="19" w:lineRule="exact"/>
        <w:rPr>
          <w:sz w:val="24"/>
          <w:szCs w:val="24"/>
          <w:color w:val="auto"/>
        </w:rPr>
      </w:pPr>
    </w:p>
    <w:p>
      <w:pPr>
        <w:jc w:val="both"/>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w:t>
      </w:r>
    </w:p>
    <w:p>
      <w:pPr>
        <w:spacing w:after="0" w:line="19" w:lineRule="exact"/>
        <w:rPr>
          <w:sz w:val="24"/>
          <w:szCs w:val="24"/>
          <w:color w:val="auto"/>
        </w:rPr>
      </w:pPr>
    </w:p>
    <w:p>
      <w:pPr>
        <w:jc w:val="both"/>
        <w:ind w:right="20"/>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file such reports submit such files).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w:t>
      </w:r>
    </w:p>
    <w:p>
      <w:pPr>
        <w:spacing w:after="0" w:line="19" w:lineRule="exact"/>
        <w:rPr>
          <w:sz w:val="24"/>
          <w:szCs w:val="24"/>
          <w:color w:val="auto"/>
        </w:rPr>
      </w:pPr>
    </w:p>
    <w:p>
      <w:pPr>
        <w:jc w:val="both"/>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8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60"/>
              <w:spacing w:after="0"/>
              <w:rPr>
                <w:sz w:val="20"/>
                <w:szCs w:val="20"/>
                <w:color w:val="auto"/>
              </w:rPr>
            </w:pPr>
            <w:r>
              <w:rPr>
                <w:rFonts w:ascii="Times New Roman" w:cs="Times New Roman" w:eastAsia="Times New Roman" w:hAnsi="Times New Roman"/>
                <w:sz w:val="15"/>
                <w:szCs w:val="15"/>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8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8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180" w:type="dxa"/>
            <w:vAlign w:val="bottom"/>
          </w:tcPr>
          <w:p>
            <w:pPr>
              <w:ind w:left="3160"/>
              <w:spacing w:after="0"/>
              <w:rPr>
                <w:sz w:val="20"/>
                <w:szCs w:val="20"/>
                <w:color w:val="auto"/>
              </w:rPr>
            </w:pPr>
            <w:r>
              <w:rPr>
                <w:rFonts w:ascii="Times New Roman" w:cs="Times New Roman" w:eastAsia="Times New Roman" w:hAnsi="Times New Roman"/>
                <w:sz w:val="15"/>
                <w:szCs w:val="15"/>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jc w:val="both"/>
        <w:ind w:right="80"/>
        <w:spacing w:after="0" w:line="18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tabs>
          <w:tab w:leader="none" w:pos="6700" w:val="left"/>
          <w:tab w:leader="none" w:pos="730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p>
    <w:p>
      <w:pPr>
        <w:spacing w:after="0" w:line="72" w:lineRule="exact"/>
        <w:rPr>
          <w:sz w:val="24"/>
          <w:szCs w:val="24"/>
          <w:color w:val="auto"/>
        </w:rPr>
      </w:pPr>
    </w:p>
    <w:p>
      <w:pPr>
        <w:jc w:val="both"/>
        <w:spacing w:after="0" w:line="229" w:lineRule="auto"/>
        <w:rPr>
          <w:sz w:val="20"/>
          <w:szCs w:val="20"/>
          <w:color w:val="auto"/>
        </w:rPr>
      </w:pPr>
      <w:r>
        <w:rPr>
          <w:rFonts w:ascii="Times New Roman" w:cs="Times New Roman" w:eastAsia="Times New Roman" w:hAnsi="Times New Roman"/>
          <w:sz w:val="15"/>
          <w:szCs w:val="15"/>
          <w:color w:val="auto"/>
        </w:rPr>
        <w:t>The aggregate market value of the Registrant’s voting common equity held by non-affiliates of the Registrant, computed by reference to the price at which the voting common stock was last sold as of June 30, 2018, was approximately $111 million. As a result, the Registrant is an accelerated filer as of December 31, 2018. For purposes of this computation, shares of the Registrant’s common stock beneficially owned by each executive officer and director of the Registrant and LSB Funding LLC were deemed to be owned by affiliates of the Registrant as of June 30, 2018. Such determination should not be deemed an admission that such executive officers, directors or entity of our common stock are, in fact, affiliates of the Registrant or affiliates as of the date of this Form 10-K</w:t>
      </w:r>
      <w:r>
        <w:rPr>
          <w:rFonts w:ascii="Times New Roman" w:cs="Times New Roman" w:eastAsia="Times New Roman" w:hAnsi="Times New Roman"/>
          <w:sz w:val="14"/>
          <w:szCs w:val="14"/>
          <w:color w:val="auto"/>
        </w:rPr>
        <w: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As of February 22, 2019, the Registrant had 28,809,079 shares of common stock outstanding.</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26"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Portions of the Registrant’s proxy statement for its annual meeting of stockholders will be filed with the Securities and Exchange Commission within 120 days after the end of its 2018 fiscal year,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10"/>
            <w:vMerge w:val="restart"/>
          </w:tcPr>
          <w:p>
            <w:pPr>
              <w:jc w:val="center"/>
              <w:ind w:right="4380"/>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w:t>
              </w:r>
            </w:hyperlink>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10"/>
            <w:vMerge w:val="continue"/>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40" w:type="dxa"/>
            <w:vAlign w:val="bottom"/>
            <w:tcBorders>
              <w:top w:val="single" w:sz="8" w:color="0000EE"/>
            </w:tcBorders>
            <w:gridSpan w:val="2"/>
          </w:tcPr>
          <w:p>
            <w:pPr>
              <w:spacing w:after="0"/>
              <w:rPr>
                <w:sz w:val="24"/>
                <w:szCs w:val="24"/>
                <w:color w:val="auto"/>
              </w:rPr>
            </w:pPr>
          </w:p>
        </w:tc>
        <w:tc>
          <w:tcPr>
            <w:tcW w:w="4380" w:type="dxa"/>
            <w:vAlign w:val="bottom"/>
            <w:gridSpan w:val="8"/>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Risk Factors</w:t>
              </w:r>
            </w:hyperlink>
          </w:p>
        </w:tc>
        <w:tc>
          <w:tcPr>
            <w:tcW w:w="8260" w:type="dxa"/>
            <w:vAlign w:val="bottom"/>
            <w:gridSpan w:val="20"/>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Unresolved Staff Comments</w:t>
              </w:r>
            </w:hyperlink>
          </w:p>
        </w:tc>
        <w:tc>
          <w:tcPr>
            <w:tcW w:w="7120" w:type="dxa"/>
            <w:vAlign w:val="bottom"/>
            <w:gridSpan w:val="16"/>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Properties</w:t>
              </w:r>
            </w:hyperlink>
          </w:p>
        </w:tc>
        <w:tc>
          <w:tcPr>
            <w:tcW w:w="8440" w:type="dxa"/>
            <w:vAlign w:val="bottom"/>
            <w:gridSpan w:val="21"/>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3"/>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3"/>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Mine Safety Disclosures</w:t>
              </w:r>
            </w:hyperlink>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Times New Roman" w:cs="Times New Roman" w:eastAsia="Times New Roman" w:hAnsi="Times New Roman"/>
                <w:sz w:val="18"/>
                <w:szCs w:val="18"/>
                <w:color w:val="0000EE"/>
                <w:w w:val="95"/>
              </w:rPr>
            </w:pPr>
            <w:hyperlink w:anchor="page26">
              <w:r>
                <w:rPr>
                  <w:rFonts w:ascii="Times New Roman" w:cs="Times New Roman" w:eastAsia="Times New Roman" w:hAnsi="Times New Roman"/>
                  <w:sz w:val="18"/>
                  <w:szCs w:val="18"/>
                  <w:color w:val="0000EE"/>
                  <w:w w:val="95"/>
                </w:rPr>
                <w:t>PART II</w:t>
              </w:r>
            </w:hyperlink>
          </w:p>
        </w:tc>
        <w:tc>
          <w:tcPr>
            <w:tcW w:w="434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3"/>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Selected Financial Data</w:t>
              </w:r>
            </w:hyperlink>
          </w:p>
        </w:tc>
        <w:tc>
          <w:tcPr>
            <w:tcW w:w="6360" w:type="dxa"/>
            <w:vAlign w:val="bottom"/>
            <w:tcBorders>
              <w:top w:val="single" w:sz="8" w:color="0000EE"/>
            </w:tcBorders>
            <w:gridSpan w:val="17"/>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Quantitative and Qualitative Disclosures About Market Risk</w:t>
              </w:r>
            </w:hyperlink>
          </w:p>
        </w:tc>
        <w:tc>
          <w:tcPr>
            <w:tcW w:w="2740" w:type="dxa"/>
            <w:vAlign w:val="bottom"/>
            <w:gridSpan w:val="3"/>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5"/>
          </w:tcPr>
          <w:p>
            <w:pPr>
              <w:spacing w:after="0"/>
              <w:rPr>
                <w:sz w:val="24"/>
                <w:szCs w:val="24"/>
                <w:color w:val="auto"/>
              </w:rPr>
            </w:pPr>
          </w:p>
        </w:tc>
        <w:tc>
          <w:tcPr>
            <w:tcW w:w="4820" w:type="dxa"/>
            <w:vAlign w:val="bottom"/>
            <w:gridSpan w:val="9"/>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3"/>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5"/>
          </w:tcPr>
          <w:p>
            <w:pPr>
              <w:spacing w:after="0"/>
              <w:rPr>
                <w:sz w:val="24"/>
                <w:szCs w:val="24"/>
                <w:color w:val="auto"/>
              </w:rPr>
            </w:pPr>
          </w:p>
        </w:tc>
        <w:tc>
          <w:tcPr>
            <w:tcW w:w="2700" w:type="dxa"/>
            <w:vAlign w:val="bottom"/>
            <w:gridSpan w:val="2"/>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3"/>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Other Information</w:t>
              </w:r>
            </w:hyperlink>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gridSpan w:val="12"/>
          </w:tcPr>
          <w:p>
            <w:pPr>
              <w:jc w:val="center"/>
              <w:ind w:right="4320"/>
              <w:spacing w:after="0"/>
              <w:rPr>
                <w:rFonts w:ascii="Times New Roman" w:cs="Times New Roman" w:eastAsia="Times New Roman" w:hAnsi="Times New Roman"/>
                <w:sz w:val="18"/>
                <w:szCs w:val="18"/>
                <w:color w:val="0000EE"/>
                <w:w w:val="96"/>
              </w:rPr>
            </w:pPr>
            <w:hyperlink w:anchor="page49">
              <w:r>
                <w:rPr>
                  <w:rFonts w:ascii="Times New Roman" w:cs="Times New Roman" w:eastAsia="Times New Roman" w:hAnsi="Times New Roman"/>
                  <w:sz w:val="18"/>
                  <w:szCs w:val="18"/>
                  <w:color w:val="0000EE"/>
                  <w:w w:val="96"/>
                </w:rPr>
                <w:t>PART III</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Borders>
              <w:bottom w:val="single" w:sz="8" w:color="0000EE"/>
            </w:tcBorders>
            <w:gridSpan w:val="9"/>
          </w:tcPr>
          <w:p>
            <w:pPr>
              <w:jc w:val="cente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(Items 10, 11, 12, 13, and 14)</w:t>
              </w:r>
            </w:hyperlink>
          </w:p>
        </w:tc>
        <w:tc>
          <w:tcPr>
            <w:tcW w:w="3580" w:type="dxa"/>
            <w:vAlign w:val="bottom"/>
            <w:gridSpan w:val="4"/>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48"/>
        </w:trPr>
        <w:tc>
          <w:tcPr>
            <w:tcW w:w="146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information required by Part III, shall be incorporated by reference from our definitive proxy statement to be filed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pursuant to Regulation 14A which involves the election of directors that we expect to be filed with the Securities 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Exchange Commission not later than 120 days after the end of its 2018 fiscal year covered by this report.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PART IV</w:t>
              </w:r>
            </w:hyperlink>
          </w:p>
        </w:tc>
        <w:tc>
          <w:tcPr>
            <w:tcW w:w="430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3"/>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Exhibits and Financial Statement Schedules</w:t>
              </w:r>
            </w:hyperlink>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69"/>
        </w:trPr>
        <w:tc>
          <w:tcPr>
            <w:tcW w:w="1460" w:type="dxa"/>
            <w:vAlign w:val="bottom"/>
          </w:tcPr>
          <w:p>
            <w:pPr>
              <w:spacing w:after="0"/>
              <w:rPr>
                <w:sz w:val="24"/>
                <w:szCs w:val="24"/>
                <w:color w:val="auto"/>
              </w:rPr>
            </w:pPr>
          </w:p>
        </w:tc>
        <w:tc>
          <w:tcPr>
            <w:tcW w:w="3160" w:type="dxa"/>
            <w:vAlign w:val="bottom"/>
            <w:tcBorders>
              <w:top w:val="single" w:sz="8" w:color="0000EE"/>
            </w:tcBorders>
            <w:gridSpan w:val="8"/>
          </w:tcPr>
          <w:p>
            <w:pPr>
              <w:spacing w:after="0"/>
              <w:rPr>
                <w:sz w:val="24"/>
                <w:szCs w:val="24"/>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97"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references to "LSB Industries,” “LSB,” “the Company,” “we,” “us,” and “our” refer to LSB Industries, Inc. and its subsidiaries, except where the context makes clear that the reference is only to LSB Industries, Inc. itself and not its subsidiaries. Notes referenced throughout this document refer to consolidated financial statement footnote disclosures that are found in Item 8.</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was formed in 1968 as an Oklahoma corporation and became a Delaware corporation in 1977. We manufacture and market chemical products for the agricultural, industrial and mining markets. We own and operate facilities in El Dorado, Arkansas (the “El Dorado Facility”), Cherokee, Alabama (the “Cherokee Facility”), and Pryor, Oklahoma (the “Pryor Facility”), and we operate a facility for Covestro AG (“Covestro”) in Baytown, Texas (the “Baytown Facility”). Our products are sold through distributors and directly to end customers throughout the United States.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manufactures products for three principal markets:</w:t>
      </w:r>
    </w:p>
    <w:p>
      <w:pPr>
        <w:spacing w:after="0" w:line="117"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ammonia, fertilizer grade ammonium nitrate (“AN” and “HDAN”) and urea ammonia nitrate (“UAN”) for agricultural applications;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purity and commercial grade ammonia, high purity AN, sulfuric acids, concentrated, blended and regular nitric acid, mixed nitrating acids, carbon dioxide, and diesel exhaust fluid (“DEF”) for industrial applications;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grade AN (“LDAN”) and AN solutions for mining applications.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products we manufacture at our facilities are primarily derived from natural gas (a raw material feedstock). Our facilities and production processes have been designed to produce products that are marketable at nearly each stage of production. This design has allowed us to develop and deploy a business model optimizing the mix of products to capture the value opportunities in the end markets we serve with a focus on balancing our production.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highlights representative products and applications in each of our end markets.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80" w:type="dxa"/>
            <w:vAlign w:val="bottom"/>
            <w:tcBorders>
              <w:right w:val="single" w:sz="8" w:color="auto"/>
            </w:tcBorders>
          </w:tcPr>
          <w:p>
            <w:pPr>
              <w:spacing w:after="0"/>
              <w:rPr>
                <w:sz w:val="20"/>
                <w:szCs w:val="20"/>
                <w:color w:val="auto"/>
              </w:rPr>
            </w:pPr>
          </w:p>
        </w:tc>
        <w:tc>
          <w:tcPr>
            <w:tcW w:w="266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End Market</w:t>
            </w:r>
          </w:p>
        </w:tc>
        <w:tc>
          <w:tcPr>
            <w:tcW w:w="240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060" w:type="dxa"/>
            <w:vAlign w:val="bottom"/>
            <w:tcBorders>
              <w:top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8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Agricultural</w:t>
            </w:r>
          </w:p>
        </w:tc>
        <w:tc>
          <w:tcPr>
            <w:tcW w:w="2400" w:type="dxa"/>
            <w:vAlign w:val="bottom"/>
            <w:tcBorders>
              <w:right w:val="single" w:sz="8" w:color="auto"/>
            </w:tcBorders>
            <w:shd w:val="clear" w:color="auto" w:fill="CFF0FC"/>
          </w:tcPr>
          <w:p>
            <w:pPr>
              <w:spacing w:after="0"/>
              <w:rPr>
                <w:sz w:val="17"/>
                <w:szCs w:val="17"/>
                <w:color w:val="auto"/>
              </w:rPr>
            </w:pPr>
          </w:p>
        </w:tc>
        <w:tc>
          <w:tcPr>
            <w:tcW w:w="3060" w:type="dxa"/>
            <w:vAlign w:val="bottom"/>
            <w:tcBorders>
              <w:right w:val="single" w:sz="8" w:color="auto"/>
            </w:tcBorders>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Fertilizer and fertilizer blends for corn</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continue"/>
            <w:shd w:val="clear" w:color="auto" w:fill="CFF0FC"/>
          </w:tcPr>
          <w:p>
            <w:pPr>
              <w:spacing w:after="0"/>
              <w:rPr>
                <w:sz w:val="14"/>
                <w:szCs w:val="14"/>
                <w:color w:val="auto"/>
              </w:rPr>
            </w:pPr>
          </w:p>
        </w:tc>
        <w:tc>
          <w:tcPr>
            <w:tcW w:w="240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UAN, HDAN, ammonia</w:t>
            </w:r>
          </w:p>
        </w:tc>
        <w:tc>
          <w:tcPr>
            <w:tcW w:w="306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other crops; NPK fertilizer blends</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shd w:val="clear" w:color="auto" w:fill="CFF0FC"/>
          </w:tcPr>
          <w:p>
            <w:pPr>
              <w:spacing w:after="0"/>
              <w:rPr>
                <w:sz w:val="5"/>
                <w:szCs w:val="5"/>
                <w:color w:val="auto"/>
              </w:rPr>
            </w:pPr>
          </w:p>
        </w:tc>
        <w:tc>
          <w:tcPr>
            <w:tcW w:w="2400" w:type="dxa"/>
            <w:vAlign w:val="bottom"/>
            <w:tcBorders>
              <w:right w:val="single" w:sz="8" w:color="auto"/>
            </w:tcBorders>
            <w:vMerge w:val="continue"/>
            <w:shd w:val="clear" w:color="auto" w:fill="CFF0FC"/>
          </w:tcPr>
          <w:p>
            <w:pPr>
              <w:spacing w:after="0"/>
              <w:rPr>
                <w:sz w:val="5"/>
                <w:szCs w:val="5"/>
                <w:color w:val="auto"/>
              </w:rPr>
            </w:pPr>
          </w:p>
        </w:tc>
        <w:tc>
          <w:tcPr>
            <w:tcW w:w="3060" w:type="dxa"/>
            <w:vAlign w:val="bottom"/>
            <w:tcBorders>
              <w:right w:val="single" w:sz="8" w:color="auto"/>
            </w:tcBorders>
            <w:vMerge w:val="continue"/>
            <w:shd w:val="clear" w:color="auto" w:fill="CFF0FC"/>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auto"/>
            </w:tcBorders>
          </w:tcPr>
          <w:p>
            <w:pPr>
              <w:spacing w:after="0"/>
              <w:rPr>
                <w:sz w:val="13"/>
                <w:szCs w:val="13"/>
                <w:color w:val="auto"/>
              </w:rPr>
            </w:pPr>
          </w:p>
        </w:tc>
        <w:tc>
          <w:tcPr>
            <w:tcW w:w="2660" w:type="dxa"/>
            <w:vAlign w:val="bottom"/>
            <w:tcBorders>
              <w:bottom w:val="single" w:sz="8" w:color="auto"/>
              <w:right w:val="single" w:sz="8" w:color="auto"/>
            </w:tcBorders>
            <w:shd w:val="clear" w:color="auto" w:fill="CFF0FC"/>
          </w:tcPr>
          <w:p>
            <w:pPr>
              <w:spacing w:after="0"/>
              <w:rPr>
                <w:sz w:val="13"/>
                <w:szCs w:val="13"/>
                <w:color w:val="auto"/>
              </w:rPr>
            </w:pPr>
          </w:p>
        </w:tc>
        <w:tc>
          <w:tcPr>
            <w:tcW w:w="2400" w:type="dxa"/>
            <w:vAlign w:val="bottom"/>
            <w:tcBorders>
              <w:bottom w:val="single" w:sz="8" w:color="auto"/>
              <w:right w:val="single" w:sz="8" w:color="auto"/>
            </w:tcBorders>
            <w:shd w:val="clear" w:color="auto" w:fill="CFF0FC"/>
          </w:tcPr>
          <w:p>
            <w:pPr>
              <w:spacing w:after="0"/>
              <w:rPr>
                <w:sz w:val="13"/>
                <w:szCs w:val="13"/>
                <w:color w:val="auto"/>
              </w:rPr>
            </w:pPr>
          </w:p>
        </w:tc>
        <w:tc>
          <w:tcPr>
            <w:tcW w:w="3060" w:type="dxa"/>
            <w:vAlign w:val="bottom"/>
            <w:tcBorders>
              <w:bottom w:val="single" w:sz="8" w:color="auto"/>
              <w:right w:val="single" w:sz="8" w:color="auto"/>
            </w:tcBorders>
            <w:shd w:val="clear" w:color="auto" w:fill="CFF0FC"/>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8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Semi-conductor and polyurethane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intermediates, ordnance; Pulp and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Nitric acid, metallurgical and</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paper, alum, water treatment, metals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 grade ammonia,</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vanadium processing; Power plant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sulfuric acid, diesel exhaust</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emissions abatement, water treatment,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fluid and other urea solutions,</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refrigerants, metals processing; Exhaust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Industrial Acids and Other</w:t>
            </w:r>
          </w:p>
        </w:tc>
        <w:tc>
          <w:tcPr>
            <w:tcW w:w="2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Specialty E-2 ammonium</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stream additive, horticulture /</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2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nitrate, CO2</w:t>
            </w:r>
          </w:p>
        </w:tc>
        <w:tc>
          <w:tcPr>
            <w:tcW w:w="3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greenhouse applications; refrigeration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3060" w:type="dxa"/>
            <w:vAlign w:val="bottom"/>
            <w:tcBorders>
              <w:right w:val="single" w:sz="8" w:color="auto"/>
            </w:tcBorders>
            <w:vMerge w:val="continue"/>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80" w:type="dxa"/>
            <w:vAlign w:val="bottom"/>
            <w:tcBorders>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68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shd w:val="clear" w:color="auto" w:fill="CFF0FC"/>
          </w:tcPr>
          <w:p>
            <w:pPr>
              <w:spacing w:after="0"/>
              <w:rPr>
                <w:sz w:val="16"/>
                <w:szCs w:val="16"/>
                <w:color w:val="auto"/>
              </w:rPr>
            </w:pPr>
          </w:p>
        </w:tc>
        <w:tc>
          <w:tcPr>
            <w:tcW w:w="2400" w:type="dxa"/>
            <w:vAlign w:val="bottom"/>
            <w:tcBorders>
              <w:right w:val="single" w:sz="8" w:color="auto"/>
            </w:tcBorders>
            <w:shd w:val="clear" w:color="auto" w:fill="CFF0FC"/>
          </w:tcPr>
          <w:p>
            <w:pPr>
              <w:spacing w:after="0"/>
              <w:rPr>
                <w:sz w:val="16"/>
                <w:szCs w:val="16"/>
                <w:color w:val="auto"/>
              </w:rPr>
            </w:pPr>
          </w:p>
        </w:tc>
        <w:tc>
          <w:tcPr>
            <w:tcW w:w="3060" w:type="dxa"/>
            <w:vAlign w:val="bottom"/>
            <w:tcBorders>
              <w:right w:val="single" w:sz="8" w:color="auto"/>
            </w:tcBorders>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Specialty emulsions for mining</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Mining</w:t>
            </w:r>
          </w:p>
        </w:tc>
        <w:tc>
          <w:tcPr>
            <w:tcW w:w="240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LDAN, AN solution, and</w:t>
            </w:r>
          </w:p>
        </w:tc>
        <w:tc>
          <w:tcPr>
            <w:tcW w:w="306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applications, surface mining, quarries,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continue"/>
            <w:shd w:val="clear" w:color="auto" w:fill="CFF0FC"/>
          </w:tcPr>
          <w:p>
            <w:pPr>
              <w:spacing w:after="0"/>
              <w:rPr>
                <w:sz w:val="14"/>
                <w:szCs w:val="14"/>
                <w:color w:val="auto"/>
              </w:rPr>
            </w:pPr>
          </w:p>
        </w:tc>
        <w:tc>
          <w:tcPr>
            <w:tcW w:w="240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HDAN</w:t>
            </w:r>
          </w:p>
        </w:tc>
        <w:tc>
          <w:tcPr>
            <w:tcW w:w="3060" w:type="dxa"/>
            <w:vAlign w:val="bottom"/>
            <w:tcBorders>
              <w:right w:val="single" w:sz="8" w:color="auto"/>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construction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shd w:val="clear" w:color="auto" w:fill="CFF0FC"/>
          </w:tcPr>
          <w:p>
            <w:pPr>
              <w:spacing w:after="0"/>
              <w:rPr>
                <w:sz w:val="5"/>
                <w:szCs w:val="5"/>
                <w:color w:val="auto"/>
              </w:rPr>
            </w:pPr>
          </w:p>
        </w:tc>
        <w:tc>
          <w:tcPr>
            <w:tcW w:w="2400" w:type="dxa"/>
            <w:vAlign w:val="bottom"/>
            <w:tcBorders>
              <w:right w:val="single" w:sz="8" w:color="auto"/>
            </w:tcBorders>
            <w:vMerge w:val="continue"/>
            <w:shd w:val="clear" w:color="auto" w:fill="CFF0FC"/>
          </w:tcPr>
          <w:p>
            <w:pPr>
              <w:spacing w:after="0"/>
              <w:rPr>
                <w:sz w:val="5"/>
                <w:szCs w:val="5"/>
                <w:color w:val="auto"/>
              </w:rPr>
            </w:pPr>
          </w:p>
        </w:tc>
        <w:tc>
          <w:tcPr>
            <w:tcW w:w="3060" w:type="dxa"/>
            <w:vAlign w:val="bottom"/>
            <w:tcBorders>
              <w:right w:val="single" w:sz="8" w:color="auto"/>
            </w:tcBorders>
            <w:vMerge w:val="continue"/>
            <w:shd w:val="clear" w:color="auto" w:fill="CFF0FC"/>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80" w:type="dxa"/>
            <w:vAlign w:val="bottom"/>
            <w:tcBorders>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shd w:val="clear" w:color="auto" w:fill="CFF0FC"/>
          </w:tcPr>
          <w:p>
            <w:pPr>
              <w:spacing w:after="0"/>
              <w:rPr>
                <w:sz w:val="12"/>
                <w:szCs w:val="12"/>
                <w:color w:val="auto"/>
              </w:rPr>
            </w:pPr>
          </w:p>
        </w:tc>
        <w:tc>
          <w:tcPr>
            <w:tcW w:w="2400" w:type="dxa"/>
            <w:vAlign w:val="bottom"/>
            <w:tcBorders>
              <w:bottom w:val="single" w:sz="8" w:color="auto"/>
              <w:right w:val="single" w:sz="8" w:color="auto"/>
            </w:tcBorders>
            <w:shd w:val="clear" w:color="auto" w:fill="CFF0FC"/>
          </w:tcPr>
          <w:p>
            <w:pPr>
              <w:spacing w:after="0"/>
              <w:rPr>
                <w:sz w:val="12"/>
                <w:szCs w:val="12"/>
                <w:color w:val="auto"/>
              </w:rPr>
            </w:pPr>
          </w:p>
        </w:tc>
        <w:tc>
          <w:tcPr>
            <w:tcW w:w="3060" w:type="dxa"/>
            <w:vAlign w:val="bottom"/>
            <w:tcBorders>
              <w:bottom w:val="single" w:sz="8" w:color="auto"/>
              <w:right w:val="single" w:sz="8" w:color="auto"/>
            </w:tcBorders>
            <w:shd w:val="clear" w:color="auto" w:fill="CFF0FC"/>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3</w:t>
            </w:r>
          </w:p>
        </w:tc>
        <w:tc>
          <w:tcPr>
            <w:tcW w:w="3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following table summarizes net sales information relating to our products: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consolidated net sales: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Agricultural products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Mining products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products</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July 1, 2016, we manufactured and sold a range of heating, ventilation and air conditioning products and related services (the “Climate Control Business”). These products were primarily used in commercial, institutional and residential new building construction and renovations. On July 1, 2016, we sold the Climate Control Business.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net sales, operating results and total assets for the past three fiscal years, see the Consolidated Financial Statements included in this report.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pursue a strategy of balancing the sale of product as fertilizer into the agriculture markets at spot prices or short duration pre-sales and developing industrial and mining customers that purchase substantial quantities of products, primarily under contractual obligations and/or pricing arrangements that provide for the pass through of some raw material and other manufacturing costs. We believe this product and market diversification strategy allows us to have more consistent levels of production compared to some of our competitors and helps reduce the volatility risk inherent in the prices of our raw material feedstock and/or the changes in demand for our products.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strategy of developing industrial and mining customers helps to moderate the risk inherent in the agricultural markets where spot sales prices of our agricultural products may not have a correlation to the natural gas feedstock costs but rather reflect market conditions for like and competing nitrogen sources. This volatility of sales pricing in our agricultural products may, from time to time, compromise our ability to recover our full cost to produce the product. Additionally, the lack of sufficient non-seasonal agricultural sales volume to operate our manufacturing facilities at optimum levels can preclude us from balancing production and storage capabilities. Looking forward, we continually pursue profitable growth and margin enhancement. Our strategy calls for continued emphasis on the agricultural sector, while remaining committed to further developing industrial customers who assume the volatility risk associated with the raw material costs and mitigate the effects of seasonality in the agricultural sector.</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also includes evaluating acquisitions of strategic assets or companies, mergers with other companies and investment in additional production capacity where we believe those acquisitions, mergers or expansion of production capacity will enhance the value of the Company and provide appropriate returns.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future results of operations and financial condition will depend significantly on our ability to successfully implement the following key initiatives:</w:t>
      </w:r>
    </w:p>
    <w:p>
      <w:pPr>
        <w:spacing w:after="0" w:line="52" w:lineRule="exact"/>
        <w:rPr>
          <w:sz w:val="20"/>
          <w:szCs w:val="20"/>
          <w:color w:val="auto"/>
        </w:rPr>
      </w:pPr>
    </w:p>
    <w:p>
      <w:pPr>
        <w:jc w:val="both"/>
        <w:ind w:left="1040" w:hanging="519"/>
        <w:spacing w:after="0" w:line="25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On-Stream Rates of our Chemical Plants. </w:t>
      </w:r>
      <w:r>
        <w:rPr>
          <w:rFonts w:ascii="Times New Roman" w:cs="Times New Roman" w:eastAsia="Times New Roman" w:hAnsi="Times New Roman"/>
          <w:sz w:val="18"/>
          <w:szCs w:val="18"/>
          <w:color w:val="auto"/>
        </w:rPr>
        <w:t>Over the past 18 months, our focus has been on upgrading our existing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system through technology enhancements and work processes to improve our predictive and preventative maintenance programs at our facilities. We engaged outside maintenance experts to assist us in expediting implementation and overall use. We have completed the initial implementation. Additionally, beginning in the third quarter of 2018, we engaged outside consultants to do a thorough review of our operating and maintenance procedures and our preventive maintenance programs at all of our facilities in an effort to determine where we may have gaps in procedures and programs and where we may need enhancements. Based on the “Gap Analysis” completed, we have several initiatives underway that we believe will improve the overall reliability of our plants and allow us to produce more products for sale while lowering our cost of production. Those initiatives are focused on operating behavior and procedure enhancements including operator training, leadership training, shift change enhancements and operating and maintenance procedures.</w:t>
      </w:r>
    </w:p>
    <w:p>
      <w:pPr>
        <w:spacing w:after="0" w:line="81"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the Continued Improvement of Our Safety Performance. </w:t>
      </w:r>
      <w:r>
        <w:rPr>
          <w:rFonts w:ascii="Times New Roman" w:cs="Times New Roman" w:eastAsia="Times New Roman" w:hAnsi="Times New Roman"/>
          <w:sz w:val="18"/>
          <w:szCs w:val="18"/>
          <w:color w:val="auto"/>
        </w:rPr>
        <w:t>We believe that high safety standards are critical and a precursor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plant performance. With that in mind, we implemented enhanced safety programs at our facilities that focus on reducing risks and improving our safety culture. As a result of these programs, we significantly lowered our recordable incident rate in 2018 as compared to the prior year and we remain well below the national average for recordable safety incidents.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ind w:left="1040" w:hanging="519"/>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Broadening of the Distribution of our Products. </w:t>
      </w:r>
      <w:r>
        <w:rPr>
          <w:rFonts w:ascii="Times New Roman" w:cs="Times New Roman" w:eastAsia="Times New Roman" w:hAnsi="Times New Roman"/>
          <w:sz w:val="18"/>
          <w:szCs w:val="18"/>
          <w:color w:val="auto"/>
        </w:rPr>
        <w:t>We increased our overall sales volume of HDAN over the past 24 months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 through various marketing initiatives which include: (1) storing and distributing HDAN at our Pryor Facility which allows us to sell to new markets and customers out of that facility and; (2) educating growers on the agronomic benefits and the additional applications for HDAN. To further leverage our plants current production capacity, we are continuing to expand the distribution of our mining products by partnering with customers to take product further into the Western U.S. as well as markets outside the U.S. We also partnered with a current customer to position an emulsion explosives plant at our El Dorado Facility. We began selling product to that facility in the fourth quarter of 2018. We will continue to explore further guest plant opportunities at our facilities in 2019.</w:t>
      </w:r>
    </w:p>
    <w:p>
      <w:pPr>
        <w:spacing w:after="0" w:line="77" w:lineRule="exact"/>
        <w:rPr>
          <w:rFonts w:ascii="Times New Roman" w:cs="Times New Roman" w:eastAsia="Times New Roman" w:hAnsi="Times New Roman"/>
          <w:sz w:val="18"/>
          <w:szCs w:val="18"/>
          <w:color w:val="auto"/>
        </w:rPr>
      </w:pPr>
    </w:p>
    <w:p>
      <w:pPr>
        <w:jc w:val="both"/>
        <w:ind w:left="10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through increased marketing efforts, we increased our sales volumes of nitric acid over the past 24 months by approximately 35%. We continue to focus our efforts to expand our market for our nitric acid products in North America and to fully utilize available nitric acid production capacity of our facilities.</w:t>
      </w:r>
    </w:p>
    <w:p>
      <w:pPr>
        <w:spacing w:after="0" w:line="66"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Margins on Sales of Our Products. </w:t>
      </w:r>
      <w:r>
        <w:rPr>
          <w:rFonts w:ascii="Times New Roman" w:cs="Times New Roman" w:eastAsia="Times New Roman" w:hAnsi="Times New Roman"/>
          <w:sz w:val="18"/>
          <w:szCs w:val="18"/>
          <w:color w:val="auto"/>
        </w:rPr>
        <w:t>Over the last several years, we have focused on increasing our sales volumes to produce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on-stream rates and lower our manufacturing costs per ton of product. In 2019, we will undertake a review of all sales to customers to determine if there are opportunities to improve the margins on sales to those customers and to explore if there are further product upgrading opportunities.</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5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Focus on Procurement and Logistics. </w:t>
      </w:r>
      <w:r>
        <w:rPr>
          <w:rFonts w:ascii="Times New Roman" w:cs="Times New Roman" w:eastAsia="Times New Roman" w:hAnsi="Times New Roman"/>
          <w:sz w:val="18"/>
          <w:szCs w:val="18"/>
          <w:color w:val="auto"/>
        </w:rPr>
        <w:t>In 2018, we engaged outside experts to assist us in centralizing and expanding our Company-wide procurement efforts. We completed our initial areas of focus during the second quarter of 2018, completed the implementation of those changes, and began to see benefits during the third quarter of 2018. We believe that these efforts along with several additional identified areas of focus, will result in an overall reduction in expenses and capital spend in the aggregate of between $3 million to $5 million on an annualized basis, which we expect to realize over the next 12 to 24 months. Additionally, we will continue to focus on improving the effectiveness and overall cost of our logistics strategy through a centrally managed team focused on building logistics partners that will help us further drive efficiencies in 2019.</w:t>
      </w:r>
    </w:p>
    <w:p>
      <w:pPr>
        <w:spacing w:after="0" w:line="75"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Improving Our Capital Structure and Overall Cost of Capital. </w:t>
      </w:r>
      <w:r>
        <w:rPr>
          <w:rFonts w:ascii="Times New Roman" w:cs="Times New Roman" w:eastAsia="Times New Roman" w:hAnsi="Times New Roman"/>
          <w:sz w:val="18"/>
          <w:szCs w:val="18"/>
          <w:color w:val="auto"/>
        </w:rPr>
        <w:t>We are actively seeking ways to improve our capital structure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our overall cost of capital. We believe that the improving end markets for our products combined with our improved operating performance will be a benefit in achieving those efforts. As a part of that, in the second quarter of 2018, we refinanced our outstanding Senior Secured Notes. We will continue to actively seek ways to improve our capital structure going forward.</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successfully implement any or all of these initiatives. Even if we successfully implement the initiatives, they may not achieve the results that we expect or desire.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Strategically Located Chemical Assets and Long-Standing Customer Relationships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benefits from highly advantageous locations with logistical and distribution benefits. We have access to the ammonia pipeline from the U.S. Gulf at our El Dorado Facility, which provides low cost transportation to distribution points. The El Dorado Facility also has rail access that is in close proximity to our HDAN customers and cost advantaged when selling a number of our products West of the Mississippi River. Our Cherokee Facility is located East of the Mississippi River, allowing it to reach customers that are not freight logical for others. Our Cherokee Facility sits adjacent to the Tennessee River, providing barge delivery access, in addition to truck and rail delivery access. Our Pryor Facility is located in the heart of the Southern Plains with close proximity to the Port of Catoosa along with strategic rail and truck delivery access.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Advantaged Raw Material Cost Position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produce ammonia at our El Dorado, Cherokee and Pryor Facilities, which allows us to take advantage of the spread between producing and purchasing ammonia at those facilities. Additionally, our Pryor Facility has a natural gas cost advantage as its cost of gas has historically been lower than our El Dorado and Cherokee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Diversified Sources of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serves a broad range of end markets, which we believe diminishes the cyclicality of our financial performance. Our business serves the agricultural, industrial and mining markets. The flexible nature of our production process allows us the ability to shift our product mix based on end market demand.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of Multiple Facilities and High Production Capacity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our business through several facilities. Operating multiple facilities diversifies the risk and impact of operational issues that may occur at a single plant, which gives us a strategic advantage over competitors that operate their company through a single facility. Additionally, our competitive production capacity of our combined plants allows us to decrease manufacturing costs, helping us to achieve enhanced margins.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more detail under “Key Industry Factors” of “Management’s Discussion and Analysis of Financial Condition and Results of Operations” (“MD&amp;A”) contained in Item 7 of this report, agricultural fertilizer demand is a significant driver of our sales volumes. This demand is influenced by the number of acres planted of crops, principally corn, that require fertilizer to grow and to enhance yield. Corn prices and those of soybean, cotton and wheat prices, affect the number of acres of corn planted in a given year, and the number of acres planted will influence nitrogen fertilizer consumption, likely affecting ammonia, UAN and urea prices. Weather also has an effect on fertilizer application and consumption. Industry reports indicated China’s recent tariffs placed on U.S. soybeans could result in a shift of 2 to 4 million acres that will be rotated from soybeans to corn in this next planting season. The USDA also estimates an increase in 2019 corn acres that is in line with other industry reports ranging between 92 million to 93 million acres. Soybean pricing concerns may drive crop planting selection when final crop choices are made at the farm level. The following February estimates are associated with the corn market: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2019 Crop</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2018 Crop</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Percentage</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2017 Crop</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Percentage</w:t>
            </w:r>
          </w:p>
        </w:tc>
      </w:tr>
      <w:tr>
        <w:trPr>
          <w:trHeight w:val="246"/>
        </w:trPr>
        <w:tc>
          <w:tcPr>
            <w:tcW w:w="388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color w:val="auto"/>
              </w:rPr>
              <w:t xml:space="preserve">February Report </w:t>
            </w:r>
            <w:r>
              <w:rPr>
                <w:rFonts w:ascii="Times New Roman" w:cs="Times New Roman" w:eastAsia="Times New Roman" w:hAnsi="Times New Roman"/>
                <w:sz w:val="14"/>
                <w:szCs w:val="14"/>
                <w:color w:val="auto"/>
              </w:rPr>
              <w:t>(1)</w:t>
            </w:r>
          </w:p>
        </w:tc>
        <w:tc>
          <w:tcPr>
            <w:tcW w:w="24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color w:val="auto"/>
              </w:rPr>
              <w:t xml:space="preserve">February Report </w:t>
            </w:r>
            <w:r>
              <w:rPr>
                <w:rFonts w:ascii="Times New Roman" w:cs="Times New Roman" w:eastAsia="Times New Roman" w:hAnsi="Times New Roman"/>
                <w:sz w:val="14"/>
                <w:szCs w:val="14"/>
                <w:color w:val="auto"/>
              </w:rPr>
              <w:t>(1)</w:t>
            </w:r>
          </w:p>
        </w:tc>
        <w:tc>
          <w:tcPr>
            <w:tcW w:w="24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 xml:space="preserve">Change </w:t>
            </w:r>
            <w:r>
              <w:rPr>
                <w:rFonts w:ascii="Times New Roman" w:cs="Times New Roman" w:eastAsia="Times New Roman" w:hAnsi="Times New Roman"/>
                <w:sz w:val="14"/>
                <w:szCs w:val="14"/>
                <w:color w:val="auto"/>
              </w:rPr>
              <w:t>(2)</w:t>
            </w:r>
          </w:p>
        </w:tc>
        <w:tc>
          <w:tcPr>
            <w:tcW w:w="22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color w:val="auto"/>
              </w:rPr>
              <w:t xml:space="preserve">February Report </w:t>
            </w:r>
            <w:r>
              <w:rPr>
                <w:rFonts w:ascii="Times New Roman" w:cs="Times New Roman" w:eastAsia="Times New Roman" w:hAnsi="Times New Roman"/>
                <w:sz w:val="14"/>
                <w:szCs w:val="14"/>
                <w:color w:val="auto"/>
              </w:rPr>
              <w:t>(1)</w:t>
            </w:r>
          </w:p>
        </w:tc>
        <w:tc>
          <w:tcPr>
            <w:tcW w:w="24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 xml:space="preserve">Change </w:t>
            </w:r>
            <w:r>
              <w:rPr>
                <w:rFonts w:ascii="Times New Roman" w:cs="Times New Roman" w:eastAsia="Times New Roman" w:hAnsi="Times New Roman"/>
                <w:sz w:val="14"/>
                <w:szCs w:val="14"/>
                <w:color w:val="auto"/>
              </w:rPr>
              <w:t>(3)</w:t>
            </w:r>
          </w:p>
        </w:tc>
        <w:tc>
          <w:tcPr>
            <w:tcW w:w="220" w:type="dxa"/>
            <w:vAlign w:val="bottom"/>
            <w:tcBorders>
              <w:bottom w:val="single" w:sz="8" w:color="CFF0FC"/>
            </w:tcBorders>
          </w:tcPr>
          <w:p>
            <w:pPr>
              <w:spacing w:after="0"/>
              <w:rPr>
                <w:sz w:val="21"/>
                <w:szCs w:val="2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Area Planted </w:t>
            </w:r>
            <w:r>
              <w:rPr>
                <w:rFonts w:ascii="Times New Roman" w:cs="Times New Roman" w:eastAsia="Times New Roman" w:hAnsi="Times New Roman"/>
                <w:sz w:val="14"/>
                <w:szCs w:val="14"/>
                <w:i w:val="1"/>
                <w:iCs w:val="1"/>
                <w:color w:val="auto"/>
              </w:rPr>
              <w:t>(Million acres)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Yield per Acre </w:t>
            </w:r>
            <w:r>
              <w:rPr>
                <w:rFonts w:ascii="Times New Roman" w:cs="Times New Roman" w:eastAsia="Times New Roman" w:hAnsi="Times New Roman"/>
                <w:sz w:val="14"/>
                <w:szCs w:val="14"/>
                <w:i w:val="1"/>
                <w:iCs w:val="1"/>
                <w:color w:val="auto"/>
              </w:rPr>
              <w:t>(Bushels)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Production </w:t>
            </w:r>
            <w:r>
              <w:rPr>
                <w:rFonts w:ascii="Times New Roman" w:cs="Times New Roman" w:eastAsia="Times New Roman" w:hAnsi="Times New Roman"/>
                <w:sz w:val="14"/>
                <w:szCs w:val="14"/>
                <w:i w:val="1"/>
                <w:iCs w:val="1"/>
                <w:color w:val="auto"/>
              </w:rPr>
              <w:t>(Million bushels)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Ending Stocks </w:t>
            </w:r>
            <w:r>
              <w:rPr>
                <w:rFonts w:ascii="Times New Roman" w:cs="Times New Roman" w:eastAsia="Times New Roman" w:hAnsi="Times New Roman"/>
                <w:sz w:val="14"/>
                <w:szCs w:val="14"/>
                <w:i w:val="1"/>
                <w:iCs w:val="1"/>
                <w:color w:val="auto"/>
              </w:rPr>
              <w:t>(Million metric tons)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World Ending Stocks </w:t>
            </w:r>
            <w:r>
              <w:rPr>
                <w:rFonts w:ascii="Times New Roman" w:cs="Times New Roman" w:eastAsia="Times New Roman" w:hAnsi="Times New Roman"/>
                <w:sz w:val="14"/>
                <w:szCs w:val="14"/>
                <w:i w:val="1"/>
                <w:iCs w:val="1"/>
                <w:color w:val="auto"/>
              </w:rPr>
              <w:t>(Million metric tons)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25" w:lineRule="exact"/>
        <w:rPr>
          <w:sz w:val="20"/>
          <w:szCs w:val="20"/>
          <w:color w:val="auto"/>
        </w:rPr>
      </w:pPr>
    </w:p>
    <w:p>
      <w:pPr>
        <w:ind w:left="520" w:right="2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obtained from WASDE reports dated February 8, 2019 (February Report) for the 2018/2019 (“2019 Crop”), 2017/2018 (“2018 Crop”) and 2016/2017 (“2016”) corn marketing years.</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2019 Crop amounts compared to the 2018 Crop amounts.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2019 Crop amounts compared to the 2017 Crop amounts.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industrial markets, our sales volumes are typically driven by changes in general economic conditions, energy prices, and our contractual arrangements with certain large customers. Our mining products are generally sold into the coal and metals and mineral mining markets and are also used in the production of stone for construction and production of cement for quarrying operations. As such, U.S. annual coal production will drive sale volumes of our mining products and over the past several years, U.S. coal production has been negatively impacted by low natural gas prices among other things. As reported by the U.S. Energy Information Administration (“EIA”), annual coal production in the U.S. for the full year of 2018 was down 3% from 2017 due to this market’s weak competitive position in the electrical generation sector compared with natural gas and to a lesser degree lower export demand. EIA is forecasting another 3% decrease in U.S. coal production in 2019 followed by a continued decline of 7% in 2020. This estimated decline is based on the continual shift in utility-scale electricity generation from coal to natural gas. We believe that coal production in the U.S. continues to face significant challenges from competition from natural gas and renewable sources of energy. While we believe our plants are well located to support the more stable coal-producing regions in the upcoming years, our current mining sales volumes are being affected by overall lower customer demand for LDAN. As part of our continued effort to expand sales of our mining products, we entered into an agreement with a current customer, by which the customer has located an emulsion explosives plant at our El Dorado Facility. We will continue to explore further guest plant opportunities in 2019.</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Since those announcements, global nitrogen fertilizer supply has outpaced global nitrogen fertilizer demand causing oversupply in the global and North American markets. The increased fertilizer supply led to lower nitrogen fertilizer sale prices during most of 2017. Also, additional domestic supply of ammonia and other fertilizer products changed the physical flow of ammonia in North America placing pressure on ammonia and other fertilizer prices until the distribution system accepted the new supply. Beginning in the fourth quarter of 2017 and through 2018, we have seen an increase in fertilizer prices as imports of fertilizers have decreased significantly and the distribution of the new domestic supply of fertilizer has been established. We expect this trend to continue in 2019.</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Agricultural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produce and sell UAN, HDAN and ammonia, all of which are nitrogen-based fertilizers. We sell these agricultural products to farmers, ranchers, fertilizer dealers and distributors primarily in the ranch land and grain production markets in the U.S. Our nitrogen-based fertilizers are used to grow food crops, biofuel feedstock crops, pasture land for grazing livestock and forage production. We maintain long-term relationships with wholesale agricultural distributors and retailers and also sell directly to agricultural end-users through our network of wholesale and retail distribution centers.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internationals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develop our market position in these areas by emphasizing high quality products, customer service and technical advice. During the past few years, we have been successful in expanding outside our traditional markets by delivering to distributors on the Tennessee and Ohio rivers by barge, and by delivering to certain Western States by rail. See our discussion above concerning broadening the distribution of our AN products under “Key Operating Initiatives for 2019”.</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an agreement with a third-party purchaser, Coffeyville Resources Nitrogen Fertilizers, LLC, (“CVR”), to market and sell a portion of our UAN. Demand for sales under this agreement is based on the expected needs of the purchaser’s customers. The agreement provides the exclusive right (but not the obligation) to purchase, at market prices, substantially all of the UAN produced at our Pryor Facility. The term of the agreement runs through May 2019, with automatic one-year extensions, subject to a 180-day advance notice of termination from CVR or a 90-day advance notice from us.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most of our agricultural products at the current spot market price in effect at the time of shipment, although we periodically enter into forward sales commitments for some of these products. Sales of our industrial and mining products are generally made to customers pursuant to sales contracts or pricing arrangements on terms that include the cost of the primary raw materials as a pass-through component in the sales price. These contractual sales stabilize the effect of commodity cost changes and fluctuations in demand for these products due to the cyclicality of the end markets.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Industrial Acids and Other Chemical Products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manufacture and sell industrial acids and other chemical products primarily to the polyurethane, paper, fibers, emission control, and electronics industries. In addition, we produce and sell blended and regular nitric acid and industrial and high purity ammonia for many specialty applications, including the reduction of air emissions from power plants. In addition, one of our subsidiaries, El Dorado Chemical Company (“EDC”) and Koch Fertilizer LLC (“Koch Fertilizer”) are parties to an ammonia purchase and sale agreement, under which Koch Fertilizer agreed to purchase, with minimum purchase requirements, the ammonia that is in excess of EDC’s internal needs. We began selling ammonia under this agreement during June 2016. The term of the agreement runs until June 2020, with annual renewal options.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the Baytown Facility on behalf of Covestro and we believe it is one of the largest and most technologically advanced nitric acid manufacturing units in the U.S. We operate and maintain this facility pursuant to a long-term contract (the “Covestro Agreement”). The term of this agreement runs until June 2021 with options for renewal. See discussion concerning the impact from the adoption of ASC 606 in Note 2 to the Consolidated Financial Statements included in this report.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industrial products sales volumes are dependent upon general economic conditions primarily in the housing, automotive, and paper industries. Our sale prices generally vary with the market price of ammonia, sulfur or natural gas, as applicable, in our pricing arrangements with customers.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industrial business competes based upon service, price and location of production and distribution sites, product quality and performance and provides inventory management as part of the value-added services offered to certain customers. See our discussion above concerning broadening the distribution of our nitric acid products under “Key Operating Initiatives for 2019”.</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Mining Products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produce and sell LDAN and AN solution to the mining industry, which products are primarily used as AN fuel oil and specialty emulsions for surface mining of coal, mining of precious metals and for usage in quarries and providing aggregates to the construction industry. We have signed long-term contracts with certain customers that provide for the annual sale of LDAN under various natural-gas-based pricing arrangements. Additionally, during 2018 we entered into an agreement to have a current customer locate an emulsion explosives plant at our El Dorado Facility. We began selling product to that facility during the fourth quarter of 2018. We continue to explore further guest plant opportunities. See our discussion above concerning broadening the distribution of our mining products under “Key Operating Initiatives for 2019”.</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products we manufacture at our facilities are primarily derived from natural gas. This raw material feedstock is a commodity and subject to price fluctuations. Natural gas is the primary raw material for producing ammonia, UAN, nitric acid and acid blends and other products at our El Dorado, Cherokee and Pryor Facilities. When operating at optimum on-stream rates, the El Dorado Facility would purchase approximately 16.6 million MMBtus of natural gas annually to produce approximately 470,000 tons of ammonia; the Cherokee Facility would purchase approximately 5.8 million MMBtus of natural gas annually in order to produce approximately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180,000 tons of ammonia; and the Pryor Facility would purchase approximately 7.0 million MMBtus of natural gas annually to produce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235,000 tons of ammonia.</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chemical facilities’ natural gas feedstock requirements are generally purchased at spot market price. Periodically, we enter into volume purchase commitments and/or futures/forward contracts to lock in the cost of certain of the expected natural gas requirements primarily to match quantities needed to produce product that has been sold forward. As of December 31, 2018, we did not have any volume purchase commitments with a fixed cost for natural gas.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relating to the outlook for our business under “Key Industry Factors”.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extensive federal, state and local environmental laws, rules and regulations as discussed under “Environmental, Health and Safety Matters" of this Item 1 and various risk factors under Item 1A.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market with many other larger chemical companies, such as Austin Powder Company, CF Industries Holdings, Inc., Chemtrade Logistics Inc., EuroChem, Inc., OCI Partners NV, Dyno Nobel, a subsidiary of Incitec Pivot Limited, The Gavilon Group, Helm AG, Koch Industries, Norfalco, Nutrien (formerly known as Agrium and Potash Corporation of Saskatchewan), Praxair, Inc., Trammo Inc. and Yara International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2018, we employed 576 persons, 193 of whom are represented by unions under agreements that expire in July of 2019 through July of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Health and Safety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environmental laws and to other laws regarding health and safety matters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our subsidiaries have incurred significant expenditures in order to comply with the Environmental and Health Laws and are reasonably expected to do so in the future. We will also be obligated to manage certain discharge water outlets and monitor groundwater contaminants at our chemical facilities should we discontinue the operations of a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through our Internet website (</w:t>
      </w:r>
      <w:r>
        <w:rPr>
          <w:rFonts w:ascii="Times New Roman" w:cs="Times New Roman" w:eastAsia="Times New Roman" w:hAnsi="Times New Roman"/>
          <w:sz w:val="18"/>
          <w:szCs w:val="18"/>
          <w:u w:val="single" w:color="auto"/>
          <w:color w:val="auto"/>
        </w:rPr>
        <w:t>www.lsbindustries.com</w:t>
      </w:r>
      <w:r>
        <w:rPr>
          <w:rFonts w:ascii="Times New Roman" w:cs="Times New Roman" w:eastAsia="Times New Roman" w:hAnsi="Times New Roman"/>
          <w:sz w:val="18"/>
          <w:szCs w:val="18"/>
          <w:color w:val="auto"/>
        </w:rPr>
        <w:t>) or by calling Investor Relations (212) 836-9607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in our website does not constitute part of this Annual Report on Form 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generate sufficient cash to service our debt and may be required to take other actions to satisfy the obligations under our debt agreements or to redeem our preferred stock, which may not be successful.</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and our ability to satisfy the redemption obligations for the Series E cumulative redeemable Class C preferred stock (“Series E Redeemable Preferred”) depends on our financial condition and operating performance, prevailing economic and competitive conditions, and certain financial, business and other factors, some of which may be beyond our control. We may not be able to maintain a level of cash flows sufficient to pay the principal and interest on our debt, including the $400 million principal amount of our Senior Secured Notes (the “Senior Secured Notes”), or the outstanding amount of the Working Capital Revolver Loan or to pay the cumulative dividends and redemption payment on the Series E Redeemable Preferred should the holder choose to redeem it on or after October 25, 2023, that applicable optional redemption date with respect thereto.</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cash flows and capital resources are insufficient to fund our debt, dividend or preferred stock redemption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or to dispose of other assets or operations, seek additional capital, or restructure or refinance debt or redeemable equity. These alternative measures may not be successful, may not be completed on economically attractive terms, or may not be adequate for us to meet our debt or preferred stock redemption obligations when due. Additionally, our debt agreements and the operating agreements associated with our Series E Redeemable Preferred limit the use of the proceeds from many dispositions of assets or operations. As a result, we may not be permitted to use the proceeds from these dispositions to satisfy our debt or preferred stock redemption obligations.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In such an event, we may not have sufficient assets to repay all of our debt.</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level of indebtedness, including dividend requirements relating to our preferred stock, could limit our financial and operating activities, and adversely affect our ability to incur additional debt to fund future needs.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have a substantial amount of indebtedness, as well as dividend and redemption requirements relating to our preferred stock. As a result, this level could, among other things:</w:t>
      </w:r>
    </w:p>
    <w:p>
      <w:pPr>
        <w:spacing w:after="0" w:line="54" w:lineRule="exact"/>
        <w:rPr>
          <w:sz w:val="20"/>
          <w:szCs w:val="20"/>
          <w:color w:val="auto"/>
        </w:rPr>
      </w:pPr>
    </w:p>
    <w:p>
      <w:pPr>
        <w:ind w:left="10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the payment of principal, interest and dividends, thereby reducing the funds available for operations and future business opportunities;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including our repurchase obligations;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changing economic, business and competitive conditions;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with competitors who may have less indebtedness or greater access to financing;</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an increase in interest rates, a downturn in our operating performance or a decline in general economic conditions; and</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susceptible to changes in credit ratings, which could affect our ability to obtain financing in the future and increase the cost of such financing.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adversely affect our operating results, financial condition, and liquidity.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debt agreements and our preferred stock contain covenants and restrictions that could restrict or limit our financial and business operations. A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debt agreements and our preferred stock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These covenants and other restrictions limit our ability to, among other things:</w:t>
      </w:r>
    </w:p>
    <w:p>
      <w:pPr>
        <w:spacing w:after="0" w:line="68"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preferred shares;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capital stock, make other restricted payments;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make investments;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corporate changes or changes to our business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material acquisitions;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as unrestricted subsidiaries;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repurchase or modify certain subordinated and other material debt.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Working Capital Revolver Loan also contains certain affirmative covenants and requires the borrowers to comply with a fixed charge coverage ratio (as defined in the Working Capital Revolver Loan) if their excess availability (as defined in the Working Capital Revolver Loan) falls below a certain level.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failures to make payments when due on, or the acceleration of, significant indebtedness constitutes a default under some of our debt instruments, including the indenture governing the notes. Further, a breach of any of the covenants or restrictions in a debt instrument could result in an event of default under such debt instrument. Upon the occurrence of an event of default under one of these debt instruments, our lenders or noteholders could elect to declare all amounts outstanding under such debt instrument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Despite our current levels of debt, we may still incur more debt ranking senior or equal in right of payment with our existing obligations, including secured debt, which would increase the risks described herein.</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agreements relating to our debt, including the Senior Secured Notes Indenture and the credit agreement governing our Working Capital Revolver Loan, limit but do not prohibit our ability to incur additional debt, including additional secured debt. Notwithstanding the fact that the Senior Secured Notes Indenture and the credit agreement governing our Working Capital Revolver Loan limit our ability to incur additional debt or grant certain liens on our assets, the restrictions on the incurrence of additional indebtedness and liens are subject to a number of important qualifications and exceptions, and the additional indebtedness and liens incurred in compliance with these restrictions could be substantial. If new debt is added to our current debt levels, the related risks that we now face could intensify.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Borrowings under our Working Capital Revolver Loan bear interest at a variable rate, which subjects us to interest rate risk and could cause our debt service obligations to increase.</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borrowings under our Working Capital Revolver Loan are at variable rates of interest and expose us to interest rate risk. If interest rates increase, our debt service obligations on this variable rate indebtedness would increase even though the amount borrowed remained the same. Although we may enter into interest rate swaps to reduce interest rate volatility, we cannot provide assurances that we will be able to do so or that such swaps will be effective.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Despite continuing investment to upgrade and replace equipment on an ongoing basis, the age of our chemical manufacturing facilities increases the risk for unplanned downtime, which may be significant.</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equipment required for the manufacture of our products is specialized, and the time for replacement of such equipment can be lengthy, resulting in extended downtime in the affected unit. In addition, the cost for such equipment could be influenced by changes in regulatory policies (including tariffs) of foreign governments, as well as the U.S. laws and policies affecting foreign trade and investment.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operating results, liquidity and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LSB is a holding company and depends, in large part, on receiving funds from its subsidiaries to fund our indebtedness.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LSB is a holding company and operations are conducted through its subsidiaries, LSB’s ability to meet its obligations depends, in large part, on the operating performance and cash flows of its subsidiaries and the ability of its subsidiaries to make distributions and pay dividends to LSB.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not paid dividends on our outstanding common stock in many years.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 Although our Board of Directors (the “Board”) has not made a decision whether or not to pay dividends on our common stock in 2019, it is unlikely we will pay dividends on our common stock until we have repaid or refinanced our debt and our preferred stock. In addition, there are certain limitations contained in our loan and securities purchase agreements that may limit our ability to pay dividends on our outstanding common stock.</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issuances or potential issuances of our common stock or preferred stock could adversely affect the price of our common stock and our ability to raise funds in new stock offerings and could dilute the percentage ownership or voting power of our common stockholders.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sales of substantial amounts of our common stock, preferred stock or equity-related securities in the public market, or the issuance of a substantial amount of our common stock as the result of the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conversions of our outstanding preferred stocks into shares of common stock, or the availability of shares of common stock for future sale will have on the trading price of our common stock. Such future sales or conversions could also significantly reduce the percentage ownership and voting power of our existing common stockholders.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Deterioration of global market and economic conditions could have a material adverse effect on our business, financial condition, results of operations and cash flow.</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can adversely affect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Ammonia can be very volatile and extremely hazardous. Any liability for accidents or intentional acts such as terrorism involving ammonia or other products we produce or transport that cause severe damage to property or injury to the environment and human health could have a material adverse effect on our results of operations, financial condition and ability to make cash distributions. In addition, the costs of transporting ammonia could increase significantly in the future.</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manufacture, process, store, handle, distribute and transport ammonia, which can be very volatile and extremely hazardous. Major accidents or releases involving ammonia could cause severe damage or injury to property, the environment and human health, as well as a possible disruption of supplies and markets. Such an event could result in civil lawsuits, fines, penalties and regulatory enforcement proceedings, all of which could lead to significant liabilities. Any damage to persons, equipment or property or other disruption of our ability to produce or distribute our products could result in a significant decrease in operating revenues and significant additional cost to replace or repair and insure our assets, which could have a material adverse effect on our results of operations and financial condition. We periodically experience minor releases of ammonia related to leaks from our equipment. Similar events may occur in the future.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major factor underlying the current high level of demand for our nitrogen-based fertilizer products is the production of ethanol. A decrease in ethanol production, an increase in ethanol imports or a shift away from corn as a principal raw material used to produce ethanol could have a material adverse effect on our results of operations, financial condition and ability to make cash distributions.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than current incentive programs.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most ethanol is currently produced from corn and other raw grains, such as milo or sorghum, especially in the Midwest. The current trend in ethanol production research is to develop an efficient method of producing ethanol from cellulose-based biomass, such as agricultural waste, forest residue, municipal solid waste and energy crops (plants grown for use to make biofuels or directly exploited for their energy content). If an efficient method of producing ethanol from cellulose-based biomass is developed, the demand for corn may decrease significantly, which could reduce demand for nitrogen fertilizer products and have a material adverse effect on the prices we receive on sales of our ammonia products and our results of operations, financial condition and ability to make cash distributions.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customers are sensitive to adverse economic cycles.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can be affected by cyclical factors such as inflation, currency exchange rates, global energy policy and costs, global market conditions and economic downturns in specific industries. Certain sales are sensitive to the level of activity in the agricultural, mining, automotive and housing industries. Therefore, substantial changes could adversely affect our operating results, liquidity, financial condition and capital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 conditions adversely affect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Many scientists have concluded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unusual weather events occur during the primary seasons for sales of our agricultural products (March-June and September-November), this could have a material adverse effect on our agricultural sales and our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intense competition in the markets we serve.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Competitive factors could require us to reduce prices or increase spending on product development, marketing and sales, which could have a material adverse effect on our business, results of operation and financial condition.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compete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substantial portion of our sales is dependent upon a limited number of customers.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2018, seven customers accounted for approximately 40% of our consolidated net sales. The loss of, or a material reduction in purchase levels by, one or more of these customers could have a material adverse effect on our business and our results of operations, financial condition and liquidity if we are unable to replace a customer with other sales on substantially similar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and the lack of availability of raw materials could materially affect our profitability and liquidity.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Natural gas represents the primary raw material feedstock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financial condition, liquidity and results of operations.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price of natural gas in North America and worldwide has been volatile in recent years and has declined on average due in part to the development of significant natural gas reserves, including shale gas, and the rapid improvement in shale gas extraction techniques, such as hydraulic fracturing and horizontal drilling.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Additionally, increased demand for natural gas, particularly in the Gulf Coast Region, due to increased industrial demand and increased natural gas exports could result in increased natural gas prices.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financial condition, liquidity and results of operations could be materially affected in the future by the lack of availability of natural gas and other key components and increase costs relating to the purchase of natural gas and other key components.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inadequate insurance.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9 to the Consolidated Financial Statements included in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key personnel could negatively affect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performance has been and will continue to be dependent upon the efforts of our principal executive officers. We cannot ensure that our principal executive officers will continue to be available (see discussion concerning our former CEO electing not to enter into a new employment agreement in Note 15 to the Consolidated Financial Statements). Although we have employment agreements with certain of our principal executive officers, including Mark T. Behrman and Cheryl A. Maguire, we do not have employment agreements with all of our key personnel. The loss of some of our principal executive officers could have a material adverse effect on us. We believe that our future success will depend in large part on our continued ability to attract and retain highly skilled and qualified personnel.</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Terrorist attacks and other acts of violence or war, and natural disasters (such as hurricanes, pandemic health crises, etc.), have negatively affected and could negatively affect U.S. and foreign companies, the financial markets, the industries where we operate, our operations and our profitability.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Terrorist attacks in the U.S and elsewhere and natural disasters (such as hurricanes or pandemic health crises) have in the past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assets and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security risks could adversely affect our business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continue to increase our dependence on information technologies to conduct our operations, the risks associated with cyber security also increase. We rely on our enterprise resource planning software (“ERP”) and other information systems, among other things, to manage our manufacturing, supply chain, accounting and financial functions. This risk not only applies to us, but also to third parties on whose systems we place significant reliance for the conduct of our business.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results of operations, liquidity and financial condition.</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transportation and distribution activities rely on third party providers, which subject us to risks and uncertainties beyond our control that may adversely affect our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technological innovation could affect our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reliant on a limited number of key facilities.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nitrogen production is concentrated in four separate complexes. The suspension of operations at any of these complexes could adversely affect our ability to produce our products and fulfill our commitments and could have a material adverse effect on our business, financial condition, results of operations and cash flows. Moreover, our facilities may be subject to failure of equipment that may be difficult to replace and could result in operational disruptions.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increase of imported agricultural products.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Russia and Ukraine both have substantial capacity to produce and export fertilizer grade AN. Producers in these countries also benefit from below-market prices for natural gas, due to government regulation and other factors.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could have an adverse effect on the selling prices of other nitrogen products, including the nitrogen products we manufacture and sell.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subject to numerous health, safety, security and environmental laws and regulations.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we previously were, and in the future, may be, subject to fines, penalties and sanctions for violations and substantial expenditures for cleanup costs and other liabilities relating to the handling, manufacture, use, emission, discharge or disposal of effluents at or from our chemical facilities. Further, a number of our chemical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2013, U.S.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2017, the U.S. Environmental Protection Agency (“EPA”) finalized revisions to its Risk Management Program (“RMP”). The revisions include new requirements for certain facilities to perform hazard analyses, third-party auditing, incident investigations and root cause analyses, emergency response exercises, and to publicly share chemical and process information. Compliance with many of the rule’s new requirements will be required beginning in 2021. The EPA temporarily delayed the rule’s effective date however, the delay was subsequently vacated with an immediate effective date. On December 3, 2018, the EPA published a final rule that incorporates amendments to the RMP under 40 CFR Part 68. These requirements may have a negative effect on the profitability of our AN business. The Occupational Safety and Health Administration (“OSHA”)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 The EPA has also instituted a mandatory greenhouse gas reporting requirement that began in 2010, which affects all of our chemical manufacturing sites.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greenhouse gas regulation could: increase the price of the electricity and other energy sources purchased by our chemical facilities; increase costs for natural gas and other raw materials (such as ammonia); potentially restrict access to or the use of certain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instance, the EPA published a rule, known as the Clean Power Plan, to limit greenhouse gases from electric power plants. The EPA is currently reviewing the Clean Power Plan however, it could result in increased electricity costs due to increased requirements for use of alternative energy sources, and a decreased demand for coal-generated electricity.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regulations or other issues related to climate change could have a material adverse effect on us.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reduction of carbon footprints and/or greenhouse gas emissions. Other countries have enacted climate change laws and regulations and the United States has been involved in discussions regarding international climate change treaties. The federal government and some of the states and localities in which we operate have enacted certain climate change laws and regulations and/or have begun regulating carbon footprints and 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 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and changing temperatures. Any of these matters could have a material adverse effect on 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of our stockholders control a significant amount of our voting stock, and their interests could conflict with interests of other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LSB Funding LLC (“LSB Funding”), our largest voting shareholder, owns one share of Series F redeemable Class C preferred stock (the “Series F Redeemable Preferred”), which has voting rights with common stock equal to 15.7% of the total voting power of LSB’s common stock as of February 15, 2019.</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Jack E. Golsen (“J. Golsen”), Steven J. Golsen (“S. Golsen”), Barry H. Golsen (“B. Golsen”), Linda Golsen Rappaport (“L. Rappaport”), Golsen Family LLC, an Oklahoma limited liability company (“Family LLC”), SBL LLC, an Oklahoma limited liability company (“SBL LLC”), and Golsen Petroleum Corp., an Oklahoma corporation (“GPC,” and together with Messrs. J. Golsen, S. Golsen and B. Golsen, Ms. L. Rappaport, Family LLC, SBL LLC, each a “Golsen Holder” and, collectively, the “Golsen Holders”) owned as of February 15, 2019, an aggregate of 2,185,517 shares of our common stock and 1,020,000 shares of our voting preferred stock (1,000,000 of which shares have .875 votes per share, or 875,000 votes), which together vote as a class and represent approximately 10.4% of the voting power (prior to conversion of the shares of voting preferred) of our issued and outstanding voting securities as of that date. The series of preferred represented by the 20,000 shares of voting preferred is convertible into an aggregate of 666,666 shares of our common stock.</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 Board Representation and Standstill Agreement entered into in connection with LSB Funding’s purchase of preferred stock in December 2015, as amended in October 2017 and 2018, LSB Funding has the right to designate two directors on our Board, and the Golsen Holders have the right to appoint two directors on our Board, subject to reduction in each case in certain circumstances. This is in addition to their ability to vote generally in the election of directors. As a result, each of LSB Funding and the Golsen Holders have significant influence over the election of directors to our Board.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interests of LSB Funding and the Golsen Holders may conflict with interests of other stockholders (as well as with each other). As a result of the voting power and board designation rights of LSB Funding and the Golsen Holders, the ability of other stockholders to influence our management and policies could be limited.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authorized and unissued (including shares held in treasury) 46,155,095 shares of common stock and 4,090,231 shares of preferred stock as of December 31, 2018. These unissued shares could be used by our management to make it more difficult, and thereby discourage an attempt to acquire control of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provisions and agreements may discourage a third-party tender offer, proxy contest, or other attempts to acquire control of us and could have the effect of making it more difficult to remove incumbent management. In addition, LSB Funding and the Golsen Holders have significant voting power and rights to designate board representatives, all of which may further discourage a third-party tender offer, proxy contest, or other attempts to acquire control of us.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54" w:lineRule="exact"/>
        <w:rPr>
          <w:sz w:val="20"/>
          <w:szCs w:val="20"/>
          <w:color w:val="auto"/>
        </w:rPr>
      </w:pPr>
    </w:p>
    <w:p>
      <w:pPr>
        <w:ind w:left="104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the corporation approved the business combination that results in the stockholder becoming an invested stockholder;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acquirer owned at least 85% of the outstanding voting stock of such company prior to commencement of the transaction;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stockholders, other than the acquirer, vote to approve the business combination after approval thereof by the Board;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amend its articles of incorporation or by-laws electing not to be governed by this provision.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80"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liquidity outlook;</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our chemical products and related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effect on the nitrogen market from the current nitrogen expansion projects;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the lack of non-seasonal volume;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competition is based upon service, price, location of production and distribution sites, and product quality and performance;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the coal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our product and market diversification strategy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fertilizer production;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output and capacity of our existing production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on-stream rates at our production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moderate risk inherent in agricultural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to fund our cash needs and how this cash will be used;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into the additional borrowings;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and timing of our capital projects;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covered under warranty provisions;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to our customers cost increases in the form of higher prices;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whether we have sufficient sources for materials and components;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natural gas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our Facilities with the terms of our permits;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environmental laws, health laws, security regulations and transportation regulations;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when Turnarounds will be performed and completed;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costs of Turnarounds during 2019;</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environmental projects;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and other contingencies;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depreciation, depletion and amortization;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from the El Dorado expansion project;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debt servicing and covenants;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maturities or redemption obligations when due;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as to whether we can meet all required covenant tests for the next twelve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68"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reductions in revenues;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in a timely manner a material amount of receivables;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increases in prices of raw materials;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especially environmental regulations or the American Reinvestment and Recovery Act, or in the interpretation of such;</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other issues related to climate change;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due in the near future;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existing indebtedness;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certain precious metals, natural gas, and ammonia;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due to financial covenants;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to maintain internal controls over financial reporting;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fund the working capital and expansion of our businesses;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downtime at one or more of our chemical facilities;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any of our chemical plants;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raw materials and purchased components;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cost of raw materials;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retain our insurance coverage;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necessary permits;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third-party financing;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proxy contests initiated by dissident stockholders;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fertilizer production;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acres planted for crops requiring fertilizer;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duties for products we sell resulting in an increase in imported products into the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natural gas prices;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imported agricultural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the MD&amp;A contained in this report;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“Risk Factors” contained in this report.</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ADEQ</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The Arkansas Department of Environmental Quality.</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Ammonium nitrate.</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ARO</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 Update.</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Golsen</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Barry H. Golsen.</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BAE</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BAE Systems Ordinance Systems, Inc.</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Baytown Facility</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The nitric acid production facility located in Baytown, Texas.</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CAO</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A consent administrative order.</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CEO</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Cherokee Facility</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Our chemical production facility located in Cherokee, Alabama.</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Chevron</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Chevron Environmental Management Company.</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Climate Control Business</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Former business conducted through the Climate Control Group.</w:t>
            </w:r>
          </w:p>
        </w:tc>
      </w:tr>
      <w:tr>
        <w:trPr>
          <w:trHeight w:val="292"/>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Climate Control Group</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Climate Control Group, Inc., a former direct, wholly owned subsidiary of Consolidated and an indirect subsidiary</w:t>
            </w:r>
          </w:p>
        </w:tc>
      </w:tr>
      <w:tr>
        <w:trPr>
          <w:trHeight w:val="234"/>
        </w:trPr>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LSB.</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Covestro</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The party with whom our subsidiary, EDN, has entered the Covestro Agreement.</w:t>
            </w:r>
          </w:p>
        </w:tc>
      </w:tr>
      <w:tr>
        <w:trPr>
          <w:trHeight w:val="292"/>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Covestro Agreement</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A long-term contract that (a) allows us to pass-through most of the costs of producing the nitric acid that</w:t>
            </w:r>
          </w:p>
        </w:tc>
      </w:tr>
      <w:tr>
        <w:trPr>
          <w:trHeight w:val="216"/>
        </w:trPr>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Covestro purchases, including the cost of ammonia; (b) to receive management fees for managing the operations</w:t>
            </w:r>
          </w:p>
        </w:tc>
      </w:tr>
      <w:tr>
        <w:trPr>
          <w:trHeight w:val="216"/>
        </w:trPr>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marketing nitric acid at the Baytown Facility and; (c) to receive a portion of any carbon credits that are</w:t>
            </w:r>
          </w:p>
        </w:tc>
      </w:tr>
      <w:tr>
        <w:trPr>
          <w:trHeight w:val="234"/>
        </w:trPr>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sold. The term of this agreement runs until June 2021 with options for renewal.</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CVR</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Coffeyville Resources Nitrogen Fertilizers, LLC.</w:t>
            </w:r>
          </w:p>
        </w:tc>
      </w:tr>
      <w:tr>
        <w:trPr>
          <w:trHeight w:val="292"/>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CVR Purchase Agreement</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An agreement between PCC and CVR, whereby CVR has agreed to purchase certain volumes of UAN from</w:t>
            </w:r>
          </w:p>
        </w:tc>
      </w:tr>
      <w:tr>
        <w:trPr>
          <w:trHeight w:val="234"/>
        </w:trPr>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PCC.</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DD&amp;A</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Depreciation, depletion and amortization.</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Diesel Exhaust Fluid.</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DHS</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The U.S. Department of Homeland Security.</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EDA</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El Dorado Ammonia L.L.C.</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EDC</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El Dorado Chemical Company.</w:t>
            </w:r>
          </w:p>
        </w:tc>
      </w:tr>
      <w:tr>
        <w:trPr>
          <w:trHeight w:val="3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EDN</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El Dorado Nitrogen L.L.C.</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EIA</w:t>
            </w:r>
          </w:p>
        </w:tc>
        <w:tc>
          <w:tcPr>
            <w:tcW w:w="8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The U.S. Energy Information Administration.</w:t>
            </w:r>
          </w:p>
        </w:tc>
      </w:tr>
      <w:tr>
        <w:trPr>
          <w:trHeight w:val="527"/>
        </w:trPr>
        <w:tc>
          <w:tcPr>
            <w:tcW w:w="2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21</w:t>
            </w:r>
          </w:p>
        </w:tc>
      </w:tr>
      <w:tr>
        <w:trPr>
          <w:trHeight w:val="115"/>
        </w:trPr>
        <w:tc>
          <w:tcPr>
            <w:tcW w:w="24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 Dorado Facility</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Our chemical production facility located in El Dorado, Arkansas.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Environmental and Health Laws</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Numerous federal, state and local environmental, health and safety laws.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ERP</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Enterprise Resource Planning Software.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EPA</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U.S. Environmental Protection Agency.</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Family LLC</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Golsen Family LLC, an Oklahoma limited liability company.</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Financial Accounting Standards Board.</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Certain springing financial covenants associated with the working capital revolver loan.</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U.S. Generally Accepted Accounting Principles.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Global</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Global Industrial, Inc., a subcontractor asserting mechanics liens for work rendered to LSB and EDC.</w:t>
            </w:r>
          </w:p>
        </w:tc>
      </w:tr>
      <w:tr>
        <w:trPr>
          <w:trHeight w:val="29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Golsen Holders</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Jack E. Golsen (“J. Golsen”), Steven J. Golsen (“S. Golsen”), Barry H. Golsen (“B. Golsen”), Linda Golsen</w:t>
            </w:r>
          </w:p>
        </w:tc>
      </w:tr>
      <w:tr>
        <w:trPr>
          <w:trHeight w:val="216"/>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Rappaport (“L. Rappaport”), Golsen Family LLC, an Oklahoma limited liability company (“Family LLC”), SBL</w:t>
            </w:r>
          </w:p>
        </w:tc>
      </w:tr>
      <w:tr>
        <w:trPr>
          <w:trHeight w:val="216"/>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LLC, an Oklahoma limited liability company (“SBL LLC”), and Golsen Petroleum Corp., an Oklahoma</w:t>
            </w:r>
          </w:p>
        </w:tc>
      </w:tr>
      <w:tr>
        <w:trPr>
          <w:trHeight w:val="216"/>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 (“GPC,” and together with Messrs. J. Golsen, S. Golsen and B. Golsen, Ms. L. Rappaport, Family</w:t>
            </w:r>
          </w:p>
        </w:tc>
      </w:tr>
      <w:tr>
        <w:trPr>
          <w:trHeight w:val="234"/>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LLC, SBL LLC, each a “Golsen Holder” and, collectively, the “Golsen Holders”).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GPC</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Golsen Petroleum Corp., an Oklahoma corporation.</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Hallowell Facility</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A chemical facility previously owned by two of our subsidiaries located in Kansas.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HDAN</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High density ammonium nitrate prills used in the agricultural industry.</w:t>
            </w:r>
          </w:p>
        </w:tc>
      </w:tr>
      <w:tr>
        <w:trPr>
          <w:trHeight w:val="3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IRS</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U.S. Internal Revenue Service.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Golsen</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 E. Golsen.</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KDHE</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Kansas Department of Health and Environment.</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Koch Fertilizer</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Koch Fertilizer L.L.C.</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LDAN</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Low density ammonium nitrate prills used in the mining industry.</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Leidos</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Leidos Constructors L.L.C.</w:t>
            </w:r>
          </w:p>
        </w:tc>
      </w:tr>
      <w:tr>
        <w:trPr>
          <w:trHeight w:val="29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Series E Redeemable Preferred liquidation preference of $1,000 per share plus accrued and unpaid dividends</w:t>
            </w:r>
          </w:p>
        </w:tc>
      </w:tr>
      <w:tr>
        <w:trPr>
          <w:trHeight w:val="234"/>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plus the participation rights value.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LSB</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LSB Industries, Inc.</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LSB Funding</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LSB Funding L.L.C.</w:t>
            </w:r>
          </w:p>
        </w:tc>
      </w:tr>
      <w:tr>
        <w:trPr>
          <w:trHeight w:val="29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MD&amp;A</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 found in Item 7 of this</w:t>
            </w:r>
          </w:p>
        </w:tc>
      </w:tr>
      <w:tr>
        <w:trPr>
          <w:trHeight w:val="234"/>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w:t>
            </w:r>
          </w:p>
        </w:tc>
      </w:tr>
      <w:tr>
        <w:trPr>
          <w:trHeight w:val="29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NIBE</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NIBE Industrier AB (publ). and NIBE Energy Systems Inc., an indirect wholly owned subsidiary of NIBE</w:t>
            </w:r>
          </w:p>
        </w:tc>
      </w:tr>
      <w:tr>
        <w:trPr>
          <w:trHeight w:val="234"/>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Industrier AB.</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NOL</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NPDES</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National Pollutant Discharge Elimination.</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ODEQ</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Oklahoma Department of Environmental Quality.</w:t>
            </w:r>
          </w:p>
        </w:tc>
      </w:tr>
      <w:tr>
        <w:trPr>
          <w:trHeight w:val="3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OSHA</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Occupational Safety and Health Administration.</w:t>
            </w:r>
          </w:p>
        </w:tc>
      </w:tr>
      <w:tr>
        <w:trPr>
          <w:trHeight w:val="3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PBRS</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Performance-based restricted stock.</w:t>
            </w:r>
          </w:p>
        </w:tc>
      </w:tr>
      <w:tr>
        <w:trPr>
          <w:trHeight w:val="3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PCC</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Pryor Chemical Company.</w:t>
            </w:r>
          </w:p>
        </w:tc>
      </w:tr>
      <w:tr>
        <w:trPr>
          <w:trHeight w:val="3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PP&amp;E</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Plant, property and equipment.</w:t>
            </w:r>
          </w:p>
        </w:tc>
      </w:tr>
      <w:tr>
        <w:trPr>
          <w:trHeight w:val="3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Pryor Facility</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Our chemical production facility located in Pryor, Oklahoma.</w:t>
            </w:r>
          </w:p>
        </w:tc>
      </w:tr>
      <w:tr>
        <w:trPr>
          <w:trHeight w:val="554"/>
        </w:trPr>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22</w:t>
            </w:r>
          </w:p>
        </w:tc>
      </w:tr>
      <w:tr>
        <w:trPr>
          <w:trHeight w:val="115"/>
        </w:trPr>
        <w:tc>
          <w:tcPr>
            <w:tcW w:w="2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LSB Funding L.L.C.</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Date</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Date of retirement of Jack E. Golsen as Executive Chairman of the Board, December 31, 2017.</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RFS</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Federal renewable fuel standards.</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RMP</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Management Program.</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RSU</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SBL LLC</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SBL LLC, an Oklahoma limited liability company.</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 Golsen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Steven J. Golsen.</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U.S. Securities and Exchange Commission.</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2019</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secured promissory note between EDC and a lender which matures in June 2019.</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2021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secured promissory note between EDC and a lender which matures in March 2021.</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2023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secured promissory note between EDA and a lender which matures in May 2023.</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Senior Secured Notes due on May 1, 2023 with a stated interest rate of 9.625%.</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Series B 12% cumulative convertible Class C Preferred stock.</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D Preferred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Series D 6% cumulative convertible Class C preferred stock.</w:t>
            </w:r>
          </w:p>
        </w:tc>
      </w:tr>
      <w:tr>
        <w:trPr>
          <w:trHeight w:val="29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E Redeemable Preferred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14% Series E Redeemable Preferred stock with participating rights and liquidating distributions based on a</w:t>
            </w:r>
          </w:p>
        </w:tc>
      </w:tr>
      <w:tr>
        <w:trPr>
          <w:trHeight w:val="216"/>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number of shares of our common stock, including the amended terms discussed in Note 11 to the</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9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F Redeemable Preferred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Series F Redeemable Preferred stock with one share to vote as a single class on all matters with our common</w:t>
            </w:r>
          </w:p>
        </w:tc>
      </w:tr>
      <w:tr>
        <w:trPr>
          <w:trHeight w:val="216"/>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equal to 456,225 shares of our common stock, including the amended terms discussed in Note 11 to the</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Selling, general and administrative expense.</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Cut Act</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Tax Cuts and Jobs Act of 2017.</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Transition Agreement</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An agreement between Jack Golsen and LSB, dated June 30, 2017.</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TSA</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transition services agreement.</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Turnaround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planned major maintenance activity.</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UAN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Urea ammonia nitrate.</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USDA</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United States Department of Agriculture.</w:t>
            </w:r>
          </w:p>
        </w:tc>
      </w:tr>
      <w:tr>
        <w:trPr>
          <w:trHeight w:val="29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warrant to purchase 4,103,746 shares of our common stock at a par value $0.10, which was held by LSB</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LLC.</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WASDE</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World Agricultural Supply and Demand Estimates Report.</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West Fertilizer</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 Fertilizer Company.</w:t>
            </w:r>
          </w:p>
        </w:tc>
      </w:tr>
      <w:tr>
        <w:trPr>
          <w:trHeight w:val="28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Our secured revolving credit facility.</w:t>
            </w: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Revolver Loan</w:t>
            </w:r>
          </w:p>
        </w:tc>
        <w:tc>
          <w:tcPr>
            <w:tcW w:w="300" w:type="dxa"/>
            <w:vAlign w:val="bottom"/>
          </w:tcPr>
          <w:p>
            <w:pPr>
              <w:spacing w:after="0"/>
              <w:rPr>
                <w:sz w:val="20"/>
                <w:szCs w:val="20"/>
                <w:color w:val="auto"/>
              </w:rPr>
            </w:pPr>
          </w:p>
        </w:tc>
        <w:tc>
          <w:tcPr>
            <w:tcW w:w="8340" w:type="dxa"/>
            <w:vAlign w:val="bottom"/>
          </w:tcPr>
          <w:p>
            <w:pPr>
              <w:spacing w:after="0"/>
              <w:rPr>
                <w:sz w:val="20"/>
                <w:szCs w:val="20"/>
                <w:color w:val="auto"/>
              </w:rPr>
            </w:pP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Zena</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Zena Energy L.L.C., a former subsidiary of the Company.</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Senior Secured Notes</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former $50 million aggregate principal amount of 12% Senior Secured Notes.</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2005 Agreement</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death benefit agreement with Jack E. Golsen.</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2008 Plan</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2008 Incentive Stock Plan.</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 Plan</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2016 Long Term Incentive Plan.</w:t>
            </w:r>
          </w:p>
        </w:tc>
      </w:tr>
      <w:tr>
        <w:trPr>
          <w:trHeight w:val="527"/>
        </w:trPr>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23</w:t>
            </w:r>
          </w:p>
        </w:tc>
      </w:tr>
      <w:tr>
        <w:trPr>
          <w:trHeight w:val="115"/>
        </w:trPr>
        <w:tc>
          <w:tcPr>
            <w:tcW w:w="2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 Crop</w:t>
            </w: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Corn crop marketing year (September 1</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August 31), which began in 2016 and ended in 2017.</w:t>
            </w:r>
          </w:p>
        </w:tc>
      </w:tr>
      <w:tr>
        <w:trPr>
          <w:trHeight w:val="311"/>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 Crop</w:t>
            </w: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Corn crop marketing year (September 1</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August 31), which began in 2017 and ending in 2018.</w:t>
            </w:r>
          </w:p>
        </w:tc>
      </w:tr>
      <w:tr>
        <w:trPr>
          <w:trHeight w:val="3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2019 Crop</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Corn crop marketing year (September 1</w:t>
            </w:r>
          </w:p>
        </w:tc>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August 31), which began in 2018 and ending in 2019.</w:t>
            </w:r>
          </w:p>
        </w:tc>
      </w:tr>
      <w:tr>
        <w:trPr>
          <w:trHeight w:val="311"/>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7.75% Senior Secured Notes</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former $425 million aggregate principal amount of 7.75% Senior Secured Notes issued pursuant to the</w:t>
            </w:r>
          </w:p>
        </w:tc>
      </w:tr>
    </w:tbl>
    <w:p>
      <w:pPr>
        <w:ind w:left="3220" w:right="20"/>
        <w:spacing w:after="0" w:line="261" w:lineRule="auto"/>
        <w:rPr>
          <w:sz w:val="20"/>
          <w:szCs w:val="20"/>
          <w:color w:val="auto"/>
        </w:rPr>
      </w:pPr>
      <w:r>
        <w:rPr>
          <w:rFonts w:ascii="Times New Roman" w:cs="Times New Roman" w:eastAsia="Times New Roman" w:hAnsi="Times New Roman"/>
          <w:sz w:val="18"/>
          <w:szCs w:val="18"/>
          <w:color w:val="auto"/>
        </w:rPr>
        <w:t>Original 7.75% Indenture, subsequently amended under the Supplemental Indenture, with a current interest rate of 8.50%.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significant properties for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El Dorado</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Cherokee</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Baytown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0" w:type="dxa"/>
            <w:vAlign w:val="bottom"/>
          </w:tcPr>
          <w:p>
            <w:pPr>
              <w:spacing w:after="0"/>
              <w:rPr>
                <w:sz w:val="1"/>
                <w:szCs w:val="1"/>
                <w:color w:val="auto"/>
              </w:rPr>
            </w:pPr>
          </w:p>
        </w:tc>
      </w:tr>
      <w:tr>
        <w:trPr>
          <w:trHeight w:val="149"/>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8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Pryor Facility</w:t>
            </w: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340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40" w:type="dxa"/>
            <w:vAlign w:val="bottom"/>
            <w:gridSpan w:val="2"/>
            <w:vMerge w:val="continue"/>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El Dorado, AR</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Cherokee, AL</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Pryor, OK</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Baytown, TX</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Plant Area (acres)</w:t>
            </w:r>
          </w:p>
        </w:tc>
        <w:tc>
          <w:tcPr>
            <w:tcW w:w="2920" w:type="dxa"/>
            <w:vAlign w:val="bottom"/>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Site Area (acres)</w:t>
            </w:r>
          </w:p>
        </w:tc>
        <w:tc>
          <w:tcPr>
            <w:tcW w:w="292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rPr>
              <w:t>1,400</w:t>
            </w:r>
          </w:p>
        </w:tc>
        <w:tc>
          <w:tcPr>
            <w:tcW w:w="126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Covestro site</w:t>
            </w: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Site Status</w:t>
            </w: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Operating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Owned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Owned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Agreement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Capacity Utilization</w:t>
            </w:r>
          </w:p>
        </w:tc>
        <w:tc>
          <w:tcPr>
            <w:tcW w:w="184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84% (B)</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7"/>
              </w:rPr>
              <w:t>86% (C)</w:t>
            </w:r>
          </w:p>
        </w:tc>
        <w:tc>
          <w:tcPr>
            <w:tcW w:w="12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82% (D)</w:t>
            </w:r>
          </w:p>
        </w:tc>
        <w:tc>
          <w:tcPr>
            <w:tcW w:w="12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9"/>
              </w:rPr>
              <w:t>83% (E)</w:t>
            </w: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80" w:hanging="372"/>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 our agricultural products through 10 wholesale and retail distribution centers, with 9 of the centers located in Texas (8 of which we own and 1 of which we lease); and 1 center located in Missouri (owned).</w:t>
      </w:r>
    </w:p>
    <w:p>
      <w:pPr>
        <w:ind w:left="380" w:hanging="372"/>
        <w:spacing w:after="0" w:line="250"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utilization for the El Dorado Facility relates to its ammonia production capacity. The capacity utilization rate is based on optimal 1,350 tons per day of production. We are currently producing at above 1,300 tons per day. The listed rate excludes 12 Turnaround days during 2018.</w:t>
      </w:r>
    </w:p>
    <w:p>
      <w:pPr>
        <w:ind w:left="380" w:hanging="372"/>
        <w:spacing w:after="0" w:line="250"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utilization for the Cherokee Facility relates to its ammonia production capacity and is based on 515 tons per day of production for the year. The listed rate excludes 35 Turnaround days during 2018.</w:t>
      </w:r>
    </w:p>
    <w:p>
      <w:pPr>
        <w:jc w:val="both"/>
        <w:ind w:left="380" w:hanging="372"/>
        <w:spacing w:after="0" w:line="250"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utilization for the Pryor Facility relates to its ammonia production capacity and is based on 675 tons per day of production for the year. We did not perform a Turnaround during 2018. The Pryor Facility has additional operational capacity for nitric acid and AN solution in excess of its current ammonia capacity.</w:t>
      </w:r>
    </w:p>
    <w:p>
      <w:pPr>
        <w:spacing w:after="0" w:line="1"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utilization for the Baytown Facility relates to its nitric acid production capacity and is based on 1,530 tons per day of production for the year. The listed rate excludes 24 Turnaround days during 2018.</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Most of our real property and equipment located at our chemical facilities are being used to secure our long-term debt. All of the properties utilized by our businesses are suitable and adequate to meet the current needs of that business and relate to domestic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Legal Matters under Note 9 to the Consolidated Financial Statements included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trading on the New York Stock Exchange under the symbol “LXU”.</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15, 2019, we had approximately 414 record holders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Discussions relating to our equity compensation plans under Item 12 of Part III are incorporated by reference to our definitive proxy statement which we intend to file with the SEC on or before April 30,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 of Unregistered Securities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in 2018 that have not been previously reported in a Quarterly Report on Form 10-Q or Current Report on Form 8-K.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 (1)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r>
      <w:tr>
        <w:trPr>
          <w:trHeight w:val="156"/>
        </w:trPr>
        <w:tc>
          <w:tcPr>
            <w:tcW w:w="5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gridSpan w:val="5"/>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rPr>
              <w:t>(In Thousands, Except Per Share Data)</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Selected Statement of Operations Data in Dollars: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 (2)</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378,160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427,504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374,585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437,695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495,888</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income (loss)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(90,223)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43,064</w:t>
            </w:r>
          </w:p>
        </w:tc>
        <w:tc>
          <w:tcPr>
            <w:tcW w:w="20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37,267</w:t>
            </w:r>
          </w:p>
        </w:tc>
        <w:tc>
          <w:tcPr>
            <w:tcW w:w="20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30,945</w:t>
            </w:r>
          </w:p>
        </w:tc>
        <w:tc>
          <w:tcPr>
            <w:tcW w:w="22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7,371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21,599</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Provisions (benefit) for income taxes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from discontinued operations, net of taxes (3)</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1,076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200,301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11,381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(29,217)</w:t>
            </w:r>
          </w:p>
        </w:tc>
        <w:tc>
          <w:tcPr>
            <w:tcW w:w="20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112,168</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19,634</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(loss) income attributable to common stockholders</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(102,741)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64,760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20" w:type="dxa"/>
            <w:vAlign w:val="bottom"/>
            <w:shd w:val="clear" w:color="auto" w:fill="CFF0FC"/>
          </w:tcPr>
          <w:p>
            <w:pPr>
              <w:spacing w:after="0"/>
              <w:rPr>
                <w:sz w:val="19"/>
                <w:szCs w:val="19"/>
                <w:color w:val="auto"/>
              </w:rPr>
            </w:pPr>
          </w:p>
        </w:tc>
      </w:tr>
      <w:tr>
        <w:trPr>
          <w:trHeight w:val="211"/>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(loss) per common share attributable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stockholders: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 in Dollars: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9"/>
              </w:rPr>
              <w:t>1,148,333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9"/>
              </w:rPr>
              <w:t>1,189,182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1,270,420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7"/>
              </w:rPr>
              <w:t>1,361,827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1,130,572</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 including current portion, net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425,199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409,399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420,220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520,422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450,885</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202,169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174,959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145,029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177,272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Stockholders' equity</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342,197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438,196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492,513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421,580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434,048</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Other Data in Dollars: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65" w:lineRule="exact"/>
        <w:rPr>
          <w:sz w:val="20"/>
          <w:szCs w:val="20"/>
          <w:color w:val="auto"/>
        </w:rPr>
      </w:pPr>
    </w:p>
    <w:p>
      <w:pPr>
        <w:jc w:val="both"/>
        <w:ind w:left="5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selected consolidated financial data were derived from our audited consolidated financial statements and should be read in conjunction with, and are qualified by reference, to the MD&amp;A contained in Item 7 of Part II of this report. The financial information presented may not be indicative of our future performance.</w:t>
      </w: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concerning the impact from the adoption of ASC 606 in Note 2 to the Consolidated Financial Statements.</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of our discontinued operations in Note 17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MD&amp;A should be read in conjunction with a review of the other Items included in this Form 10-K and our December 31, 2018 Consolidated Financial Statements included elsewhere in this report. Certain statements contained in this MD&amp;A may be deemed to be forward-looking statements. See “Special Note Regarding Forward-Looking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future results of operations and financial condition will depend significantly on our ability to successfully implement the following key initiatives:</w:t>
      </w:r>
    </w:p>
    <w:p>
      <w:pPr>
        <w:spacing w:after="0" w:line="52" w:lineRule="exact"/>
        <w:rPr>
          <w:sz w:val="20"/>
          <w:szCs w:val="20"/>
          <w:color w:val="auto"/>
        </w:rPr>
      </w:pPr>
    </w:p>
    <w:p>
      <w:pPr>
        <w:jc w:val="both"/>
        <w:ind w:left="1040" w:hanging="519"/>
        <w:spacing w:after="0" w:line="254"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On-Stream Rates of our Chemical Plants. </w:t>
      </w:r>
      <w:r>
        <w:rPr>
          <w:rFonts w:ascii="Times New Roman" w:cs="Times New Roman" w:eastAsia="Times New Roman" w:hAnsi="Times New Roman"/>
          <w:sz w:val="18"/>
          <w:szCs w:val="18"/>
          <w:color w:val="auto"/>
        </w:rPr>
        <w:t>Over the past 18 months, our focus has been on upgrading our existing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system through technology enhancements and work processes to improve our predictive and preventative maintenance programs at our facilities. We engaged outside maintenance experts to assist us in expediting implementation and overall use. We have completed the initial implementation. Additionally, beginning in the third quarter of 2018, we engaged outside consultants to do a thorough review of our operating and maintenance procedures and our preventive maintenance programs at all of our facilities in an effort to determine where we may have gaps in procedures and programs and where we may need enhancements. Based on the “Gap Analysis” completed, we have several initiatives underway that we believe will improve the overall reliability of our plants and allow us to produce more products for sale while lowering our cost of production. Those initiatives are focused on operating behavior and procedure enhancements including operator training, leadership training, shift change enhancements and operating and maintenance procedures.</w:t>
      </w:r>
    </w:p>
    <w:p>
      <w:pPr>
        <w:spacing w:after="0" w:line="81"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the Continued Improvement of Our Safety Performance. </w:t>
      </w:r>
      <w:r>
        <w:rPr>
          <w:rFonts w:ascii="Times New Roman" w:cs="Times New Roman" w:eastAsia="Times New Roman" w:hAnsi="Times New Roman"/>
          <w:sz w:val="18"/>
          <w:szCs w:val="18"/>
          <w:color w:val="auto"/>
        </w:rPr>
        <w:t>We believe that high safety standards are critical and a precursor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plant performance. With that in mind, we implemented enhanced safety programs at our facilities that focus on reducing risks and improving our safety culture. As a result of these programs, we significantly lowered our recordable incident rate in 2018 as compared to the prior year and we remain well below the national average for recordable safety incidents.</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5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Broadening of the Distribution of our Products. </w:t>
      </w:r>
      <w:r>
        <w:rPr>
          <w:rFonts w:ascii="Times New Roman" w:cs="Times New Roman" w:eastAsia="Times New Roman" w:hAnsi="Times New Roman"/>
          <w:sz w:val="18"/>
          <w:szCs w:val="18"/>
          <w:color w:val="auto"/>
        </w:rPr>
        <w:t>We increased our overall sales volume of HDAN over the past 24 months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 through various marketing initiatives which include: (1) storing and distributing HDAN at our Pryor Facility which allows us to sell to new markets and customers out of that facility and; (2) educating growers on the agronomic benefits and the additional applications for HDAN. To further leverage our plants’ current production capacity, we are continuing to expand the distribution of our mining products by partnering with customers to take product further into the Western U.S. as well as markets outside the U.S. We also partnered with a current customer to position an emulsion explosives plant at our El Dorado Facility. We began selling product to that facility in the fourth quarter of 2018. We will continue to explore further guest plant opportunities at our facilities in 2019.</w:t>
      </w:r>
    </w:p>
    <w:p>
      <w:pPr>
        <w:spacing w:after="0" w:line="77" w:lineRule="exact"/>
        <w:rPr>
          <w:rFonts w:ascii="Times New Roman" w:cs="Times New Roman" w:eastAsia="Times New Roman" w:hAnsi="Times New Roman"/>
          <w:sz w:val="18"/>
          <w:szCs w:val="18"/>
          <w:color w:val="auto"/>
        </w:rPr>
      </w:pPr>
    </w:p>
    <w:p>
      <w:pPr>
        <w:jc w:val="both"/>
        <w:ind w:left="10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through increased marketing efforts, we increased our sales volumes of nitric acid over the past 24 months by approximately 35%. We continue to focus our efforts to expand our market for our nitric acid products in North America and to fully utilize available nitric acid production capacity of our facilities.</w:t>
      </w:r>
    </w:p>
    <w:p>
      <w:pPr>
        <w:spacing w:after="0" w:line="66"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Margins on Sales of Our Products. </w:t>
      </w:r>
      <w:r>
        <w:rPr>
          <w:rFonts w:ascii="Times New Roman" w:cs="Times New Roman" w:eastAsia="Times New Roman" w:hAnsi="Times New Roman"/>
          <w:sz w:val="18"/>
          <w:szCs w:val="18"/>
          <w:color w:val="auto"/>
        </w:rPr>
        <w:t>Over the last several years, we have focused on increasing our sales volumes to produce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on-stream rates and lower our manufacturing costs per ton of product. In 2019, we will undertake a review of all sales to customers to determine if there are opportunities to improve the margins on sales to those customers and to explore if there are further product upgrading opportunities.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 w:name="page29"/>
    <w:bookmarkEnd w:id="28"/>
    <w:p>
      <w:pPr>
        <w:jc w:val="both"/>
        <w:ind w:left="1040" w:hanging="519"/>
        <w:spacing w:after="0" w:line="25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Focus on Procurement and Logistics. </w:t>
      </w:r>
      <w:r>
        <w:rPr>
          <w:rFonts w:ascii="Times New Roman" w:cs="Times New Roman" w:eastAsia="Times New Roman" w:hAnsi="Times New Roman"/>
          <w:sz w:val="18"/>
          <w:szCs w:val="18"/>
          <w:color w:val="auto"/>
        </w:rPr>
        <w:t>In 2018, we engaged outside experts to assist us in centralizing and expanding our Company-wide procurement efforts. We completed our initial areas of focus during the second quarter of 2018, completed the implementation of those changes, and began to see benefits during the third quarter of 2018. We believe that these efforts along with several additional identified areas of focus, will result in an overall reduction in expenses and capital spend in the aggregate of between $3 million to $5 million on an annualized basis, which we expect to realize over the next 12 to 24 months. Additionally, we will continue to focus on improving the effectiveness and overall cost of our logistics strategy through a centrally managed team focused on building logistics partners that will help us further drive efficiencies in 2019.</w:t>
      </w:r>
    </w:p>
    <w:p>
      <w:pPr>
        <w:spacing w:after="0" w:line="75"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on Improving Our Capital Structure and Overall Cost of Capital. </w:t>
      </w:r>
      <w:r>
        <w:rPr>
          <w:rFonts w:ascii="Times New Roman" w:cs="Times New Roman" w:eastAsia="Times New Roman" w:hAnsi="Times New Roman"/>
          <w:sz w:val="18"/>
          <w:szCs w:val="18"/>
          <w:color w:val="auto"/>
        </w:rPr>
        <w:t>We are actively seeking ways to improve our capital structure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our overall cost of capital. We believe that the improving end markets for our products combined with our improved operating performance will be a benefit in achieving those efforts. As a part of that, in the second quarter of 2018, we refinanced our outstanding Senior Secured Notes. We will continue to actively seek ways to improve our capital structure going forward.</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successfully implement any or all of these initiatives. Even if we successfully implement the initiatives, they may not achieve the results that we expect or desire.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 - 2018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Transaction and Series E Redeemable Preferred Letter Agreement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7 to the Consolidated Financial Statements, on April 25, 2018 (the date of the “Financing Transactions”), we issued $400 million aggregate principal amount of 9.625% Senior Secured Notes due 2023 (the “Senior Secured Notes”). Most of the net proceeds from the Senior Secured Notes were used to repurchase all of our senior secured notes due 2019.</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Note 11, in connection with the financing transactions discussed above, we entered into a letter agreement with the holder of our Series E Redeemable Preferred to extend the date upon which a holder of Series E Redeemable Preferred has the right to elect to have such holder’s shares of Series E Redeemable Preferred redeemed by us from August 2, 2019 to October 25, 2023. The letter agreement also provides for the amendment of certain other terms relating to the Series E Redeemable Preferred, including an increase in the per annum dividend rate payable in respect of the Series E Redeemable Preferred</w:t>
      </w:r>
    </w:p>
    <w:p>
      <w:pPr>
        <w:spacing w:after="0" w:line="3" w:lineRule="exact"/>
        <w:rPr>
          <w:sz w:val="20"/>
          <w:szCs w:val="20"/>
          <w:color w:val="auto"/>
        </w:rPr>
      </w:pPr>
    </w:p>
    <w:p>
      <w:pPr>
        <w:ind w:firstLine="8"/>
        <w:spacing w:after="0" w:line="261"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0.50% on the third anniversary of the financing transactions, (b) by an additional 0.50% on the fourth anniversary of the financing transactions and (c) by an additional 1.0% on the fifth anniversary of the financing transactions.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Completion of a Turnaround at Cherokee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2018, we successfully completed a 35-day Turnaround performed on our plants at our Cherokee Facility. The next Turnaround for this facility is scheduled in 2021. See additional discussion below under “Items Affecting Comparability of Results.”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of Certain Non-Core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2018, we sold certain non-core assets (primarily real estate properties) for approximately $6.0 million of net proceeds and recognized a net gain of approximately $2.4 million that is included in other income. We continue to evaluate our assets to determine if there are additional non-core assets that we should consider monetizing.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Industry Factors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Agricultural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Sales of our agricultural products were approximately 50% of our total net sales for 2018. </w:t>
      </w:r>
      <w:r>
        <w:rPr>
          <w:rFonts w:ascii="Times New Roman" w:cs="Times New Roman" w:eastAsia="Times New Roman" w:hAnsi="Times New Roman"/>
          <w:sz w:val="18"/>
          <w:szCs w:val="18"/>
          <w:color w:val="2E2E2E"/>
        </w:rPr>
        <w:t>The price at which our agricultural products are ultimately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effect product margins.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 Industry reports indicated China’s recent tariffs placed on U.S. soybeans could result in a shift of 2 to 4 million acres that will be rotated from soybeans to corn in this next planting season. The USDA also estimates an increase in 2019 corn acres that is in line with other industry reports ranging between 92 million to 93 million acres. Soybean pricing concerns may drive crop planting selection when final crop choices are made at the farm level. The following February estimates are associated with the corn market: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2019 Crop</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2018 Crop</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Percentage</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2017 Crop</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Percentage</w:t>
            </w:r>
          </w:p>
        </w:tc>
      </w:tr>
      <w:tr>
        <w:trPr>
          <w:trHeight w:val="246"/>
        </w:trPr>
        <w:tc>
          <w:tcPr>
            <w:tcW w:w="388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color w:val="auto"/>
              </w:rPr>
              <w:t xml:space="preserve">February Report </w:t>
            </w:r>
            <w:r>
              <w:rPr>
                <w:rFonts w:ascii="Times New Roman" w:cs="Times New Roman" w:eastAsia="Times New Roman" w:hAnsi="Times New Roman"/>
                <w:sz w:val="14"/>
                <w:szCs w:val="14"/>
                <w:color w:val="auto"/>
              </w:rPr>
              <w:t>(1)</w:t>
            </w:r>
          </w:p>
        </w:tc>
        <w:tc>
          <w:tcPr>
            <w:tcW w:w="24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color w:val="auto"/>
              </w:rPr>
              <w:t xml:space="preserve">February Report </w:t>
            </w:r>
            <w:r>
              <w:rPr>
                <w:rFonts w:ascii="Times New Roman" w:cs="Times New Roman" w:eastAsia="Times New Roman" w:hAnsi="Times New Roman"/>
                <w:sz w:val="14"/>
                <w:szCs w:val="14"/>
                <w:color w:val="auto"/>
              </w:rPr>
              <w:t>(1)</w:t>
            </w:r>
          </w:p>
        </w:tc>
        <w:tc>
          <w:tcPr>
            <w:tcW w:w="24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 xml:space="preserve">Change </w:t>
            </w:r>
            <w:r>
              <w:rPr>
                <w:rFonts w:ascii="Times New Roman" w:cs="Times New Roman" w:eastAsia="Times New Roman" w:hAnsi="Times New Roman"/>
                <w:sz w:val="14"/>
                <w:szCs w:val="14"/>
                <w:color w:val="auto"/>
              </w:rPr>
              <w:t>(2)</w:t>
            </w:r>
          </w:p>
        </w:tc>
        <w:tc>
          <w:tcPr>
            <w:tcW w:w="22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color w:val="auto"/>
              </w:rPr>
              <w:t xml:space="preserve">February Report </w:t>
            </w:r>
            <w:r>
              <w:rPr>
                <w:rFonts w:ascii="Times New Roman" w:cs="Times New Roman" w:eastAsia="Times New Roman" w:hAnsi="Times New Roman"/>
                <w:sz w:val="14"/>
                <w:szCs w:val="14"/>
                <w:color w:val="auto"/>
              </w:rPr>
              <w:t>(1)</w:t>
            </w:r>
          </w:p>
        </w:tc>
        <w:tc>
          <w:tcPr>
            <w:tcW w:w="24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 xml:space="preserve">Change </w:t>
            </w:r>
            <w:r>
              <w:rPr>
                <w:rFonts w:ascii="Times New Roman" w:cs="Times New Roman" w:eastAsia="Times New Roman" w:hAnsi="Times New Roman"/>
                <w:sz w:val="14"/>
                <w:szCs w:val="14"/>
                <w:color w:val="auto"/>
              </w:rPr>
              <w:t>(3)</w:t>
            </w:r>
          </w:p>
        </w:tc>
        <w:tc>
          <w:tcPr>
            <w:tcW w:w="220" w:type="dxa"/>
            <w:vAlign w:val="bottom"/>
            <w:tcBorders>
              <w:bottom w:val="single" w:sz="8" w:color="CFF0FC"/>
            </w:tcBorders>
          </w:tcPr>
          <w:p>
            <w:pPr>
              <w:spacing w:after="0"/>
              <w:rPr>
                <w:sz w:val="21"/>
                <w:szCs w:val="2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Area Planted </w:t>
            </w:r>
            <w:r>
              <w:rPr>
                <w:rFonts w:ascii="Times New Roman" w:cs="Times New Roman" w:eastAsia="Times New Roman" w:hAnsi="Times New Roman"/>
                <w:sz w:val="14"/>
                <w:szCs w:val="14"/>
                <w:i w:val="1"/>
                <w:iCs w:val="1"/>
                <w:color w:val="auto"/>
              </w:rPr>
              <w:t>(Million acres)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Yield per Acre </w:t>
            </w:r>
            <w:r>
              <w:rPr>
                <w:rFonts w:ascii="Times New Roman" w:cs="Times New Roman" w:eastAsia="Times New Roman" w:hAnsi="Times New Roman"/>
                <w:sz w:val="14"/>
                <w:szCs w:val="14"/>
                <w:i w:val="1"/>
                <w:iCs w:val="1"/>
                <w:color w:val="auto"/>
              </w:rPr>
              <w:t>(Bushels)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Production </w:t>
            </w:r>
            <w:r>
              <w:rPr>
                <w:rFonts w:ascii="Times New Roman" w:cs="Times New Roman" w:eastAsia="Times New Roman" w:hAnsi="Times New Roman"/>
                <w:sz w:val="14"/>
                <w:szCs w:val="14"/>
                <w:i w:val="1"/>
                <w:iCs w:val="1"/>
                <w:color w:val="auto"/>
              </w:rPr>
              <w:t>(Million bushels)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Ending Stocks </w:t>
            </w:r>
            <w:r>
              <w:rPr>
                <w:rFonts w:ascii="Times New Roman" w:cs="Times New Roman" w:eastAsia="Times New Roman" w:hAnsi="Times New Roman"/>
                <w:sz w:val="14"/>
                <w:szCs w:val="14"/>
                <w:i w:val="1"/>
                <w:iCs w:val="1"/>
                <w:color w:val="auto"/>
              </w:rPr>
              <w:t>(Million metric tons)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World Ending Stocks </w:t>
            </w:r>
            <w:r>
              <w:rPr>
                <w:rFonts w:ascii="Times New Roman" w:cs="Times New Roman" w:eastAsia="Times New Roman" w:hAnsi="Times New Roman"/>
                <w:sz w:val="14"/>
                <w:szCs w:val="14"/>
                <w:i w:val="1"/>
                <w:iCs w:val="1"/>
                <w:color w:val="auto"/>
              </w:rPr>
              <w:t>(Million metric tons)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25" w:lineRule="exact"/>
        <w:rPr>
          <w:sz w:val="20"/>
          <w:szCs w:val="20"/>
          <w:color w:val="auto"/>
        </w:rPr>
      </w:pPr>
    </w:p>
    <w:p>
      <w:pPr>
        <w:ind w:left="520" w:right="20" w:hanging="512"/>
        <w:spacing w:after="0" w:line="261" w:lineRule="auto"/>
        <w:tabs>
          <w:tab w:leader="none" w:pos="520" w:val="left"/>
        </w:tabs>
        <w:numPr>
          <w:ilvl w:val="0"/>
          <w:numId w:val="18"/>
        </w:numPr>
        <w:rPr>
          <w:rFonts w:ascii="Times New Roman" w:cs="Times New Roman" w:eastAsia="Times New Roman" w:hAnsi="Times New Roman"/>
          <w:sz w:val="18"/>
          <w:szCs w:val="18"/>
          <w:color w:val="2E2E2E"/>
        </w:rPr>
      </w:pPr>
      <w:r>
        <w:rPr>
          <w:rFonts w:ascii="Times New Roman" w:cs="Times New Roman" w:eastAsia="Times New Roman" w:hAnsi="Times New Roman"/>
          <w:sz w:val="18"/>
          <w:szCs w:val="18"/>
          <w:color w:val="auto"/>
        </w:rPr>
        <w:t>Information obtained from WASDE reports dated February 8, 2019 (February Report) for the 2018/2019 (“2019 Crop”), 2017/2018 (“2018 Crop”) and 2016/2017 (“2016”) corn marketing years.</w:t>
      </w:r>
    </w:p>
    <w:p>
      <w:pPr>
        <w:ind w:left="520" w:hanging="512"/>
        <w:spacing w:after="0"/>
        <w:tabs>
          <w:tab w:leader="none" w:pos="520" w:val="left"/>
        </w:tabs>
        <w:numPr>
          <w:ilvl w:val="0"/>
          <w:numId w:val="18"/>
        </w:numPr>
        <w:rPr>
          <w:rFonts w:ascii="Times New Roman" w:cs="Times New Roman" w:eastAsia="Times New Roman" w:hAnsi="Times New Roman"/>
          <w:sz w:val="18"/>
          <w:szCs w:val="18"/>
          <w:color w:val="2E2E2E"/>
        </w:rPr>
      </w:pPr>
      <w:r>
        <w:rPr>
          <w:rFonts w:ascii="Times New Roman" w:cs="Times New Roman" w:eastAsia="Times New Roman" w:hAnsi="Times New Roman"/>
          <w:sz w:val="18"/>
          <w:szCs w:val="18"/>
          <w:color w:val="auto"/>
        </w:rPr>
        <w:t>Represents the percentage change between the 2019 Crop amounts compared to the 2018 Crop amounts.</w:t>
      </w:r>
    </w:p>
    <w:p>
      <w:pPr>
        <w:spacing w:after="0" w:line="9" w:lineRule="exact"/>
        <w:rPr>
          <w:rFonts w:ascii="Times New Roman" w:cs="Times New Roman" w:eastAsia="Times New Roman" w:hAnsi="Times New Roman"/>
          <w:sz w:val="18"/>
          <w:szCs w:val="18"/>
          <w:color w:val="2E2E2E"/>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2E2E2E"/>
        </w:rPr>
      </w:pPr>
      <w:r>
        <w:rPr>
          <w:rFonts w:ascii="Times New Roman" w:cs="Times New Roman" w:eastAsia="Times New Roman" w:hAnsi="Times New Roman"/>
          <w:sz w:val="18"/>
          <w:szCs w:val="18"/>
          <w:color w:val="auto"/>
        </w:rPr>
        <w:t>Represents the percentage change between the 2019 Crop amounts compared to the 2017 Crop amounts.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Since those announcements, global nitrogen fertilizer supply has outpaced global nitrogen fertilizer demand causing oversupply in the global and North American markets. The increased fertilizer supply led to lower nitrogen fertilizer sale prices during most of 2017. Also, additional domestic supply of ammonia and other fertilizer products changed the physical flow of ammonia in North America placing pressure on ammonia and other fertilizer prices until the distribution system accepted the new supply. Beginning in the fourth quarter of 2017 and through 2018, we have seen an increase in fertilizer prices as imports of fertilizers have decreased significantly and the distribution of the new domestic supply of fertilizer has been established. We expect this trend to continue into 2019.</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Industrial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industrial products were approximately 39% of our total net sales for 2018. Our industrial products sales volumes are dependent upon general economic conditions primarily in the housing, automotive, and paper industries. According to the American Chemistry Council, the U.S. economic indicators continue to be positive for these sectors domestically. Our sales prices generally vary with the market price of ammonia or natural gas, as applicable, in our pricing arrangements with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Mining</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E2E2E"/>
        </w:rPr>
        <w:t xml:space="preserve">Sales of our mining products were approximately </w:t>
      </w:r>
      <w:r>
        <w:rPr>
          <w:rFonts w:ascii="Times New Roman" w:cs="Times New Roman" w:eastAsia="Times New Roman" w:hAnsi="Times New Roman"/>
          <w:sz w:val="18"/>
          <w:szCs w:val="18"/>
          <w:color w:val="000000"/>
        </w:rPr>
        <w:t>11%</w:t>
      </w:r>
      <w:r>
        <w:rPr>
          <w:rFonts w:ascii="Times New Roman" w:cs="Times New Roman" w:eastAsia="Times New Roman" w:hAnsi="Times New Roman"/>
          <w:sz w:val="18"/>
          <w:szCs w:val="18"/>
          <w:color w:val="2E2E2E"/>
        </w:rPr>
        <w:t xml:space="preserve"> of o</w:t>
      </w:r>
      <w:r>
        <w:rPr>
          <w:rFonts w:ascii="Times New Roman" w:cs="Times New Roman" w:eastAsia="Times New Roman" w:hAnsi="Times New Roman"/>
          <w:sz w:val="18"/>
          <w:szCs w:val="18"/>
          <w:color w:val="000000"/>
        </w:rPr>
        <w:t>ur total net sales for 2018. Our mining products are LDAN and AN solutions, which are primary</w:t>
      </w:r>
      <w:r>
        <w:rPr>
          <w:rFonts w:ascii="Times New Roman" w:cs="Times New Roman" w:eastAsia="Times New Roman" w:hAnsi="Times New Roman"/>
          <w:sz w:val="18"/>
          <w:szCs w:val="18"/>
          <w:color w:val="2E2E2E"/>
        </w:rPr>
        <w:t xml:space="preserve"> </w:t>
      </w:r>
      <w:r>
        <w:rPr>
          <w:rFonts w:ascii="Times New Roman" w:cs="Times New Roman" w:eastAsia="Times New Roman" w:hAnsi="Times New Roman"/>
          <w:sz w:val="18"/>
          <w:szCs w:val="18"/>
          <w:color w:val="000000"/>
        </w:rPr>
        <w:t>used as AN fuel oil and specialty emulsions for surface mining of coal and for usage in quarries and the construction industry. As reported by the EIA, annual coal production in the U.S. for the full year of 2018 is down 3% from 2017 due to this market’s weak competitive position in the electrical generation sector compared with natural gas and to a lesser degree lower export demand. EIA is forecasting another 3% decrease in U.S. coal production in 2019 followed by a continued decline of 7% in 2020. This estimated decline is based on the continual shift in utility-scale electricity generation from coal to natural gas. We believe that coal production in the U.S. continues to face significant challenges from competition from natural gas and renewable sources of energy. While we believe, our plants are well located to support the more stable coal-producing regions in the upcoming years, our current mining sales volumes are being affected by overall lower customer demand for LDAN. As part of our continued effort to expand sales of our mining products, we entered into an agreement with a current customer, by which the customer has located an emulsion explosives plant at our El Dorado Facility. We will continue to explore further guest plant opportunities in 2019.</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Farmer Economics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stabilized natural gas prices, providing North America with a cost advantage over certain imports. As a result, our competitive position and that of other North American nitrogen fertilizer producers has been positively affected.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annual volume of natural gas we purchased and the average cost per MMBtu:</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98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color w:val="auto"/>
              </w:rPr>
              <w:t>2018</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volumes (MMBtu in millions)</w:t>
            </w:r>
          </w:p>
        </w:tc>
        <w:tc>
          <w:tcPr>
            <w:tcW w:w="20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Natural gas average cost per MMBtu</w:t>
            </w:r>
          </w:p>
        </w:tc>
        <w:tc>
          <w:tcPr>
            <w:tcW w:w="2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Higher transportation costs may impact our margins if we are not able to pass through these costs. As a result, we continue to evaluate supply chain efficiencies to reduce or counter the impact of higher logistics costs.</w:t>
      </w:r>
    </w:p>
    <w:p>
      <w:pPr>
        <w:spacing w:after="0" w:line="76" w:lineRule="exact"/>
        <w:rPr>
          <w:sz w:val="20"/>
          <w:szCs w:val="20"/>
          <w:color w:val="auto"/>
        </w:rPr>
      </w:pPr>
    </w:p>
    <w:p>
      <w:pPr>
        <w:jc w:val="right"/>
        <w:ind w:right="9500"/>
        <w:spacing w:after="0"/>
        <w:rPr>
          <w:sz w:val="20"/>
          <w:szCs w:val="20"/>
          <w:color w:val="auto"/>
        </w:rPr>
      </w:pPr>
      <w:r>
        <w:rPr>
          <w:rFonts w:ascii="Times New Roman" w:cs="Times New Roman" w:eastAsia="Times New Roman" w:hAnsi="Times New Roman"/>
          <w:sz w:val="18"/>
          <w:szCs w:val="18"/>
          <w:b w:val="1"/>
          <w:bCs w:val="1"/>
          <w:color w:val="auto"/>
        </w:rPr>
        <w:t>Key Operational Factors</w:t>
      </w:r>
    </w:p>
    <w:p>
      <w:pPr>
        <w:spacing w:after="0" w:line="117"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8"/>
          <w:szCs w:val="18"/>
          <w:b w:val="1"/>
          <w:bCs w:val="1"/>
          <w:i w:val="1"/>
          <w:iCs w:val="1"/>
          <w:color w:val="auto"/>
        </w:rPr>
        <w:t>Facility Reliability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 Also see the Turnaround costs presented in the Quarterly Financial Data of the Consolidated Financial Statements included in this report.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El Dorado Facility performed partial Turnaround activities in the second and third quarters of 2018. The remaining portion of this Turnaround activity will be performed in the third quarter of 2019. Following the completion of this work, we expect the El Dorado Facility to move to a three-year Turnaround cycle with the next Turnaround planned in the third quarter of 2022.</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Cherokee Facility is currently on a three-year Turnaround cycle, with the last Turnaround performed in the third quarter of 2018 lasting 35 days. The next Turnaround to be performed is expected to occur in the third quarter of 2021.</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unplanned outage in the fourth quarter of 2017 at our Pryor Facility, we replaced the process gas pre-heat system which was originally planned for a scheduled Turnaround in 2018. Completing the Turnaround at that time allowed us to avoid the previously planned Turnaround in 2018. A Turnaround is scheduled for the third quarter of 2019 and we expect to continue with a two-year Turnaround cycle at this facility with the next Turnaround planned for the third quarter of 2021. At that time, we will seek to move to a three-year Turnaround cycle.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Prepay Contracts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for 2018</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net sales for 2018 were $378.2 million compared to $427.5 million for 2017. Our consolidated operating loss was $23.0 million compared to $34.1 million for 2017. The items affecting our operating results are discussed below and under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 of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Turnaround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2018, we incurred Turnaround costs totaling approximately $9.8 million associated with a 35-day Turnaround performed on our plants at our Cherokee Facility and a total of 12 days associated with Turnaround activity at our El Dorado Facility.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2017, we incurred Turnaround costs of approximately $1.3 million primarily relating to a 17-day Turnaround at our Pryor Facility. Turnaround costs are included in cost of sales. The Turnaround costs noted above do not include the impact on operating results relating to lost absorption of fixed costs or the reduced margins due to the lost production and subsequent product sales from our plants being shut down during the Turnaround.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On-Stream Rates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ammonia is the basic product as used to produce all upgraded products. The on-stream rates noted below exclude Turnaround days, when applicable.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our Cherokee Facility, the ammonia plant on-stream rate for 2018 was 94% compared to 99% for the same period of 2017. The ammonia plant’s on-stream rate was impacted by maintenance completed on its primary reformer during the first quarter of 2018. Our target on-stream rate for this ammonia plant for 2019 is 95%.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El Dorado Facility, the ammonia plant’s on-stream rate for 2018 was 88% compared to 86% for the same period of 2017. The ammonia plant’s on-stream rate for 2018 was impacted by maintenance completed on its boiler relating to tube failures caused by a power outage during June 2018. The El Dorado Facility’s ammonia plant operated at 93% during the second half of 2018 and we are targeting an ammonia plant average on-stream rate for 2019 of 95%.</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our Pryor Facility, the on-stream rate for 2018 for our ammonia plant increased to 89% from 69% in 2017. Despite having to perform maintenance to repair leaks in the ammonia plant’s waste heat boiler during 2018, this was the Pryor Facility’s best full year performance since we brought the facility online in 2010. We view this result as an indication that the leadership changes in personnel and reliability investments made, coupled with the maintenance management systems, procedures and preventative maintenance programs being implementing are yielding positive results. While we anticipate brief periods of unscheduled downtime during 2019 as we continue to take actions to improve long-term reliability, we are targeting an ammonia plant average on-stream rate for 2019 of 90%.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focus on improving on-stream rates as discussed in key operating initiatives will continue to improve our overall on-stream rate for 2019.</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Prices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2018, we experienced improved selling prices for our agricultural products compared to 2017. Average selling prices for our ammonia, UAN and HDAN increased 16%, 15% and 11%, respectively compared to 2017 average selling prices. This increase reflects a more favorable alignment of demand with market capacity for these products. We expect these overall sales price levels to continue into 2019.</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2018 average industrial selling prices for our ammonia also improved compared to 2017. 2018 average Tampa Ammonia pricing improved 12% as compared to 2017 and many of our industrial contracts are indexed to the Tampa Ammonia price.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2018 and 2017, depreciation expense was $70.3 million and $67.0 million, respectively. For 2018, approximately $2.0 million relates to accelerated depreciation at the El Dorado Facility due to the tube failures discussed above.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2018 and 2017, interest expense was $43.1 million and $37.3 million, respectively. The change primarily relates to our Senior Secured Notes, which includes approximately $0.9 million related to debt modification fees associated with the financing transactions discussed above under “Business Developments - 2018” and in Note 7 to the Consolidated Financial Statements.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 (2018 only)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result of the financing transactions relating to the Senior Secured Notes and repurchase of the senior secured notes due 2019, we incurred a loss on extinguishment of debt of $6.0 million.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 on Deferred Tax Assets (2018 only)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discussed in Note 8 and below under “Critical Accounting Policies and Estimates”, during the second quarter of 2018, we established a valuation allowance on a portion of our federal deferred tax assets (resulting in an income tax provision) since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2" w:name="page33"/>
    <w:bookmarkEnd w:id="3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believe that it is more-likely-than-not that a portion of our federal deferred tax assets will not be able to be utilized. The impact from the valuation allowance in 2018 was approximately $15 million.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 and Accelerated Stock-based Compensation (2018 only)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$5.3 million associated with certain severance benefits and accelerated stock-based compensation relating to Daniel D. Greenwell, our former Chief Executive Officer (“CEO”), electing not to renew his employment agreement in December 2018.</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Recovery from a Settlement with a Vendor (2018 only)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a vendor mediated a settlement relating primarily to a business interruption claim caused by defective work performed by the vendor at our Pryor Facility. As a result of the settlement, the vendor paid us $4.0 million. As part of the settlement, we paid the vendor $0.5 million to settle $1.1 million of invoices that were held in our accounts payable. As a result, we recognized a recovery from this settlement totaling $4.6 million of which $4.4 million was classified as a reduction to cost of sales (primarily relating to our business interruption claim) and the remaining balance of $0.2 million as a reduction to PP&amp;E.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Adoption of ASC 606 in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concerning the impact from the adoption of ASC 606 in Note 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Results of Operations should be read in conjunction with our consolidated financial statements for the years ended December 31, 2018, 2017, and 2016 and accompanying notes and the discussions under “Overview” and “Liquidity and Capital Resources” included in this MD&amp;A.</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15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2018 Compared to Year Ended December 31,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financial information relating to our continuing operations: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Agricultural products</w:t>
            </w:r>
          </w:p>
        </w:tc>
        <w:tc>
          <w:tcPr>
            <w:tcW w:w="9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187,164</w:t>
            </w:r>
          </w:p>
        </w:tc>
        <w:tc>
          <w:tcPr>
            <w:tcW w:w="140" w:type="dxa"/>
            <w:vAlign w:val="bottom"/>
          </w:tcPr>
          <w:p>
            <w:pPr>
              <w:spacing w:after="0"/>
              <w:rPr>
                <w:sz w:val="19"/>
                <w:szCs w:val="19"/>
                <w:color w:val="auto"/>
              </w:rPr>
            </w:pP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184,054</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Industrial acids and other chemical products (1)</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148,598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(47,431)</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Mining products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products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(8,567)</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net sales</w:t>
            </w:r>
          </w:p>
        </w:tc>
        <w:tc>
          <w:tcPr>
            <w:tcW w:w="6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378,160</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427,504</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(49,344)</w:t>
            </w:r>
          </w:p>
        </w:tc>
        <w:tc>
          <w:tcPr>
            <w:tcW w:w="28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40" w:type="dxa"/>
            <w:vAlign w:val="bottom"/>
          </w:tcPr>
          <w:p>
            <w:pPr>
              <w:spacing w:after="0"/>
              <w:rPr>
                <w:sz w:val="21"/>
                <w:szCs w:val="21"/>
                <w:color w:val="auto"/>
              </w:rPr>
            </w:pP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2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percentage (2)</w:t>
            </w: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(6,518)</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2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(1,248)</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 (3)</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42,499</w:t>
            </w:r>
          </w:p>
        </w:tc>
        <w:tc>
          <w:tcPr>
            <w:tcW w:w="2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9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depletion and amortization of</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70,266</w:t>
            </w:r>
          </w:p>
        </w:tc>
        <w:tc>
          <w:tcPr>
            <w:tcW w:w="1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66,996</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20" w:right="1740" w:hanging="5099"/>
        <w:spacing w:after="0" w:line="532" w:lineRule="auto"/>
        <w:tabs>
          <w:tab w:leader="none" w:pos="10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concerning the impact from the adoption of ASC 606 in Note 2 to the Consolidated Financial Statements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3" w:name="page34"/>
    <w:bookmarkEnd w:id="33"/>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net sales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in Note 8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key operating metrics for the Agricultural Products: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Product (tons sold)</w:t>
            </w:r>
          </w:p>
        </w:tc>
        <w:tc>
          <w:tcPr>
            <w:tcW w:w="2800" w:type="dxa"/>
            <w:vAlign w:val="bottom"/>
            <w:gridSpan w:val="2"/>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00" w:type="dxa"/>
            <w:vAlign w:val="bottom"/>
            <w:tcBorders>
              <w:top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3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400,054</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488,794</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(88,740)</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82,586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(11,624)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790,495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888,457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Gross Average Selling Prices (price per ton)</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40" w:type="dxa"/>
            <w:vAlign w:val="bottom"/>
            <w:tcBorders>
              <w:top w:val="single" w:sz="8" w:color="auto"/>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3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Industrial and Other Chemical Products, the following table indicates the volumes sold of our major products: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80" w:type="dxa"/>
            <w:vAlign w:val="bottom"/>
          </w:tcPr>
          <w:p>
            <w:pPr>
              <w:spacing w:after="0"/>
              <w:rPr>
                <w:sz w:val="14"/>
                <w:szCs w:val="14"/>
                <w:color w:val="auto"/>
              </w:rPr>
            </w:pPr>
          </w:p>
        </w:tc>
      </w:tr>
      <w:tr>
        <w:trPr>
          <w:trHeight w:val="180"/>
        </w:trPr>
        <w:tc>
          <w:tcPr>
            <w:tcW w:w="11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Product (tons sold)</w:t>
            </w:r>
          </w:p>
        </w:tc>
        <w:tc>
          <w:tcPr>
            <w:tcW w:w="4160" w:type="dxa"/>
            <w:vAlign w:val="bottom"/>
          </w:tcPr>
          <w:p>
            <w:pPr>
              <w:spacing w:after="0"/>
              <w:rPr>
                <w:sz w:val="15"/>
                <w:szCs w:val="15"/>
                <w:color w:val="auto"/>
              </w:rPr>
            </w:pPr>
          </w:p>
        </w:tc>
        <w:tc>
          <w:tcPr>
            <w:tcW w:w="10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10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102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106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238,520</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228,849</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Nitric Acid - excluding Baytown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Industrial Products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31,485</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381,605</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360,962</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Mining Products, the following table indicates the volumes sold of our major products: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0"/>
        </w:trPr>
        <w:tc>
          <w:tcPr>
            <w:tcW w:w="11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Product (tons sold)</w:t>
            </w:r>
          </w:p>
        </w:tc>
        <w:tc>
          <w:tcPr>
            <w:tcW w:w="4160" w:type="dxa"/>
            <w:vAlign w:val="bottom"/>
          </w:tcPr>
          <w:p>
            <w:pPr>
              <w:spacing w:after="0"/>
              <w:rPr>
                <w:sz w:val="15"/>
                <w:szCs w:val="15"/>
                <w:color w:val="auto"/>
              </w:rPr>
            </w:pPr>
          </w:p>
        </w:tc>
        <w:tc>
          <w:tcPr>
            <w:tcW w:w="1020" w:type="dxa"/>
            <w:vAlign w:val="bottom"/>
          </w:tcPr>
          <w:p>
            <w:pPr>
              <w:jc w:val="right"/>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1020" w:type="dxa"/>
            <w:vAlign w:val="bottom"/>
          </w:tcPr>
          <w:p>
            <w:pPr>
              <w:jc w:val="right"/>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122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center"/>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LDAN/HDAN/AN Solution</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163,308</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149,345</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w:t>
      </w:r>
    </w:p>
    <w:p>
      <w:pPr>
        <w:spacing w:after="0" w:line="121" w:lineRule="exact"/>
        <w:rPr>
          <w:sz w:val="20"/>
          <w:szCs w:val="20"/>
          <w:color w:val="auto"/>
        </w:rPr>
      </w:pPr>
    </w:p>
    <w:p>
      <w:pPr>
        <w:jc w:val="both"/>
        <w:ind w:left="1040" w:hanging="505"/>
        <w:spacing w:after="0" w:line="255" w:lineRule="auto"/>
        <w:tabs>
          <w:tab w:leader="none" w:pos="10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 increased primarily from higher average sales prices for our major products as a result of improved commodity pricing and overall higher product selling prices. This increase was partially offset by the lost production at our Cherokee Facility resulting from a 35-day Turnaround performed during 2018. UAN volumes were also higher in 2017 due to the timing of barge shipments that crossed over year-end and landed in the first quarter of 2017. Additionally, ammonia sales volumes were lower as a result of a poor fall application season. The delayed 2018 fall harvest coupled with poor weather conditions resulted in a decline of approximately 55% of fall ammonia applications compared to the 2017 fall application season. As a result of the lower demand, a portion of our agricultural ammonia was sold into our industrial markets. HDAN sales volumes, although slightly higher than 2017, were also impacted by substantially higher rainfall amounts occurring during the last few months of 2018.</w:t>
      </w:r>
    </w:p>
    <w:p>
      <w:pPr>
        <w:spacing w:after="0" w:line="77" w:lineRule="exact"/>
        <w:rPr>
          <w:rFonts w:ascii="Times New Roman" w:cs="Times New Roman" w:eastAsia="Times New Roman" w:hAnsi="Times New Roman"/>
          <w:sz w:val="18"/>
          <w:szCs w:val="18"/>
          <w:color w:val="auto"/>
        </w:rPr>
      </w:pPr>
    </w:p>
    <w:p>
      <w:pPr>
        <w:jc w:val="both"/>
        <w:ind w:left="1040" w:hanging="519"/>
        <w:spacing w:after="0" w:line="25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industrial chemical products sales decreased approximately 24%, due to the impact from adopting ASC 606 as discussed in Note 2. Since we adopted ASC 606 using the “modified retrospective” method, the prior periods were not restated. If we had applied ASC 606 to these specific arrangements during 2017, net sales for these products would have been reduced by approximately $65.4 million to $130.7 million representing a $17.9 million or 13.7% increase for 2018 compared to 2017. Excluding this impact, sales increased primarily due to improved average selling prices and stronger sales volumes reflecting expanded marketing efforts and the continued strength of the U.S. economy.</w:t>
      </w:r>
    </w:p>
    <w:p>
      <w:pPr>
        <w:spacing w:after="0" w:line="79"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 sales increased primarily as a result of the broadening of our AN distribution markets combined with new guest plant arrangements.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products consist of natural gas sales from our former working interests in certain natural gas properties and sales from our former business that sold industrial machinery and related components, both of which were sold during 2017.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$15.8 million in 2018 compared to $5.5 million in 2017, or an increase in gross profit of approximately $10.3 million. In addition to the net positive effect from the higher sales discussed above, our gross profit improvement includes a net reduction of natural gas cost of approximately $1.3 million from lower average natural gas prices, partially offset by higher natural gas volumes purchased as the result of improved on-stream and production rates at our Pryor and El Dorado Facilities, which are the result of implementing our key operating initiatives to improve plant reliability. Our gross profit was also impacted by the following:</w:t>
      </w:r>
    </w:p>
    <w:p>
      <w:pPr>
        <w:spacing w:after="0" w:line="76" w:lineRule="exact"/>
        <w:rPr>
          <w:sz w:val="20"/>
          <w:szCs w:val="20"/>
          <w:color w:val="auto"/>
        </w:rPr>
      </w:pPr>
    </w:p>
    <w:p>
      <w:pPr>
        <w:ind w:left="104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$8.5 million from higher expenses associated with the Turnarounds primarily performed at our Cherokee and El Dorado Facilities and the resulting lost production during the 35-day and 12-day Turnarounds at Cherokee and El Dorado: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$3.2 million from additional consulting costs associated with our reliability and purchasing initiatives.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as discussed above under “Items Affecting Comparability-Recovery from a Settlement with a Vendor”, our 2018 gross profit included a recovery from a settlement with a vendor of $4.4 million classified as a reduction to cost of sales (primarily relating to our business interruption claim).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2017 gross profit included a recovery of precious metals of $2.9 million and approximately $3.3 million of gross profit associated with our former industrial machinery business and working interests in certain natural gas properties, both sold in 2017.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SG&amp;A expenses were $40.8 million for 2018, an increase of $5.8 million compared to 2017, of which $5.3 million associated with severance benefits and accelerated stock-based compensation relating to our former CEO electing not to renew his employment agreement in December 2018. Excluding this impact, SG&amp;A expenses increased $0.5 million including higher professional fees of $2.6 million associated with our legal matters partially offset by a reduction in insurance and other miscellaneous expenses of $0.5 million and the impact from $1.6 million of SG&amp;A expenses related to two former businesses that were sold in 2017.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(Income),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for 2018 was $2.0 million that includes a net gain from the sales of certain non-core assets (primarily consisting of real estate). Other expense for 2017 was $4.6 million for 2017 that includes a total net loss of $7.0 million primarily from the sales of our engineered products business (industrial machinery and related components) and other non-core assets partially offset by the extinguishment and derecognition of a liability of approximately $1.4 million associated with a death benefit agreement and $1.0 million in miscellaneous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2018 was $43.1 million compared to $37.3 million for 2017. The increase relates primarily to the issuance of the Senior Secured Notes and approximately $0.9 million related to debt modification fees associated with this financing as discussed in Note 7 to the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on Extinguishment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2018, we incurred a loss on extinguishment of debt of approximately $6.0 million as discussed above under “Items Affecting Comparability of Results - Loss on Extinguishment of Debt” and in Note 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E2E2E"/>
        </w:rPr>
        <w:t xml:space="preserve">The provision for income taxes for 2018 was $1.7 million compared to a $40.8 million benefit in the same period in 2017. The effective tax rate, including the impact of tax reform adjustments, was 2.5%, as compared to a benefit rate of 57% for 2017. </w:t>
      </w:r>
      <w:r>
        <w:rPr>
          <w:rFonts w:ascii="Times New Roman" w:cs="Times New Roman" w:eastAsia="Times New Roman" w:hAnsi="Times New Roman"/>
          <w:sz w:val="18"/>
          <w:szCs w:val="18"/>
          <w:color w:val="000000"/>
        </w:rPr>
        <w:t>The 2018 effective tax rate was impacted by adjustments</w:t>
      </w:r>
      <w:r>
        <w:rPr>
          <w:rFonts w:ascii="Times New Roman" w:cs="Times New Roman" w:eastAsia="Times New Roman" w:hAnsi="Times New Roman"/>
          <w:sz w:val="18"/>
          <w:szCs w:val="18"/>
          <w:color w:val="2E2E2E"/>
        </w:rPr>
        <w:t xml:space="preserve"> </w:t>
      </w:r>
      <w:r>
        <w:rPr>
          <w:rFonts w:ascii="Times New Roman" w:cs="Times New Roman" w:eastAsia="Times New Roman" w:hAnsi="Times New Roman"/>
          <w:sz w:val="18"/>
          <w:szCs w:val="18"/>
          <w:color w:val="000000"/>
        </w:rPr>
        <w:t xml:space="preserve">made to our valuation allowances during 2018 including a reversal of approximately $2.3 million of state valuation allowance related to tax law changes. </w:t>
      </w:r>
      <w:r>
        <w:rPr>
          <w:rFonts w:ascii="Times New Roman" w:cs="Times New Roman" w:eastAsia="Times New Roman" w:hAnsi="Times New Roman"/>
          <w:sz w:val="18"/>
          <w:szCs w:val="18"/>
          <w:color w:val="2E2E2E"/>
        </w:rPr>
        <w:t>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E2E2E"/>
        </w:rPr>
        <w:t>significant tax benefit in 2017 was primarily due to the adjustments recorded in 2017 on the deferred tax assets and liabilities from the decrease in the federal enacted tax rate as a result of tax reform in 2017.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from Discontinued Operations, net of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our former Climate Control Business are presented as discontinued operations. For 2017, income from discontinued operations was $1.1 million, consisting of a gain of $2.6 million relating primarily to estimate revisions to contingent obligations and net of a tax provision of $1.5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5" w:name="page36"/>
    <w:bookmarkEnd w:id="35"/>
    <w:p>
      <w:pPr>
        <w:ind w:left="2760"/>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2017 Compared to Year Ended December 31, 2016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financial information relating to our continuing operations: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Agricultural products</w:t>
            </w:r>
          </w:p>
        </w:tc>
        <w:tc>
          <w:tcPr>
            <w:tcW w:w="6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184,054</w:t>
            </w:r>
          </w:p>
        </w:tc>
        <w:tc>
          <w:tcPr>
            <w:tcW w:w="140" w:type="dxa"/>
            <w:vAlign w:val="bottom"/>
          </w:tcPr>
          <w:p>
            <w:pPr>
              <w:spacing w:after="0"/>
              <w:rPr>
                <w:sz w:val="19"/>
                <w:szCs w:val="19"/>
                <w:color w:val="auto"/>
              </w:rPr>
            </w:pP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166,180</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196,029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155,744</w:t>
            </w: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40,285</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Mining products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products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427,504</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374,585</w:t>
            </w:r>
          </w:p>
        </w:tc>
        <w:tc>
          <w:tcPr>
            <w:tcW w:w="3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52,919</w:t>
            </w:r>
          </w:p>
        </w:tc>
        <w:tc>
          <w:tcPr>
            <w:tcW w:w="28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6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40" w:type="dxa"/>
            <w:vAlign w:val="bottom"/>
          </w:tcPr>
          <w:p>
            <w:pPr>
              <w:spacing w:after="0"/>
              <w:rPr>
                <w:sz w:val="21"/>
                <w:szCs w:val="21"/>
                <w:color w:val="auto"/>
              </w:rPr>
            </w:pP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(49,306)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54,772</w:t>
            </w:r>
          </w:p>
        </w:tc>
        <w:tc>
          <w:tcPr>
            <w:tcW w:w="2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 percentage (1)</w:t>
            </w: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(1,621)</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(90,223)</w:t>
            </w:r>
          </w:p>
        </w:tc>
        <w:tc>
          <w:tcPr>
            <w:tcW w:w="38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56,132</w:t>
            </w:r>
          </w:p>
        </w:tc>
        <w:tc>
          <w:tcPr>
            <w:tcW w:w="2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(8,703)</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(40,759)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(41,956)</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(88,133)</w:t>
            </w:r>
          </w:p>
        </w:tc>
        <w:tc>
          <w:tcPr>
            <w:tcW w:w="3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28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6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140" w:type="dxa"/>
            <w:vAlign w:val="bottom"/>
          </w:tcPr>
          <w:p>
            <w:pPr>
              <w:spacing w:after="0"/>
              <w:rPr>
                <w:sz w:val="23"/>
                <w:szCs w:val="23"/>
                <w:color w:val="auto"/>
              </w:rPr>
            </w:pP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165,104</w:t>
            </w:r>
          </w:p>
        </w:tc>
        <w:tc>
          <w:tcPr>
            <w:tcW w:w="3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(127,671)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depletion and amortization of property, plant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equipment:</w:t>
            </w:r>
          </w:p>
        </w:tc>
        <w:tc>
          <w:tcPr>
            <w:tcW w:w="6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66,996</w:t>
            </w:r>
          </w:p>
        </w:tc>
        <w:tc>
          <w:tcPr>
            <w:tcW w:w="140" w:type="dxa"/>
            <w:vAlign w:val="bottom"/>
          </w:tcPr>
          <w:p>
            <w:pPr>
              <w:spacing w:after="0"/>
              <w:rPr>
                <w:sz w:val="20"/>
                <w:szCs w:val="20"/>
                <w:color w:val="auto"/>
              </w:rPr>
            </w:pP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59,354</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key operating metrics for the Agricultural Products: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11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Product (tons sold)</w:t>
            </w:r>
          </w:p>
        </w:tc>
        <w:tc>
          <w:tcPr>
            <w:tcW w:w="2500" w:type="dxa"/>
            <w:vAlign w:val="bottom"/>
            <w:gridSpan w:val="2"/>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00" w:type="dxa"/>
            <w:vAlign w:val="bottom"/>
            <w:tcBorders>
              <w:top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488,794</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372,593</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116,201</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94,210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Borders>
              <w:bottom w:val="single" w:sz="8" w:color="CFF0FC"/>
            </w:tcBorders>
            <w:gridSpan w:val="3"/>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tcBorders>
              <w:bottom w:val="single" w:sz="8" w:color="CFF0FC"/>
            </w:tcBorders>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888,457</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707,179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181,278</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36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Average Selling Prices (price per ton)</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44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8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8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With respect to sales of Industrial and Other Chemical Products, the following table indicates the volumes sold of our major products: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80" w:type="dxa"/>
            <w:vAlign w:val="bottom"/>
          </w:tcPr>
          <w:p>
            <w:pPr>
              <w:spacing w:after="0"/>
              <w:rPr>
                <w:sz w:val="14"/>
                <w:szCs w:val="14"/>
                <w:color w:val="auto"/>
              </w:rPr>
            </w:pPr>
          </w:p>
        </w:tc>
      </w:tr>
      <w:tr>
        <w:trPr>
          <w:trHeight w:val="180"/>
        </w:trPr>
        <w:tc>
          <w:tcPr>
            <w:tcW w:w="11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Product (tons sold)</w:t>
            </w:r>
          </w:p>
        </w:tc>
        <w:tc>
          <w:tcPr>
            <w:tcW w:w="4160" w:type="dxa"/>
            <w:vAlign w:val="bottom"/>
          </w:tcPr>
          <w:p>
            <w:pPr>
              <w:spacing w:after="0"/>
              <w:rPr>
                <w:sz w:val="15"/>
                <w:szCs w:val="15"/>
                <w:color w:val="auto"/>
              </w:rPr>
            </w:pPr>
          </w:p>
        </w:tc>
        <w:tc>
          <w:tcPr>
            <w:tcW w:w="10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0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2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216"/>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228,849</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127,265</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101,584</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Nitric Acid - excluding Baytown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Industrial Products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(6,574)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5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360,962</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247,561</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113,401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Mining Products, the following table indicates the volumes sold of our major products: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0"/>
        </w:trPr>
        <w:tc>
          <w:tcPr>
            <w:tcW w:w="11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Product (tons sold)</w:t>
            </w:r>
          </w:p>
        </w:tc>
        <w:tc>
          <w:tcPr>
            <w:tcW w:w="4160" w:type="dxa"/>
            <w:vAlign w:val="bottom"/>
          </w:tcPr>
          <w:p>
            <w:pPr>
              <w:spacing w:after="0"/>
              <w:rPr>
                <w:sz w:val="15"/>
                <w:szCs w:val="15"/>
                <w:color w:val="auto"/>
              </w:rPr>
            </w:pPr>
          </w:p>
        </w:tc>
        <w:tc>
          <w:tcPr>
            <w:tcW w:w="1020" w:type="dxa"/>
            <w:vAlign w:val="bottom"/>
          </w:tcPr>
          <w:p>
            <w:pPr>
              <w:jc w:val="right"/>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020" w:type="dxa"/>
            <w:vAlign w:val="bottom"/>
          </w:tcPr>
          <w:p>
            <w:pPr>
              <w:jc w:val="right"/>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22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center"/>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LDAN/HDAN/AN Solution</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149,345</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153,535</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Agricultural and industrial sales for 2017 were both significantly higher due to increased sales volumes that were partially offset by decreased average selling prices while mining sales for 2017 were lower due to lower average prices and a net decrease in sales volume compared to 2016.</w:t>
      </w:r>
    </w:p>
    <w:p>
      <w:pPr>
        <w:spacing w:after="0" w:line="54" w:lineRule="exact"/>
        <w:rPr>
          <w:sz w:val="20"/>
          <w:szCs w:val="20"/>
          <w:color w:val="auto"/>
        </w:rPr>
      </w:pPr>
    </w:p>
    <w:p>
      <w:pPr>
        <w:jc w:val="both"/>
        <w:ind w:left="1040" w:hanging="519"/>
        <w:spacing w:after="0" w:line="25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 increased primarily from higher sales volume across all product categories. The increase in sales volume was primarily the result of overall improved on-stream and production rates at our El Dorado and Cherokee Facilities, the absence of a Cherokee Turnaround in 2017 and the broadening of our distribution of HDAN to new markets and customers. Partially offsetting the increase in sales volume was lower average selling prices, primarily due to: (1) lower average commodity prices; (2) weather in the early spring that caused less ammonia to be applied during pre-plant season which caused an inventory buildup and; (3) the nitrogen production capacity being added globally, and in North America specifically.</w:t>
      </w:r>
    </w:p>
    <w:p>
      <w:pPr>
        <w:spacing w:after="0" w:line="79"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chemical products sales increased driven by strong industrial ammonia sales at our El Dorado Facility from higher plant on-stream rates (minimal ammonia production during the first half of 2016 from this facility). In addition, nitric acid sales from El Dorado continued to expand and sales volume was significantly higher compared to 2016, although at lower net prices due to longer shipping distances and stronger market competitive pressures.</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products sales decreased primarily as the result of both lower sales volume and lower selling prices of AN Solution partially offset by increases in LDAN sales volume from our El Dorado Facility. We continued to face lower sales volume of AN Solution from our Cherokee Facility as demand from our customers remained suppressed by overall Appalachia coal market conditions and increased competitive production capacity in our region.</w:t>
      </w:r>
    </w:p>
    <w:p>
      <w:pPr>
        <w:spacing w:after="0" w:line="71"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products consist of natural gas sales from our former working interests in certain natural gas properties and sales from our former business that sold industrial machinery and related components, both of which were sold during 2017.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$5.5 million in 2017 compared to a gross loss of $49.3 million in 2016, or an increase in gross profit of $54.8 million. In addition to the net positive effect from the higher sales discussed above, our gross profit improved primarily through:</w:t>
      </w:r>
    </w:p>
    <w:p>
      <w:pPr>
        <w:spacing w:after="0" w:line="54" w:lineRule="exact"/>
        <w:rPr>
          <w:sz w:val="20"/>
          <w:szCs w:val="20"/>
          <w:color w:val="auto"/>
        </w:rPr>
      </w:pPr>
    </w:p>
    <w:p>
      <w:pPr>
        <w:jc w:val="both"/>
        <w:ind w:left="1040" w:hanging="519"/>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feedstock and other operating costs at our El Dorado Facility as (i) this facility produced ammonia from natural gas during 2017 compared to purchasing ammonia during most of the first half of 2016 and (ii) costs associated with the start-up, commissioning and optimizing activities performed on the ammonia plant during 2016 that were not incurred in 2017;</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overall fixed plant expenses;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recovery of precious metals of $2.9 million during 2017, which metals had accumulated over time within certain manufacturing equipment; and</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absorption of fixed costs from improved on-stream and production rates at our Cherokee and El Dorado Facilities and lower Turnaround expense at the Cherokee Facility as a Turnaround was not required in 2017.</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gross profit was partially offset by an increase in overall depreciation expense of approximately $7.6 million primarily as a result of our new ammonia plant at our El Dorado Facility not being put into service until mid-May 2016, lower absorption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fixed costs from lower on-stream rates at our Pryor Facility and higher average natural gas feedstock cost at our Cherokee and Pryor Facilities.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during 2016, we incurred a one-time cost of $12.1 million relating to consulting services associated with the reduction of property taxes from fixing the assessed value for our El Dorado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SG&amp;A expenses were $35.0 million for 2017, a decrease of $5.2 million compared to 2016. The decrease was driven by a $2.2 million reduction in compensation-related costs, $1.9 million reduction in insurance and other miscellaneous costs and $1.1 million reduction in professional fees.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Long-Lived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2016, we recognized a non-cash impairment charge of $1.6 million to fully write-off the carrying value of goodwill.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(Income),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other expense for 2017 was $4.6 million compared to net other income of $0.9 million for 2016. The change primarily consists of a total net loss of $7.0 million relating to the sale of our working interest of certain natural gas properties, the sale of our engineered products business (industrial machinery and related components) and other non-core assets partially offset by the extinguishment and derecognition of a liability of approximately $1.4 million associated with a death benefit agreement and $0.1 million in miscellaneous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for 2017 was $37.3 million compared to $30.9 million for 2016. The increase is due primarily to a reduction in capitalized interest during 2017 of $14.7 million as a result of the El Dorado expansion project completion during 2016. This increase was partially offset by a decrease of $5.5 million relating to the 12% Senior Secured Notes sold in 2015 and repaid in 2016 and $2.2 million as a result of the debt modification associated with a consent solicitation completed in 2016.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on Extinguishment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repayment of $50 million of the 7.75% Senior Secured Notes and all of our 12% Senior Secured Notes in 2016, we incurred a loss on extinguishment of debt of $8.7 million, consisting of prepayment premiums and writing off associated unamortized debt issuance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for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benefit for income taxes for continuing operations in 2017 was $41 million compared to $42 million for the same period in 2016. The effective tax rate, including the impact of tax reform adjustments, was 57% for 2017 compared to 32% for 2016. The increase in the benefit rate is primarily due to the adjustments on the deferred tax assets and liabilities from the enacted tax rate as a result of tax reform in 2017. The provisional adjustments related to tax reform resulted in recording a tax benefit of $23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from Discontinued Operations, net of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our former Climate Control Business are presented as discontinued operations. For 2017, income from discontinued operations was $1.1 million, consisting of a gain of $2.6 million relating primarily to estimate revisions to contingent obligations and net of a tax provision of $1.5 million. For 2016, income from discontinued operations was $200.3 million, including a gain of $282 million and net of a tax provision of $91.7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continuing cash flow activities for 2018 and 2017:</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58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continuing operating activities</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continuing investing activities</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(25,740)</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(10,845)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continuing financing activities</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(16,132)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continuing operating activities was $17.6 million for 2018 compared to $2.3 million for 2017, an improvement of approximately $15.3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2018, the net cash provided is the result of a net loss of $72.2 million plus adjustments of $70.3 million for depreciation, depletion and amortization of PP&amp;E, $8.4 million for stock-based compensation, $6.0 million for a loss on extinguishment of debt, $1.8 million for deferred taxes and other adjustments totaling approximately $2.8 million and net cash provided of approximately $0.5 million primarily from our working capital including an increase in inventories and accounts payables and a decrease in accrued interest.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2017, the net cash provided is the result of a net loss of $29.2 million plus a noncash adjustment of $67 million for depreciation, depletion and amortization of PP&amp;E and other noncash adjustments totaling approximately $13.7 million less an adjustment of $40.4 million for deferred income taxes and approximately $8.8 million of net cash used primarily from our working capital including an increase in our trade accounts receivable.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by continuing investing activities was $25.7 million for 2018 compared to $10.8 million for 2017, a change of $14.9 million.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2018, the net cash used is the result of $37.1 million on expenditures for PP&amp;E partially offset by $6.7 million from net proceeds from the sale of PP&amp;E, $2.7 million representing the remaining proceeds from an indemnity escrow account associated with the sale of the Climate Control business in 2016 and approximately $2.0 million relating to a recovery from a property insurance claim and other investing activities.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2017, the net cash used relates to expenditures for PP&amp;E of $35.4 million partially offset by net proceeds of $23.8 million from the sale of our working interests in certain natural gas properties, engineered products business (industrial machinery and related components) and other property and equipment and $0.8 million associated with other activities.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continuing financing activities was $0.5 million for 2018 compared to net cash used $16.1 million for 2017, a change of approximately $16.6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2018, the net cash provided consists of net proceeds of $390.5 million from the Senior Secured Notes, $10.9 million from short-term financing, and $10.0 million from our Working Capital Revolver Loan partially offset by $375 million repayment of the senior secured notes due 2019, payments of $20.0 million on other long-term debt and short-term financing, payments of $11.0 million for debt related costs, payments of $2.8 million of fees associated with the modification of terms of our Series E Redeemable Preferred and approximately $2.1 million of other financing activities.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2017, the net cash used consists of payments on long-term debt and related costs of $14.2 million and $1.9 million of other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our total current cash, long-term debt, redeemable preferred stock and stockholders’ equity:</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6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color w:val="auto"/>
              </w:rPr>
              <w:t>December 31,</w:t>
            </w:r>
          </w:p>
        </w:tc>
        <w:tc>
          <w:tcPr>
            <w:tcW w:w="8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4"/>
          </w:tcPr>
          <w:p>
            <w:pPr>
              <w:jc w:val="right"/>
              <w:ind w:right="55"/>
              <w:spacing w:after="0" w:line="155" w:lineRule="exact"/>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gridSpan w:val="2"/>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Revolving credit facility and long-term debt:</w:t>
            </w:r>
          </w:p>
        </w:tc>
        <w:tc>
          <w:tcPr>
            <w:tcW w:w="1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Working Capital Revolver Loan</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Senior Secured Notes due 2023 </w:t>
            </w:r>
            <w:r>
              <w:rPr>
                <w:rFonts w:ascii="Times New Roman" w:cs="Times New Roman" w:eastAsia="Times New Roman" w:hAnsi="Times New Roman"/>
                <w:sz w:val="14"/>
                <w:szCs w:val="14"/>
                <w:color w:val="auto"/>
              </w:rPr>
              <w:t>(1)</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Senior Secured Notes due 2019 </w:t>
            </w:r>
            <w:r>
              <w:rPr>
                <w:rFonts w:ascii="Times New Roman" w:cs="Times New Roman" w:eastAsia="Times New Roman" w:hAnsi="Times New Roman"/>
                <w:sz w:val="14"/>
                <w:szCs w:val="14"/>
                <w:color w:val="auto"/>
              </w:rPr>
              <w:t>(1)</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2019</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2021</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2023</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 net</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Series E and F redeemable preferred stock </w:t>
            </w:r>
            <w:r>
              <w:rPr>
                <w:rFonts w:ascii="Times New Roman" w:cs="Times New Roman" w:eastAsia="Times New Roman" w:hAnsi="Times New Roman"/>
                <w:sz w:val="14"/>
                <w:szCs w:val="14"/>
                <w:color w:val="auto"/>
              </w:rPr>
              <w:t>(2)</w:t>
            </w:r>
          </w:p>
        </w:tc>
        <w:tc>
          <w:tcPr>
            <w:tcW w:w="2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gridSpan w:val="2"/>
            <w:vMerge w:val="continue"/>
          </w:tcPr>
          <w:p>
            <w:pPr>
              <w:spacing w:after="0"/>
              <w:rPr>
                <w:sz w:val="21"/>
                <w:szCs w:val="21"/>
                <w:color w:val="auto"/>
              </w:rPr>
            </w:pPr>
          </w:p>
        </w:tc>
        <w:tc>
          <w:tcPr>
            <w:tcW w:w="13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80" w:hanging="516"/>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contained in Note 7 to the Consolidated Financial Statements.</w:t>
      </w:r>
    </w:p>
    <w:p>
      <w:pPr>
        <w:spacing w:after="0" w:line="27" w:lineRule="exact"/>
        <w:rPr>
          <w:rFonts w:ascii="Times New Roman" w:cs="Times New Roman" w:eastAsia="Times New Roman" w:hAnsi="Times New Roman"/>
          <w:sz w:val="18"/>
          <w:szCs w:val="18"/>
          <w:color w:val="auto"/>
        </w:rPr>
      </w:pPr>
    </w:p>
    <w:p>
      <w:pPr>
        <w:ind w:left="1280" w:hanging="516"/>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 of $212.1 million as of December 31, 2018.</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a revolving credit facility, our Working Capital Revolver Loan, with a borrowing base of $50 million. During the fourth quarter of 2018, we delivered product to several customers with extended short-term payment terms as a means of optimizing our inventory and storage capacity headed into the spring season. We utilized the revolver to finance normal working capital fluctuations such as these receivables. As of December 31, 2018, our Working Capital Revolver Loan had outstanding borrowings of $10.0 million and $37.2 million of availability.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below, we have planned capital expenditures relating to maintaining and enhancing safety and reliability at our facilities of approximately $30 million to $35 million. This is inclusive of a new sulfuric acid converter at our El Dorado Facility that we plan to install in the fourth quarter of 2019 and estimate will cost approximately $7.5 million. We expect this investment to significantly improve the reliability of that plant while increasing the production capacity from approximately 140,000 tons to 160,000 tons allowing us to take advantage of attractive market conditions. We are finalizing the equipment financing for this capital project.</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Long - Term Debt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below under “Loan Agreements,” the Working Capital Revolver Loan requires, among other things, that we meet certain financial covenants.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Working Capital Revolver Loan does not include financial covenant requirements unless a defined covenant trigger event has occurred and is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no trigger event had occurred.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Senior Secured Notes due 2019 and 2023 </w:t>
      </w:r>
      <w:r>
        <w:rPr>
          <w:rFonts w:ascii="Times New Roman" w:cs="Times New Roman" w:eastAsia="Times New Roman" w:hAnsi="Times New Roman"/>
          <w:sz w:val="18"/>
          <w:szCs w:val="18"/>
          <w:color w:val="auto"/>
        </w:rPr>
        <w:t>- See discussion contained in Note 7 to the Consolidated Financial Statements. As a result of the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our interest expense has increased as compared to 2017.</w:t>
      </w:r>
    </w:p>
    <w:p>
      <w:pPr>
        <w:spacing w:after="0" w:line="47"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2019 </w:t>
      </w:r>
      <w:r>
        <w:rPr>
          <w:rFonts w:ascii="Times New Roman" w:cs="Times New Roman" w:eastAsia="Times New Roman" w:hAnsi="Times New Roman"/>
          <w:sz w:val="18"/>
          <w:szCs w:val="18"/>
          <w:color w:val="auto"/>
        </w:rPr>
        <w:t>– EDC is party to a secured promissory note due in June 2019. This promissory note bears interest at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of 5.73%. Principal and interest are payable in equal monthly installments with a final balloon payment of approximately $6.7 million.</w:t>
      </w:r>
    </w:p>
    <w:p>
      <w:pPr>
        <w:spacing w:after="0" w:line="47"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2021 </w:t>
      </w:r>
      <w:r>
        <w:rPr>
          <w:rFonts w:ascii="Times New Roman" w:cs="Times New Roman" w:eastAsia="Times New Roman" w:hAnsi="Times New Roman"/>
          <w:sz w:val="18"/>
          <w:szCs w:val="18"/>
          <w:color w:val="auto"/>
        </w:rPr>
        <w:t>– EDC is party to a secured promissory note due in March 2021. This promissory note bears interest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rate of 5.25%. Principal and interest are payable in monthly installments.</w:t>
      </w:r>
    </w:p>
    <w:p>
      <w:pPr>
        <w:spacing w:after="0" w:line="47"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2023 </w:t>
      </w:r>
      <w:r>
        <w:rPr>
          <w:rFonts w:ascii="Times New Roman" w:cs="Times New Roman" w:eastAsia="Times New Roman" w:hAnsi="Times New Roman"/>
          <w:sz w:val="18"/>
          <w:szCs w:val="18"/>
          <w:color w:val="auto"/>
        </w:rPr>
        <w:t>- EDA is party to a secured promissory note due in May 2023. Principal and interest are payable in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monthly installments with a final balloon payment of approximately $6.1 million. This promissory note bears interest at a rate that is based on the monthly LIBOR rate plus a base rate for a current total rate of 6.76%.</w:t>
      </w:r>
    </w:p>
    <w:p>
      <w:pPr>
        <w:spacing w:after="0" w:line="63"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Working Capital Revolver Loan - </w:t>
      </w:r>
      <w:r>
        <w:rPr>
          <w:rFonts w:ascii="Times New Roman" w:cs="Times New Roman" w:eastAsia="Times New Roman" w:hAnsi="Times New Roman"/>
          <w:sz w:val="18"/>
          <w:szCs w:val="18"/>
          <w:color w:val="auto"/>
        </w:rPr>
        <w:t>At December 31, 2018, we had $10.0 million outstanding borrowings under the Working Capital Revolver Loan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net credit available for borrowings under our Working Capital Revolver Loan was approximately $37.2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million, based on our eligible collateral, less outstanding letters of credit as of that date. Also see discussion above under “Compliance with Long-Term Debt Covenants.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Redemption of Series E Redeemable Preferred </w:t>
      </w:r>
      <w:r>
        <w:rPr>
          <w:rFonts w:ascii="Times New Roman" w:cs="Times New Roman" w:eastAsia="Times New Roman" w:hAnsi="Times New Roman"/>
          <w:sz w:val="18"/>
          <w:szCs w:val="18"/>
          <w:color w:val="auto"/>
        </w:rPr>
        <w:t>– At December 31, 2018, there were 139,768 outstanding shares of Series E Redeemable Preferred.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In addition, this accretion could accelerate if the expected redemption date is earlier than October 25,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the aggregate liquidation preference (par value plus accrued dividends) was $212.1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discussion in Note 11 to the Consolidated Financial Statements included in this report.</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Capital Expenditures – 2018</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2018, capital expenditures relating to PP&amp;E were $37.1 million, which expenditures include approximately $0.9 million associated with maintaining compliance with environmental laws, regulations and guidelines. The capital expenditures were funded primarily from cash and working capital.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above under “Capitalization” for our expected annual capital expenditures for 2019.</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specific federal and state environmental compliance laws, regulations and guidelines. As a result, we incurred expenses of $3.2 million in 2018 in connection with environmental projects. For 2019, we expect to incur expenses ranging from $3.2 million to $4.2 million in connection with additional environmental projects. However, it is possible that the actual costs could be significantly different than our estimates.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11.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April 25, 2021. The current semi-annual compounded dividend is approximately $103.83 per share for the current aggregate semi-annual dividend of $14.5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December 31, 2018, the amount of accumulated dividends on the Series E Redeemable Preferred was approximately $72.3 million.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54"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$0.06 per share on our outstanding non-redeemable Series D Preferred for an aggregate dividend of $60,000,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per share on our outstanding non-redeemable Series B Preferred for an aggregate dividend of $240,000.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2018, the amount of accumulated dividends on the Series D Preferred and Series B Preferred totaled approximately $1.0 million. All shares of the Series D Preferred and Series B Preferred are owned by the Golsen Holders. There are no optional or mandatory redemption rights with respect to the Series B Preferred or Series D Preferred.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2018, we have agreed to indemnify the sureties for payments, up to $10 million, made by them in respect of such bonds. All of these insurance bonds are expected to expire or be renewed in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our aggregate contractual obligations are summarized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in the Year Ending December 31,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56"/>
        </w:trPr>
        <w:tc>
          <w:tcPr>
            <w:tcW w:w="4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ind w:right="11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ind w:right="2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Secured Notes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440,161</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406,801</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 on long-term debt (1)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179,093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Series E redeemable preferred stock (2)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earned Series E redeemable preferred stock (2)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276,783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276,783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capital expenditures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Natural gas pipeline commitment (4)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contractual obligations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contractual obligations included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noncurrent accrued and other liabilities (5)</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1,118,516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100,029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55,406</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56,268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851,274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interest payments relating to variable interest rate debt are based on interest rates at December 31, 2018.</w:t>
      </w:r>
    </w:p>
    <w:p>
      <w:pPr>
        <w:spacing w:after="0" w:line="27"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E redeemable preferred stock (including dividends) are assumed to be redeemed and paid on the earliest possible redemption date by the holder (October 25, 2023) and that dividends are accrued until that date.</w:t>
      </w:r>
    </w:p>
    <w:p>
      <w:pPr>
        <w:ind w:left="380" w:hanging="372"/>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capital expenditures include only the estimated committed amounts (high end of range) at December 31, 2018 which includes approximately $7.5 million in financing we are finalizing as discussed above under Capitalization.</w:t>
      </w: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proportionate share of the minimum costs to ensure capacity relating to a gathering and pipeline system.</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cash flows relating to executive and death benefits are based on estimates at December 31, 2018. The participation rights value associated with embedded derivative of our Series E redeemable preferred stock is based the value of our common stock at December 31, 2018 and is based on the earliest possible redemption date by the holder, October 25,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recently adopted and recently issued accounting standards, see discussions in Note 1 to the Consolidated Financial Statements included in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2018, could change in the near term. The more critical areas of financial reporting affected by management's judgment, estimates and assumptions include the following:</w:t>
      </w:r>
    </w:p>
    <w:p>
      <w:pPr>
        <w:spacing w:after="0" w:line="68"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and our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7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are involved in various legal matters that require management to make estimates and assumptions, including costs relating to the lawsuit styled </w:t>
      </w:r>
      <w:r>
        <w:rPr>
          <w:rFonts w:ascii="Times New Roman" w:cs="Times New Roman" w:eastAsia="Times New Roman" w:hAnsi="Times New Roman"/>
          <w:sz w:val="18"/>
          <w:szCs w:val="18"/>
          <w:i w:val="1"/>
          <w:iCs w:val="1"/>
          <w:color w:val="auto"/>
        </w:rPr>
        <w:t>City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West, Texas v CF Industries, Inc., et al, </w:t>
      </w:r>
      <w:r>
        <w:rPr>
          <w:rFonts w:ascii="Times New Roman" w:cs="Times New Roman" w:eastAsia="Times New Roman" w:hAnsi="Times New Roman"/>
          <w:sz w:val="18"/>
          <w:szCs w:val="18"/>
          <w:color w:val="auto"/>
        </w:rPr>
        <w:t>discussed under “Other Pending, Threatened or Settled Litigation” of Note 9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 this report.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reasonably possible that the actual costs could be significantly different than our estimates.</w:t>
      </w:r>
    </w:p>
    <w:p>
      <w:pPr>
        <w:spacing w:after="0" w:line="113"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Regulatory Compliance </w:t>
      </w:r>
      <w:r>
        <w:rPr>
          <w:rFonts w:ascii="Times New Roman" w:cs="Times New Roman" w:eastAsia="Times New Roman" w:hAnsi="Times New Roman"/>
          <w:sz w:val="18"/>
          <w:szCs w:val="18"/>
          <w:color w:val="auto"/>
        </w:rPr>
        <w:t>– As discussed under “Environmental, Health and Safety Matters” in Item 1 of this report, we are subject to specific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state regulatory compliance laws and guidelines.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our current inability to develop a meaningful and reliable estimate (or range of estimate) as to the costs relating to a corrective action study work plan approved by the Kansas Department of Health and Environment (“KDHE”) discussed under footnote 3 – Other Environmental Matters of Note 9. At December 31, 2018 and 2017, liabilities totaling $0.2 million for both periods have been accrued relating to these issues as discussed. This liability is included in current accrued and other liabilities and is based on current estimates that may be revised in the near term. At the time that cost estimates for any corrective action are received, we will adjust our accrual accordingly. It is reasonably possible that the adjustment to the accrual and the actual costs could be significantly different than our current estimates.</w:t>
      </w:r>
    </w:p>
    <w:p>
      <w:pPr>
        <w:spacing w:after="0" w:line="83"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 – </w:t>
      </w:r>
      <w:r>
        <w:rPr>
          <w:rFonts w:ascii="Times New Roman" w:cs="Times New Roman" w:eastAsia="Times New Roman" w:hAnsi="Times New Roman"/>
          <w:sz w:val="18"/>
          <w:szCs w:val="18"/>
          <w:color w:val="auto"/>
        </w:rPr>
        <w:t>As discussed in Note 8, during the second quarter of 2018, we established a valuation allowance on a portion of our federal deferred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This valuation allowance is reflective of our quarterly analysis of the four sources of taxable income, including the calculation of the reversal of existing tax assets and liabilities, the impact of the recent financing activities and our 2018 results. Based on our analysis, we now believe that it is more-likely-than-not that a portion of our federal deferred tax assets will not be able to be utilized and the valuation allowance recorded during 2018 was approximately $15 million.</w:t>
      </w:r>
    </w:p>
    <w:p>
      <w:pPr>
        <w:spacing w:after="0" w:line="7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Senior Secured Notes – </w:t>
      </w:r>
      <w:r>
        <w:rPr>
          <w:rFonts w:ascii="Times New Roman" w:cs="Times New Roman" w:eastAsia="Times New Roman" w:hAnsi="Times New Roman"/>
          <w:sz w:val="18"/>
          <w:szCs w:val="18"/>
          <w:color w:val="auto"/>
        </w:rPr>
        <w:t>As discussed in Note 7, LSB completed the issuance and sale of the Senior Secured Notes in April 2018. A portion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was accounted for as an extinguishment of debt and a portion was accounted for as a non-substantial debt modification. As a result, approximately $15.2 million of the fees/redemption premiums/discount was deferred and included in discount and debt issuance costs and approximately $0.9 million of fees were expensed, as incurred, and are included in interest expense. In addition, we recognized a loss on extinguishment of debt of approximately $6.0 million, primarily consisting of a portion of the redemption premiums paid and the expensing of a portion of debt issuance costs associated with the 8.5% Senior Secured Notes. The extinguishment and modification conclusion impacts the treatment of discounts and debt issuance costs. In addition, certain embedded features included in the Senior Secured Notes were evaluated to identify if those features represented a derivative and required bifurcation.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 w:name="page45"/>
    <w:bookmarkEnd w:id="44"/>
    <w:p>
      <w:pPr>
        <w:jc w:val="both"/>
        <w:ind w:firstLine="51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Redeemable Preferred Stocks – </w:t>
      </w:r>
      <w:r>
        <w:rPr>
          <w:rFonts w:ascii="Times New Roman" w:cs="Times New Roman" w:eastAsia="Times New Roman" w:hAnsi="Times New Roman"/>
          <w:sz w:val="18"/>
          <w:szCs w:val="18"/>
          <w:color w:val="auto"/>
        </w:rPr>
        <w:t>In December 2015, we issued the Series E and F Redeemable Preferred. The redeemable preferred stocks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redeemable outside of our control and are classified as temporary/mezzanine equity on our consolidated balance sheet. In addition, certain embedded features (the “embedded derivative”) included in the Series E Redeemable Preferred required bifurcation and are classified as derivative liabilities. As discussed in Note 11, the terms of the Series E Redeemable Preferred were amended in 2018 associated with a letter agreement in connection with the issuance and sale of the Senior Secured Notes discussed above. The amended terms associated with the letter agreement were determined to result in a nonsubstantial modification, which determination included estimates regarding the probability, timing and amount of shares redeemed prior to October 25, 2023, the earliest possible redemption date by the holder. </w:t>
      </w:r>
      <w:r>
        <w:rPr>
          <w:rFonts w:ascii="Times New Roman" w:cs="Times New Roman" w:eastAsia="Times New Roman" w:hAnsi="Times New Roman"/>
          <w:sz w:val="18"/>
          <w:szCs w:val="18"/>
          <w:color w:val="2E2E2E"/>
        </w:rPr>
        <w:t>In addition, the letter agreement included a contingent redemption feature, which required bifurcation from the 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E Redeemable Preferred and is classified as a derivative liability.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Currently, the carrying values of the redeemable preferred stocks are being increased by periodic accretions (recorded to retained earnings and included in determining income or loss per share) using the interest method so that the carrying amount will equal the redemption value as of </w:t>
      </w:r>
      <w:r>
        <w:rPr>
          <w:rFonts w:ascii="Times New Roman" w:cs="Times New Roman" w:eastAsia="Times New Roman" w:hAnsi="Times New Roman"/>
          <w:sz w:val="18"/>
          <w:szCs w:val="18"/>
          <w:color w:val="2E2E2E"/>
        </w:rPr>
        <w:t>October 25, 2023</w:t>
      </w:r>
      <w:r>
        <w:rPr>
          <w:rFonts w:ascii="Times New Roman" w:cs="Times New Roman" w:eastAsia="Times New Roman" w:hAnsi="Times New Roman"/>
          <w:sz w:val="18"/>
          <w:szCs w:val="18"/>
          <w:color w:val="auto"/>
        </w:rPr>
        <w:t>, the earliest possible redemption date by the holder. Approximately $30 million of accretion (including the amount for earned dividends) was recorded to retained earnings in 2018. At December 31, 2018, the carrying value of these redeemable preferred stocks was $202.1 million.</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embedded derivative, changes in fair value are recorded in our statement of operations. As the result of the financing transaction relating to the Senior Secured Notes and the letter agreement, we estimate that the contingent redemption features have fair value at December 31, 2018 since we estimate that it is probable that a portion of the shares of this preferred stock would be redeemed prior to October 25, 2023.</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December 31, 2018 and 2017, the fair value of the embedded derivative was $1.6 million and $2.7 million, respectively, primarily relating to the participation rights based on the equivalent of 303,646 shares of our common stock at $5.52 and $8.76 per share, respectively. No valuation input adjustments were considered necessary relating to nonperformance risk for the embedded derivative based on our current forecast. The valuation is classified as Level 3.</w:t>
      </w:r>
    </w:p>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158" w:lineRule="exact"/>
        <w:rPr>
          <w:sz w:val="20"/>
          <w:szCs w:val="20"/>
          <w:color w:val="auto"/>
        </w:rPr>
      </w:pPr>
    </w:p>
    <w:p>
      <w:pPr>
        <w:ind w:right="408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 General</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results of operations and operating cash flows are affected by changes in market prices of natural gas, changes in market interest rates and changes in market currency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Periodically, we enter into forward firm sales commitments for products to be delivered in future periods. As a result, we could be exposed to embedded losses should our product costs exceed the firm sales prices. At December 31, 2018, we had no embedded losses associated with sales commitments with firm sales prices.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December 31, 2018, we did not have any natural gas derivatives not meeting the definition of a normal purchase and sale.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we are exposed to variable interest rate risk with respect to our revolving credit facility. As of December 31, 2018, we have $10.0 million borrowings on this credit facility. We are also exposed to interest rate risk on variable rate borrowings for certain commercial loans in the amount of approximately $14.7 million. We currently do not hedge our interest rate risk associated with these variable interest loans.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principal amounts and related weighted-average interest rates by maturity date for our interest rate sensitive debt agreements as of December 31,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15"/>
                <w:szCs w:val="15"/>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820" w:type="dxa"/>
            <w:vAlign w:val="bottom"/>
          </w:tcPr>
          <w:p>
            <w:pPr>
              <w:jc w:val="right"/>
              <w:ind w:right="37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900" w:type="dxa"/>
            <w:vAlign w:val="bottom"/>
          </w:tcPr>
          <w:p>
            <w:pPr>
              <w:jc w:val="center"/>
              <w:ind w:right="3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3"/>
                <w:szCs w:val="13"/>
                <w:color w:val="auto"/>
              </w:rPr>
            </w:pPr>
          </w:p>
        </w:tc>
        <w:tc>
          <w:tcPr>
            <w:tcW w:w="80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660" w:type="dxa"/>
            <w:vAlign w:val="bottom"/>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3"/>
          </w:tcPr>
          <w:p>
            <w:pPr>
              <w:jc w:val="center"/>
              <w:ind w:left="538"/>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Expected maturities of long-term debt (1):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Variable interest rate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1,980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11,980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26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interest rate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3,564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400,036</w:t>
            </w:r>
          </w:p>
        </w:tc>
        <w:tc>
          <w:tcPr>
            <w:tcW w:w="26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right="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and fixed interest rate debt balances and weighted-average interest rate are based on the aggregate amount of debt outstanding as of December 31, 2018.</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2018 and 2017, we did not have any financial instruments with fair values significantly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158" w:lineRule="exact"/>
        <w:rPr>
          <w:sz w:val="20"/>
          <w:szCs w:val="20"/>
          <w:color w:val="auto"/>
        </w:rPr>
      </w:pPr>
    </w:p>
    <w:p>
      <w:pPr>
        <w:ind w:right="1200"/>
        <w:spacing w:after="0" w:line="41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2018 that have materially affected, or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assessed the effectiveness of our internal control over financial reporting as of December 31, 2018. In making this assessment, it used the criteria set forth by the Committee of Sponsoring Organizations of the Treadway Commission in Internal Control - Integrated Framework (2013 Framework). Based on our assessment, we believe that, as of December 31, 2018, our internal control over financial reporting is effective based on those criteria.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on our internal control over financial reporting. This report appears on the following page.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7" w:name="page48"/>
    <w:bookmarkEnd w:id="47"/>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LSB Industries,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LSB Industries, Inc.’s internal control over financial reporting as of December 31, 2018, based on criteria established in Internal Control— Integrated Framework issued by the Committee of Sponsoring Organizations of the Treadway Commission (2013 framework) (the COSO criteria). In our opinion, LSB Industries, Inc. (the Company) maintained, in all material respects, effective internal control over financial reporting as of December 31, 2018, based on the COSO criteria.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2018 consolidated financial statements of the Company and our report dated February 26, 2019 expressed an unqualified opinion thereon.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10, Item 11, Item 12, Item 13 and Item 14 are incorporated by reference to our definitive proxy statement which we intend to file with the SEC on or before April 30,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7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r>
      <w:tr>
        <w:trPr>
          <w:trHeight w:val="412"/>
        </w:trPr>
        <w:tc>
          <w:tcPr>
            <w:tcW w:w="108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04"/>
        </w:trPr>
        <w:tc>
          <w:tcPr>
            <w:tcW w:w="2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 (1) Financial Statements</w:t>
            </w:r>
          </w:p>
        </w:tc>
        <w:tc>
          <w:tcPr>
            <w:tcW w:w="3360" w:type="dxa"/>
            <w:vAlign w:val="bottom"/>
            <w:tcBorders>
              <w:top w:val="single" w:sz="8" w:color="auto"/>
            </w:tcBorders>
            <w:gridSpan w:val="7"/>
          </w:tcPr>
          <w:p>
            <w:pPr>
              <w:spacing w:after="0"/>
              <w:rPr>
                <w:sz w:val="24"/>
                <w:szCs w:val="24"/>
                <w:color w:val="auto"/>
              </w:rPr>
            </w:pPr>
          </w:p>
        </w:tc>
        <w:tc>
          <w:tcPr>
            <w:tcW w:w="53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91"/>
        </w:trPr>
        <w:tc>
          <w:tcPr>
            <w:tcW w:w="10860" w:type="dxa"/>
            <w:vAlign w:val="bottom"/>
            <w:gridSpan w:val="13"/>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Report of Independent Registered Public Accounting Firm</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860" w:type="dxa"/>
            <w:vAlign w:val="bottom"/>
            <w:gridSpan w:val="13"/>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Consolidated Balance Sheets at December 31, 2018 and 2017</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76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Consolidated Statements of Operations for each of the three years in the period ended December 31, 2018</w:t>
              </w:r>
            </w:hyperlink>
          </w:p>
        </w:tc>
        <w:tc>
          <w:tcPr>
            <w:tcW w:w="32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318"/>
        </w:trPr>
        <w:tc>
          <w:tcPr>
            <w:tcW w:w="8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Consolidated Statements of Stockholders' Equity for each of the three years in the period ended December 31, 2018</w:t>
              </w:r>
            </w:hyperlink>
          </w:p>
        </w:tc>
        <w:tc>
          <w:tcPr>
            <w:tcW w:w="25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318"/>
        </w:trPr>
        <w:tc>
          <w:tcPr>
            <w:tcW w:w="10860" w:type="dxa"/>
            <w:vAlign w:val="bottom"/>
            <w:gridSpan w:val="13"/>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Statements of Cash Flows for each of the three years in the period ended December 31, 2018</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318"/>
        </w:trPr>
        <w:tc>
          <w:tcPr>
            <w:tcW w:w="31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Notes to Consolidated Financial Statements</w:t>
              </w:r>
            </w:hyperlink>
          </w:p>
        </w:tc>
        <w:tc>
          <w:tcPr>
            <w:tcW w:w="4520" w:type="dxa"/>
            <w:vAlign w:val="bottom"/>
            <w:tcBorders>
              <w:top w:val="single" w:sz="8" w:color="0000EE"/>
            </w:tcBorders>
            <w:gridSpan w:val="7"/>
          </w:tcPr>
          <w:p>
            <w:pPr>
              <w:spacing w:after="0"/>
              <w:rPr>
                <w:sz w:val="24"/>
                <w:szCs w:val="24"/>
                <w:color w:val="auto"/>
              </w:rPr>
            </w:pPr>
          </w:p>
        </w:tc>
        <w:tc>
          <w:tcPr>
            <w:tcW w:w="31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F-9</w:t>
            </w:r>
          </w:p>
        </w:tc>
      </w:tr>
      <w:tr>
        <w:trPr>
          <w:trHeight w:val="318"/>
        </w:trPr>
        <w:tc>
          <w:tcPr>
            <w:tcW w:w="27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Quarterly Financial Data (Unaudited)</w:t>
              </w:r>
            </w:hyperlink>
          </w:p>
        </w:tc>
        <w:tc>
          <w:tcPr>
            <w:tcW w:w="814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F-41</w:t>
            </w:r>
          </w:p>
        </w:tc>
      </w:tr>
      <w:tr>
        <w:trPr>
          <w:trHeight w:val="682"/>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 (2) Financial Statement Schedule</w:t>
            </w:r>
          </w:p>
        </w:tc>
        <w:tc>
          <w:tcPr>
            <w:tcW w:w="80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Company has included the following schedule in this report:</w:t>
            </w:r>
          </w:p>
        </w:tc>
        <w:tc>
          <w:tcPr>
            <w:tcW w:w="560" w:type="dxa"/>
            <w:vAlign w:val="bottom"/>
          </w:tcPr>
          <w:p>
            <w:pPr>
              <w:spacing w:after="0"/>
              <w:rPr>
                <w:sz w:val="24"/>
                <w:szCs w:val="24"/>
                <w:color w:val="auto"/>
              </w:rPr>
            </w:pPr>
          </w:p>
        </w:tc>
      </w:tr>
      <w:tr>
        <w:trPr>
          <w:trHeight w:val="392"/>
        </w:trPr>
        <w:tc>
          <w:tcPr>
            <w:tcW w:w="10860" w:type="dxa"/>
            <w:vAlign w:val="bottom"/>
            <w:gridSpan w:val="13"/>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II - Valuation and Qualifying Accounts</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F-43</w:t>
            </w:r>
          </w:p>
        </w:tc>
      </w:tr>
      <w:tr>
        <w:trPr>
          <w:trHeight w:val="20"/>
        </w:trPr>
        <w:tc>
          <w:tcPr>
            <w:tcW w:w="2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auto"/>
        </w:rPr>
        <w:t>(a)(3)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line="20" w:lineRule="exact"/>
              <w:rPr>
                <w:sz w:val="1"/>
                <w:szCs w:val="1"/>
                <w:color w:val="auto"/>
              </w:rPr>
            </w:pPr>
          </w:p>
        </w:tc>
        <w:tc>
          <w:tcPr>
            <w:tcW w:w="540" w:type="dxa"/>
            <w:vAlign w:val="bottom"/>
            <w:gridSpan w:val="3"/>
            <w:vMerge w:val="restart"/>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60" w:type="dxa"/>
            <w:vAlign w:val="bottom"/>
            <w:gridSpan w:val="14"/>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 w:type="dxa"/>
            <w:vAlign w:val="bottom"/>
            <w:vMerge w:val="continue"/>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3260" w:type="dxa"/>
            <w:vAlign w:val="bottom"/>
            <w:gridSpan w:val="14"/>
            <w:vMerge w:val="continue"/>
          </w:tcPr>
          <w:p>
            <w:pPr>
              <w:spacing w:after="0"/>
              <w:rPr>
                <w:sz w:val="10"/>
                <w:szCs w:val="10"/>
                <w:color w:val="auto"/>
              </w:rPr>
            </w:pPr>
          </w:p>
        </w:tc>
        <w:tc>
          <w:tcPr>
            <w:tcW w:w="1360" w:type="dxa"/>
            <w:vAlign w:val="bottom"/>
          </w:tcPr>
          <w:p>
            <w:pPr>
              <w:spacing w:after="0"/>
              <w:rPr>
                <w:sz w:val="10"/>
                <w:szCs w:val="10"/>
                <w:color w:val="auto"/>
              </w:rPr>
            </w:pPr>
          </w:p>
        </w:tc>
        <w:tc>
          <w:tcPr>
            <w:tcW w:w="16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to the Following</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3(i).1</w:t>
            </w: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Restated Certificate of Incorporation of LSB Industries, Inc., dated January</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21, 1977, as amended August 27, 1987</w:t>
              </w:r>
            </w:hyperlink>
          </w:p>
        </w:tc>
        <w:tc>
          <w:tcPr>
            <w:tcW w:w="2860" w:type="dxa"/>
            <w:vAlign w:val="bottom"/>
            <w:gridSpan w:val="11"/>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February 28, 2013</w:t>
            </w:r>
          </w:p>
        </w:tc>
        <w:tc>
          <w:tcPr>
            <w:tcW w:w="0" w:type="dxa"/>
            <w:vAlign w:val="bottom"/>
          </w:tcPr>
          <w:p>
            <w:pPr>
              <w:spacing w:after="0"/>
              <w:rPr>
                <w:sz w:val="1"/>
                <w:szCs w:val="1"/>
                <w:color w:val="auto"/>
              </w:rPr>
            </w:pPr>
          </w:p>
        </w:tc>
      </w:tr>
      <w:tr>
        <w:trPr>
          <w:trHeight w:val="318"/>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3(ii).1</w:t>
            </w: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Bylaws of LSB Industries, Inc. dated August 20,</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3(ii).1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2009, as amended February 18, 2010, January 17, 2014, February 4, 2014</w:t>
              </w:r>
            </w:hyperlink>
          </w:p>
        </w:tc>
        <w:tc>
          <w:tcPr>
            <w:tcW w:w="60" w:type="dxa"/>
            <w:vAlign w:val="bottom"/>
            <w:gridSpan w:val="2"/>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August 27, 2014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and August 21, 2014</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gridSpan w:val="5"/>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3(ii).2</w:t>
            </w: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Fifth Amendment to the Amended and Restated Bylaws of LSB Industries,</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Inc., dated as of April 26, 2015</w:t>
              </w:r>
            </w:hyperlink>
          </w:p>
        </w:tc>
        <w:tc>
          <w:tcPr>
            <w:tcW w:w="3420" w:type="dxa"/>
            <w:vAlign w:val="bottom"/>
            <w:gridSpan w:val="15"/>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3(ii).3</w:t>
            </w: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Sixth Amendment to the Amended and Restated Bylaws of LSB Industries,</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3(ii)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Inc., dated as of December 2, 2015</w:t>
              </w:r>
            </w:hyperlink>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December 8, 2015</w:t>
            </w:r>
          </w:p>
        </w:tc>
        <w:tc>
          <w:tcPr>
            <w:tcW w:w="0" w:type="dxa"/>
            <w:vAlign w:val="bottom"/>
          </w:tcPr>
          <w:p>
            <w:pPr>
              <w:spacing w:after="0"/>
              <w:rPr>
                <w:sz w:val="1"/>
                <w:szCs w:val="1"/>
                <w:color w:val="auto"/>
              </w:rPr>
            </w:pPr>
          </w:p>
        </w:tc>
      </w:tr>
      <w:tr>
        <w:trPr>
          <w:trHeight w:val="20"/>
        </w:trPr>
        <w:tc>
          <w:tcPr>
            <w:tcW w:w="1420" w:type="dxa"/>
            <w:vAlign w:val="bottom"/>
            <w:gridSpan w:val="5"/>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3(ii).4</w:t>
            </w:r>
          </w:p>
        </w:tc>
        <w:tc>
          <w:tcPr>
            <w:tcW w:w="5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Seventh  Amendment  to  the  Amended  and  Restated  Bylaws  of  LSB</w:t>
              </w:r>
            </w:hyperlink>
          </w:p>
        </w:tc>
        <w:tc>
          <w:tcPr>
            <w:tcW w:w="4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3(ii)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Industries, Inc., dated as of December 22, 2015</w:t>
              </w:r>
            </w:hyperlink>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December 29, 2015</w:t>
            </w:r>
          </w:p>
        </w:tc>
        <w:tc>
          <w:tcPr>
            <w:tcW w:w="0" w:type="dxa"/>
            <w:vAlign w:val="bottom"/>
          </w:tcPr>
          <w:p>
            <w:pPr>
              <w:spacing w:after="0"/>
              <w:rPr>
                <w:sz w:val="1"/>
                <w:szCs w:val="1"/>
                <w:color w:val="auto"/>
              </w:rPr>
            </w:pPr>
          </w:p>
        </w:tc>
      </w:tr>
      <w:tr>
        <w:trPr>
          <w:trHeight w:val="20"/>
        </w:trPr>
        <w:tc>
          <w:tcPr>
            <w:tcW w:w="1420" w:type="dxa"/>
            <w:vAlign w:val="bottom"/>
            <w:gridSpan w:val="5"/>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4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4.1(P)</w:t>
            </w:r>
          </w:p>
        </w:tc>
        <w:tc>
          <w:tcPr>
            <w:tcW w:w="5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Specimen Certificate for the Company’s Series B Preferred Stock</w:t>
            </w: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4.27 to the Company’s Registration Statement on</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Form S-3 No. 33-9848</w:t>
            </w:r>
          </w:p>
        </w:tc>
        <w:tc>
          <w:tcPr>
            <w:tcW w:w="0" w:type="dxa"/>
            <w:vAlign w:val="bottom"/>
          </w:tcPr>
          <w:p>
            <w:pPr>
              <w:spacing w:after="0"/>
              <w:rPr>
                <w:sz w:val="1"/>
                <w:szCs w:val="1"/>
                <w:color w:val="auto"/>
              </w:rPr>
            </w:pPr>
          </w:p>
        </w:tc>
      </w:tr>
      <w:tr>
        <w:trPr>
          <w:trHeight w:val="297"/>
        </w:trPr>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Specimen  Certificate  for  the  Company’s  Series  D  6%  Cumulative,</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4.3 to the Company’s Form 10-K filed March 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Convertible Class C Preferred Stock</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2011</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Specimen Certificate for the Company’s Common Stock</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4.3 to the Company’s Registration Statement on</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Form S-3 ASR filed November 16, 2012</w:t>
            </w:r>
          </w:p>
        </w:tc>
        <w:tc>
          <w:tcPr>
            <w:tcW w:w="0" w:type="dxa"/>
            <w:vAlign w:val="bottom"/>
          </w:tcPr>
          <w:p>
            <w:pPr>
              <w:spacing w:after="0"/>
              <w:rPr>
                <w:sz w:val="1"/>
                <w:szCs w:val="1"/>
                <w:color w:val="auto"/>
              </w:rPr>
            </w:pPr>
          </w:p>
        </w:tc>
      </w:tr>
      <w:tr>
        <w:trPr>
          <w:trHeight w:val="297"/>
        </w:trPr>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Designations of Series E Cumulative Redeemable Class C</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4.1 to the Company’s Form 8-K filed December 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Preferred Stock of LSB Industries, Inc., dated as of December 4, 2015</w:t>
              </w:r>
            </w:hyperlink>
          </w:p>
        </w:tc>
        <w:tc>
          <w:tcPr>
            <w:tcW w:w="620" w:type="dxa"/>
            <w:vAlign w:val="bottom"/>
            <w:gridSpan w:val="4"/>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Designations of Series E-1 Cumulative Redeemable Class C</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4.1 to the Company’s Form 8-K filed October 19,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Preferred Stock of LSB Industries, Inc., dated as of October 18, 2018</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Correction to Certificate of Designations of the Series E-1</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4.1 to the Company’s Form 8-K filed November 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Cumulative Redeemable Class C Preferred Stock of LSB Industries, Inc.</w:t>
              </w:r>
            </w:hyperlink>
          </w:p>
        </w:tc>
        <w:tc>
          <w:tcPr>
            <w:tcW w:w="44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Designations of Series F Cumulative Redeemable Class C</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4.2 to the Company’s Form 8-K filed December 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Preferred Stock of LSB Industries, Inc., dated as of December 4, 2015</w:t>
              </w:r>
            </w:hyperlink>
          </w:p>
        </w:tc>
        <w:tc>
          <w:tcPr>
            <w:tcW w:w="56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Certificate of Designations of Series F-1 Redeemable Class C Preferred Stock</w:t>
              </w:r>
            </w:hyperlink>
          </w:p>
        </w:tc>
        <w:tc>
          <w:tcPr>
            <w:tcW w:w="4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4.2 to the Company’s Form 8-K filed October 19,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of LSB Industries, Inc., dated as of October 18, 2018</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Renewed Rights Agreement, dated as of December 2, 2008, between the</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4.1 to the Company’s Form 8-K filed December 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Company and UMB Bank, n.a.</w:t>
              </w:r>
            </w:hyperlink>
          </w:p>
        </w:tc>
        <w:tc>
          <w:tcPr>
            <w:tcW w:w="60" w:type="dxa"/>
            <w:vAlign w:val="bottom"/>
            <w:gridSpan w:val="2"/>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2008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Amendment to Renewed Rights Agreement, dated December 3, 2008, between</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4.3 to the Company’s Form 8-K filed December 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LSB Industries, Inc. and UMB Bank, n.a.</w:t>
              </w:r>
            </w:hyperlink>
          </w:p>
        </w:tc>
        <w:tc>
          <w:tcPr>
            <w:tcW w:w="60" w:type="dxa"/>
            <w:vAlign w:val="bottom"/>
            <w:gridSpan w:val="2"/>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2008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Amendment to Renewed Rights Agreement, dated as of December 4, 2015,</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4.3 to the Company’s Form 8-K filed December 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by and between LSB Industries, Inc. and UMB Bank, n.a., dated as of</w:t>
              </w:r>
            </w:hyperlink>
          </w:p>
        </w:tc>
        <w:tc>
          <w:tcPr>
            <w:tcW w:w="60" w:type="dxa"/>
            <w:vAlign w:val="bottom"/>
            <w:gridSpan w:val="2"/>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December 4, 2015</w:t>
              </w:r>
            </w:hyperlink>
          </w:p>
        </w:tc>
        <w:tc>
          <w:tcPr>
            <w:tcW w:w="4340" w:type="dxa"/>
            <w:vAlign w:val="bottom"/>
            <w:gridSpan w:val="18"/>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Indenture, dated August 7, 2013, among LSB Industries, Inc., the guarantors</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4.1 to the Company’s Form 8-K filed August 14,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named therein and UMB Bank, n.a., as trustee</w:t>
              </w:r>
            </w:hyperlink>
          </w:p>
        </w:tc>
        <w:tc>
          <w:tcPr>
            <w:tcW w:w="222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80" w:type="dxa"/>
            <w:vAlign w:val="bottom"/>
            <w:gridSpan w:val="14"/>
          </w:tcPr>
          <w:p>
            <w:pPr>
              <w:ind w:left="42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1"/>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60" w:type="dxa"/>
            <w:vAlign w:val="bottom"/>
            <w:gridSpan w:val="17"/>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260" w:type="dxa"/>
            <w:vAlign w:val="bottom"/>
            <w:gridSpan w:val="17"/>
            <w:vMerge w:val="continue"/>
          </w:tcPr>
          <w:p>
            <w:pPr>
              <w:spacing w:after="0"/>
              <w:rPr>
                <w:sz w:val="10"/>
                <w:szCs w:val="10"/>
                <w:color w:val="auto"/>
              </w:rPr>
            </w:pPr>
          </w:p>
        </w:tc>
        <w:tc>
          <w:tcPr>
            <w:tcW w:w="1360" w:type="dxa"/>
            <w:vAlign w:val="bottom"/>
          </w:tcPr>
          <w:p>
            <w:pPr>
              <w:spacing w:after="0"/>
              <w:rPr>
                <w:sz w:val="10"/>
                <w:szCs w:val="10"/>
                <w:color w:val="auto"/>
              </w:rPr>
            </w:pPr>
          </w:p>
        </w:tc>
        <w:tc>
          <w:tcPr>
            <w:tcW w:w="16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to the Following</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4.13</w:t>
            </w:r>
          </w:p>
        </w:tc>
        <w:tc>
          <w:tcPr>
            <w:tcW w:w="480" w:type="dxa"/>
            <w:vAlign w:val="bottom"/>
          </w:tcPr>
          <w:p>
            <w:pPr>
              <w:spacing w:after="0"/>
              <w:rPr>
                <w:sz w:val="24"/>
                <w:szCs w:val="24"/>
                <w:color w:val="auto"/>
              </w:rPr>
            </w:pPr>
          </w:p>
        </w:tc>
        <w:tc>
          <w:tcPr>
            <w:tcW w:w="5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First Supplemental Indenture, dated as of September 7, 2016, by and among</w:t>
              </w:r>
            </w:hyperlink>
          </w:p>
        </w:tc>
        <w:tc>
          <w:tcPr>
            <w:tcW w:w="60" w:type="dxa"/>
            <w:vAlign w:val="bottom"/>
            <w:gridSpan w:val="3"/>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4.1 to the Company’s Form 8-K filed October 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LSB Industries, Inc., the guarantors party thereto and UMB Bank, n.a., as</w:t>
              </w:r>
            </w:hyperlink>
          </w:p>
        </w:tc>
        <w:tc>
          <w:tcPr>
            <w:tcW w:w="6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2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trustee and notes collateral agent</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4.14</w:t>
            </w:r>
          </w:p>
        </w:tc>
        <w:tc>
          <w:tcPr>
            <w:tcW w:w="480" w:type="dxa"/>
            <w:vAlign w:val="bottom"/>
          </w:tcPr>
          <w:p>
            <w:pPr>
              <w:spacing w:after="0"/>
              <w:rPr>
                <w:sz w:val="24"/>
                <w:szCs w:val="24"/>
                <w:color w:val="auto"/>
              </w:rPr>
            </w:pPr>
          </w:p>
        </w:tc>
        <w:tc>
          <w:tcPr>
            <w:tcW w:w="5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Intercreditor Agreement, dated August 7, 2013, by and among Wells Fargo</w:t>
              </w:r>
            </w:hyperlink>
          </w:p>
        </w:tc>
        <w:tc>
          <w:tcPr>
            <w:tcW w:w="60" w:type="dxa"/>
            <w:vAlign w:val="bottom"/>
            <w:gridSpan w:val="3"/>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99.1 to the Company’s Form 8-K filed August 14,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Capital Finance, Inc., as agent and UMB Bank, n.a., as collateral agent, and</w:t>
              </w:r>
            </w:hyperlink>
          </w:p>
        </w:tc>
        <w:tc>
          <w:tcPr>
            <w:tcW w:w="6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acknowledged and agreed to by LSB Industries, Inc. and the other grantors</w:t>
              </w:r>
            </w:hyperlink>
          </w:p>
        </w:tc>
        <w:tc>
          <w:tcPr>
            <w:tcW w:w="6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named therein</w:t>
              </w:r>
            </w:hyperlink>
          </w:p>
        </w:tc>
        <w:tc>
          <w:tcPr>
            <w:tcW w:w="4640" w:type="dxa"/>
            <w:vAlign w:val="bottom"/>
            <w:gridSpan w:val="21"/>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4.15</w:t>
            </w:r>
          </w:p>
        </w:tc>
        <w:tc>
          <w:tcPr>
            <w:tcW w:w="480" w:type="dxa"/>
            <w:vAlign w:val="bottom"/>
          </w:tcPr>
          <w:p>
            <w:pPr>
              <w:spacing w:after="0"/>
              <w:rPr>
                <w:sz w:val="24"/>
                <w:szCs w:val="24"/>
                <w:color w:val="auto"/>
              </w:rPr>
            </w:pPr>
          </w:p>
        </w:tc>
        <w:tc>
          <w:tcPr>
            <w:tcW w:w="5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Indenture, dated as of April 25, 2018, among LSB Industries, Inc., the</w:t>
              </w:r>
            </w:hyperlink>
          </w:p>
        </w:tc>
        <w:tc>
          <w:tcPr>
            <w:tcW w:w="60" w:type="dxa"/>
            <w:vAlign w:val="bottom"/>
            <w:gridSpan w:val="3"/>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4.1 to the Company’s Form 8-K filed April 25,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subsidiary  guarantors  party  thereto  and  Wilmington  Trust,  National</w:t>
              </w:r>
            </w:hyperlink>
          </w:p>
        </w:tc>
        <w:tc>
          <w:tcPr>
            <w:tcW w:w="40" w:type="dxa"/>
            <w:vAlign w:val="bottom"/>
            <w:gridSpan w:val="2"/>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2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Association, as trustee and collateral agent.</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4.16</w:t>
            </w:r>
          </w:p>
        </w:tc>
        <w:tc>
          <w:tcPr>
            <w:tcW w:w="4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4.2 to the Company’s Form 8-K filed April 25,</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gridSpan w:val="25"/>
          </w:tcPr>
          <w:p>
            <w:pPr>
              <w:spacing w:after="0" w:line="194"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9.625% Senior Secured Notes due 2023 (included in Exhibit 4.1).</w:t>
              </w:r>
            </w:hyperlink>
          </w:p>
        </w:tc>
        <w:tc>
          <w:tcPr>
            <w:tcW w:w="13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536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Death Benefit Plan Agreement, dated April 1, 1981</w:t>
              </w:r>
            </w:hyperlink>
          </w:p>
        </w:tc>
        <w:tc>
          <w:tcPr>
            <w:tcW w:w="320" w:type="dxa"/>
            <w:vAlign w:val="bottom"/>
            <w:gridSpan w:val="4"/>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10.2 to the Company’s Form 10-K filed March 31,</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LSB Industries, Inc. Outside Directors Stock Purchase Plan, dated May 24,</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99.2 to the Company’s Form 8-K filed October 23,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1999</w:t>
              </w:r>
            </w:hyperlink>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LSB Industries, Inc. 2008 Incentive Stock Plan, effective June 5, 2008, as</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99.3 to the Company’s Form 8-K filed June 11,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amended by First Amendment, effective June 5, 2014</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386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Restricted Stock Agreement</w:t>
              </w:r>
            </w:hyperlink>
          </w:p>
        </w:tc>
        <w:tc>
          <w:tcPr>
            <w:tcW w:w="1820" w:type="dxa"/>
            <w:vAlign w:val="bottom"/>
            <w:gridSpan w:val="8"/>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10.3 to the Company’s Form 8-K filed January 8,</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Incentive Stock Option Agreement for 2008 Plan</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10.8 to the Company’s Form 10-K filed February</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LSB Industries, Inc. 2016 Long Term Incentive Plan</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4.8 to the Company’s Form S-8 filed June 28,</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LSB Industries, Inc. 2016 Long Term Incentive Plan Stock Option</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4.9 to the Company’s Form S-8 filed June 28,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Agreement</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tcPr>
          <w:p>
            <w:pPr>
              <w:spacing w:after="0"/>
              <w:rPr>
                <w:sz w:val="24"/>
                <w:szCs w:val="24"/>
                <w:color w:val="auto"/>
              </w:rPr>
            </w:pPr>
          </w:p>
        </w:tc>
        <w:tc>
          <w:tcPr>
            <w:tcW w:w="5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LSB Industries, Inc. 2016 Long Term Incentive Plan Restricted</w:t>
              </w:r>
            </w:hyperlink>
          </w:p>
        </w:tc>
        <w:tc>
          <w:tcPr>
            <w:tcW w:w="60" w:type="dxa"/>
            <w:vAlign w:val="bottom"/>
            <w:gridSpan w:val="3"/>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4.10 to the Company’s Form S-8 filed June 28,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Stock Unit Agreement (Director Award)</w:t>
              </w:r>
            </w:hyperlink>
          </w:p>
        </w:tc>
        <w:tc>
          <w:tcPr>
            <w:tcW w:w="2760" w:type="dxa"/>
            <w:vAlign w:val="bottom"/>
            <w:gridSpan w:val="14"/>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480" w:type="dxa"/>
            <w:vAlign w:val="bottom"/>
          </w:tcPr>
          <w:p>
            <w:pPr>
              <w:spacing w:after="0"/>
              <w:rPr>
                <w:sz w:val="24"/>
                <w:szCs w:val="24"/>
                <w:color w:val="auto"/>
              </w:rPr>
            </w:pPr>
          </w:p>
        </w:tc>
        <w:tc>
          <w:tcPr>
            <w:tcW w:w="5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LSB Industries, Inc. 2016 Long Term Incentive Plan Restricted</w:t>
              </w:r>
            </w:hyperlink>
          </w:p>
        </w:tc>
        <w:tc>
          <w:tcPr>
            <w:tcW w:w="60" w:type="dxa"/>
            <w:vAlign w:val="bottom"/>
            <w:gridSpan w:val="3"/>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4.11 to the Company’s Form S-8 filed June 28,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2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Stock Agreement</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Time-Based Restricted Stock Agreement of LSB Industries, Inc.</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10.4 to the Company’s Form 8-K filed January 3,</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Performance-Based Restricted Stock Agreement of LSB Industries,</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10.5 to the Company’s Form 8-K filed January 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gridSpan w:val="4"/>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10.12*(a)</w:t>
            </w:r>
          </w:p>
        </w:tc>
        <w:tc>
          <w:tcPr>
            <w:tcW w:w="5680" w:type="dxa"/>
            <w:vAlign w:val="bottom"/>
            <w:gridSpan w:val="25"/>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Notice Period Extension Regarding Employment Agreement by and between</w:t>
              </w:r>
            </w:hyperlink>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LSB Industries, Inc. and Mark Behrman</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Notice Period Extension Regarding Employment Agreement by and between</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10.4 to the Company’s Form 10-Q filed October</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LSB Industries, Inc. and Mark Behrman</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24, 2018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480" w:type="dxa"/>
            <w:vAlign w:val="bottom"/>
          </w:tcPr>
          <w:p>
            <w:pPr>
              <w:spacing w:after="0"/>
              <w:rPr>
                <w:sz w:val="24"/>
                <w:szCs w:val="24"/>
                <w:color w:val="auto"/>
              </w:rPr>
            </w:pPr>
          </w:p>
        </w:tc>
        <w:tc>
          <w:tcPr>
            <w:tcW w:w="5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Employment Agreement, dated December 30, 2018, between LSB Industries,</w:t>
              </w:r>
            </w:hyperlink>
          </w:p>
        </w:tc>
        <w:tc>
          <w:tcPr>
            <w:tcW w:w="60" w:type="dxa"/>
            <w:vAlign w:val="bottom"/>
            <w:gridSpan w:val="3"/>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10.1 to the Company’s Form 8-K filed January 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Inc. and Mark T. Behrman</w:t>
              </w:r>
            </w:hyperlink>
          </w:p>
        </w:tc>
        <w:tc>
          <w:tcPr>
            <w:tcW w:w="3760" w:type="dxa"/>
            <w:vAlign w:val="bottom"/>
            <w:gridSpan w:val="19"/>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480" w:type="dxa"/>
            <w:vAlign w:val="bottom"/>
          </w:tcPr>
          <w:p>
            <w:pPr>
              <w:spacing w:after="0"/>
              <w:rPr>
                <w:sz w:val="24"/>
                <w:szCs w:val="24"/>
                <w:color w:val="auto"/>
              </w:rPr>
            </w:pPr>
          </w:p>
        </w:tc>
        <w:tc>
          <w:tcPr>
            <w:tcW w:w="5680" w:type="dxa"/>
            <w:vAlign w:val="bottom"/>
            <w:gridSpan w:val="25"/>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Restricted Stock Agreement by and between LSB Industries, Inc. and Mark</w:t>
              </w:r>
            </w:hyperlink>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10.17 to the Company’s Form 10-K filed February</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Behrman, dated as of December 31, 2015</w:t>
              </w:r>
            </w:hyperlink>
          </w:p>
        </w:tc>
        <w:tc>
          <w:tcPr>
            <w:tcW w:w="2620" w:type="dxa"/>
            <w:vAlign w:val="bottom"/>
            <w:tcBorders>
              <w:top w:val="single" w:sz="8" w:color="0000EE"/>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480" w:type="dxa"/>
            <w:vAlign w:val="bottom"/>
          </w:tcPr>
          <w:p>
            <w:pPr>
              <w:spacing w:after="0"/>
              <w:rPr>
                <w:sz w:val="24"/>
                <w:szCs w:val="24"/>
                <w:color w:val="auto"/>
              </w:rPr>
            </w:pPr>
          </w:p>
        </w:tc>
        <w:tc>
          <w:tcPr>
            <w:tcW w:w="56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Employment Agreement by and between LSB Industries, Inc. and Daniel D.</w:t>
              </w:r>
            </w:hyperlink>
          </w:p>
        </w:tc>
        <w:tc>
          <w:tcPr>
            <w:tcW w:w="40" w:type="dxa"/>
            <w:vAlign w:val="bottom"/>
            <w:gridSpan w:val="2"/>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Exhibit 10.1 to the Company’s Form 8-K/A filed January</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2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Greenwell, dated as of December 31, 2015</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7, 2016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80" w:type="dxa"/>
            <w:vAlign w:val="bottom"/>
            <w:tcBorders>
              <w:top w:val="single" w:sz="8" w:color="0000EE"/>
            </w:tcBorders>
            <w:gridSpan w:val="13"/>
          </w:tcPr>
          <w:p>
            <w:pPr>
              <w:spacing w:after="0"/>
              <w:rPr>
                <w:sz w:val="24"/>
                <w:szCs w:val="24"/>
                <w:color w:val="auto"/>
              </w:rPr>
            </w:pPr>
          </w:p>
        </w:tc>
        <w:tc>
          <w:tcPr>
            <w:tcW w:w="220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1"/>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vMerge w:val="restart"/>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260" w:type="dxa"/>
            <w:vAlign w:val="bottom"/>
            <w:gridSpan w:val="14"/>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60" w:type="dxa"/>
            <w:vAlign w:val="bottom"/>
            <w:gridSpan w:val="14"/>
            <w:vMerge w:val="continue"/>
          </w:tcPr>
          <w:p>
            <w:pPr>
              <w:spacing w:after="0"/>
              <w:rPr>
                <w:sz w:val="10"/>
                <w:szCs w:val="10"/>
                <w:color w:val="auto"/>
              </w:rPr>
            </w:pPr>
          </w:p>
        </w:tc>
        <w:tc>
          <w:tcPr>
            <w:tcW w:w="1360" w:type="dxa"/>
            <w:vAlign w:val="bottom"/>
          </w:tcPr>
          <w:p>
            <w:pPr>
              <w:spacing w:after="0"/>
              <w:rPr>
                <w:sz w:val="10"/>
                <w:szCs w:val="10"/>
                <w:color w:val="auto"/>
              </w:rPr>
            </w:pPr>
          </w:p>
        </w:tc>
        <w:tc>
          <w:tcPr>
            <w:tcW w:w="16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to the Following</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480" w:type="dxa"/>
            <w:vAlign w:val="bottom"/>
          </w:tcPr>
          <w:p>
            <w:pPr>
              <w:spacing w:after="0"/>
              <w:rPr>
                <w:sz w:val="24"/>
                <w:szCs w:val="24"/>
                <w:color w:val="auto"/>
              </w:rPr>
            </w:pPr>
          </w:p>
        </w:tc>
        <w:tc>
          <w:tcPr>
            <w:tcW w:w="5680" w:type="dxa"/>
            <w:vAlign w:val="bottom"/>
            <w:gridSpan w:val="17"/>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Notice Period Extension Regarding Employment Agreement by and between</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10.3 to the Company’s Form 10-Q filed October</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LSB Industries, Inc. and Daniel D. Greenwell</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24, 2018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gridSpan w:val="4"/>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10.18*(a)</w:t>
            </w:r>
          </w:p>
        </w:tc>
        <w:tc>
          <w:tcPr>
            <w:tcW w:w="5680" w:type="dxa"/>
            <w:vAlign w:val="bottom"/>
            <w:gridSpan w:val="17"/>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Notice Period Extension Regarding Employment Agreement by and between</w:t>
              </w:r>
            </w:hyperlink>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LSB Industries, Inc. and Daniel D. Greenwell</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gridSpan w:val="4"/>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10.19*(a)</w:t>
            </w: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General Release Agreement by and between LSB Industries, Inc. and Daniel</w:t>
              </w:r>
            </w:hyperlink>
          </w:p>
        </w:tc>
        <w:tc>
          <w:tcPr>
            <w:tcW w:w="60" w:type="dxa"/>
            <w:vAlign w:val="bottom"/>
            <w:gridSpan w:val="3"/>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D. Greenwell, dated as of January 14, 2019</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Restricted Stock Agreement by and between LSB Industries, Inc. and Daniel</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8-K/A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D. Greenwell, dated as of December 31, 2015</w:t>
              </w:r>
            </w:hyperlink>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January 7, 2016</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Employment Agreement by and between LSB Industries, Inc. and Michael</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10.25 to the Company’s Form 10-K filed February</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Foster, dated as of January 5, 2016</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480" w:type="dxa"/>
            <w:vAlign w:val="bottom"/>
          </w:tcPr>
          <w:p>
            <w:pPr>
              <w:spacing w:after="0"/>
              <w:rPr>
                <w:sz w:val="24"/>
                <w:szCs w:val="24"/>
                <w:color w:val="auto"/>
              </w:rPr>
            </w:pPr>
          </w:p>
        </w:tc>
        <w:tc>
          <w:tcPr>
            <w:tcW w:w="5680" w:type="dxa"/>
            <w:vAlign w:val="bottom"/>
            <w:gridSpan w:val="17"/>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Notice Period Extension Regarding Employment Agreement by and between</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10.5 to the Company’s Form 10-Q filed October</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LSB Industries, Inc. and Michael J. Foster</w:t>
              </w:r>
            </w:hyperlink>
          </w:p>
        </w:tc>
        <w:tc>
          <w:tcPr>
            <w:tcW w:w="250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24, 2018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10.23*(a)</w:t>
            </w:r>
          </w:p>
        </w:tc>
        <w:tc>
          <w:tcPr>
            <w:tcW w:w="5680" w:type="dxa"/>
            <w:vAlign w:val="bottom"/>
            <w:gridSpan w:val="17"/>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Notice Period Extension Regarding Employment Agreement by and between</w:t>
              </w:r>
            </w:hyperlink>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LSB Industries, Inc. and Michael J. Foster</w:t>
              </w:r>
            </w:hyperlink>
          </w:p>
        </w:tc>
        <w:tc>
          <w:tcPr>
            <w:tcW w:w="250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Employment Agreement, dated December 30, 2018, between LSB Industries,</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10.3 to the Company’s Form 8-K filed January 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Inc. and Michael J. Foster</w:t>
              </w:r>
            </w:hyperlink>
          </w:p>
        </w:tc>
        <w:tc>
          <w:tcPr>
            <w:tcW w:w="3800" w:type="dxa"/>
            <w:vAlign w:val="bottom"/>
            <w:gridSpan w:val="15"/>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Restricted Stock Agreement by and between LSB Industries, Inc. and</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10.26 to the Company’s Form 10-K filed February</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Michael Foster, dated as of January 5, 2016</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Separation and Release Agreement by and between LSB Industries, Inc. and</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Tony M. Shelby, dated as of February 22, 2016</w:t>
              </w:r>
            </w:hyperlink>
          </w:p>
        </w:tc>
        <w:tc>
          <w:tcPr>
            <w:tcW w:w="2280" w:type="dxa"/>
            <w:vAlign w:val="bottom"/>
            <w:gridSpan w:val="5"/>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February 25, 2016</w:t>
            </w: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10.27*</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Employment Agreement by and between LSB Industries, Inc. and John</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August 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Diesch, executed as of July 21, 2016</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10.28*</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Employment Agreement by and between LSB Industries, Inc. and John</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February</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Diesch, executed as of July 21, 2016</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11, 2019</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10.29*</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Employment Agreement, dated December 30, 2018, between LSB Industries,</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8-K filed January 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Inc. and Cheryl Maguire</w:t>
              </w:r>
            </w:hyperlink>
          </w:p>
        </w:tc>
        <w:tc>
          <w:tcPr>
            <w:tcW w:w="3900" w:type="dxa"/>
            <w:vAlign w:val="bottom"/>
            <w:gridSpan w:val="16"/>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10.30*</w:t>
            </w:r>
          </w:p>
        </w:tc>
        <w:tc>
          <w:tcPr>
            <w:tcW w:w="480" w:type="dxa"/>
            <w:vAlign w:val="bottom"/>
          </w:tcPr>
          <w:p>
            <w:pPr>
              <w:spacing w:after="0"/>
              <w:rPr>
                <w:sz w:val="24"/>
                <w:szCs w:val="24"/>
                <w:color w:val="auto"/>
              </w:rPr>
            </w:pPr>
          </w:p>
        </w:tc>
        <w:tc>
          <w:tcPr>
            <w:tcW w:w="5680" w:type="dxa"/>
            <w:vAlign w:val="bottom"/>
            <w:gridSpan w:val="17"/>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Retention Bonus Agreement</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10.28 to the Company’s Form 10-K filed February</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10.31</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Indemnification Agreement, dated October 14, 2015, by and between the</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October 19,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Company and Jack E. Golsen, together with a schedule identifying other</w:t>
              </w:r>
            </w:hyperlink>
          </w:p>
        </w:tc>
        <w:tc>
          <w:tcPr>
            <w:tcW w:w="6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substantially identical agreements between the Company and each of the</w:t>
              </w:r>
            </w:hyperlink>
          </w:p>
        </w:tc>
        <w:tc>
          <w:tcPr>
            <w:tcW w:w="6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other directors identified on the schedule</w:t>
              </w:r>
            </w:hyperlink>
          </w:p>
        </w:tc>
        <w:tc>
          <w:tcPr>
            <w:tcW w:w="2720" w:type="dxa"/>
            <w:vAlign w:val="bottom"/>
            <w:gridSpan w:val="10"/>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10.32</w:t>
            </w:r>
          </w:p>
        </w:tc>
        <w:tc>
          <w:tcPr>
            <w:tcW w:w="480" w:type="dxa"/>
            <w:vAlign w:val="bottom"/>
          </w:tcPr>
          <w:p>
            <w:pPr>
              <w:spacing w:after="0"/>
              <w:rPr>
                <w:sz w:val="24"/>
                <w:szCs w:val="24"/>
                <w:color w:val="auto"/>
              </w:rPr>
            </w:pPr>
          </w:p>
        </w:tc>
        <w:tc>
          <w:tcPr>
            <w:tcW w:w="5680" w:type="dxa"/>
            <w:vAlign w:val="bottom"/>
            <w:gridSpan w:val="17"/>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Indemnification Agreement, dated October 14, 2015 by and between the</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8-K filed October 19,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Company and David M. Shear, together with a schedule identifying other</w:t>
              </w:r>
            </w:hyperlink>
          </w:p>
        </w:tc>
        <w:tc>
          <w:tcPr>
            <w:tcW w:w="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substantially identical agreements between the Company and each of its</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executive officers identified on the schedule</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10.33</w:t>
            </w:r>
          </w:p>
        </w:tc>
        <w:tc>
          <w:tcPr>
            <w:tcW w:w="480" w:type="dxa"/>
            <w:vAlign w:val="bottom"/>
          </w:tcPr>
          <w:p>
            <w:pPr>
              <w:spacing w:after="0"/>
              <w:rPr>
                <w:sz w:val="24"/>
                <w:szCs w:val="24"/>
                <w:color w:val="auto"/>
              </w:rPr>
            </w:pPr>
          </w:p>
        </w:tc>
        <w:tc>
          <w:tcPr>
            <w:tcW w:w="56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Indemnification Agreement, dated as of December 4, 2015, by and between</w:t>
              </w:r>
            </w:hyperlink>
          </w:p>
        </w:tc>
        <w:tc>
          <w:tcPr>
            <w:tcW w:w="4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10.5 to the Company’s Form 8-K filed December</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LSB Industries, Inc. and Jonathan S. Bobb, together with a schedule</w:t>
              </w:r>
            </w:hyperlink>
          </w:p>
        </w:tc>
        <w:tc>
          <w:tcPr>
            <w:tcW w:w="6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8, 2015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identifying other substantially identical agreements between the Company</w:t>
              </w:r>
            </w:hyperlink>
          </w:p>
        </w:tc>
        <w:tc>
          <w:tcPr>
            <w:tcW w:w="6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and each of the other directors identified on the schedule</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Borders>
              <w:top w:val="single" w:sz="8" w:color="0000EE"/>
            </w:tcBorders>
            <w:gridSpan w:val="13"/>
          </w:tcPr>
          <w:p>
            <w:pPr>
              <w:spacing w:after="0"/>
              <w:rPr>
                <w:sz w:val="24"/>
                <w:szCs w:val="24"/>
                <w:color w:val="auto"/>
              </w:rPr>
            </w:pPr>
          </w:p>
        </w:tc>
        <w:tc>
          <w:tcPr>
            <w:tcW w:w="15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1"/>
        </w:trPr>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vMerge w:val="restart"/>
          </w:tcPr>
          <w:p>
            <w:pPr>
              <w:spacing w:after="0" w:line="20" w:lineRule="exact"/>
              <w:rPr>
                <w:sz w:val="1"/>
                <w:szCs w:val="1"/>
                <w:color w:val="auto"/>
              </w:rPr>
            </w:pPr>
          </w:p>
        </w:tc>
        <w:tc>
          <w:tcPr>
            <w:tcW w:w="2420" w:type="dxa"/>
            <w:vAlign w:val="bottom"/>
            <w:vMerge w:val="restart"/>
          </w:tcPr>
          <w:p>
            <w:pPr>
              <w:spacing w:after="0" w:line="20" w:lineRule="exact"/>
              <w:rPr>
                <w:sz w:val="1"/>
                <w:szCs w:val="1"/>
                <w:color w:val="auto"/>
              </w:rPr>
            </w:pPr>
          </w:p>
        </w:tc>
        <w:tc>
          <w:tcPr>
            <w:tcW w:w="3260" w:type="dxa"/>
            <w:vAlign w:val="bottom"/>
            <w:gridSpan w:val="7"/>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3260" w:type="dxa"/>
            <w:vAlign w:val="bottom"/>
            <w:gridSpan w:val="7"/>
            <w:vMerge w:val="continue"/>
          </w:tcPr>
          <w:p>
            <w:pPr>
              <w:spacing w:after="0"/>
              <w:rPr>
                <w:sz w:val="10"/>
                <w:szCs w:val="10"/>
                <w:color w:val="auto"/>
              </w:rPr>
            </w:pPr>
          </w:p>
        </w:tc>
        <w:tc>
          <w:tcPr>
            <w:tcW w:w="1360" w:type="dxa"/>
            <w:vAlign w:val="bottom"/>
          </w:tcPr>
          <w:p>
            <w:pPr>
              <w:spacing w:after="0"/>
              <w:rPr>
                <w:sz w:val="10"/>
                <w:szCs w:val="10"/>
                <w:color w:val="auto"/>
              </w:rPr>
            </w:pPr>
          </w:p>
        </w:tc>
        <w:tc>
          <w:tcPr>
            <w:tcW w:w="16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to the Following</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w w:val="93"/>
              </w:rPr>
              <w:t>10.34</w:t>
            </w:r>
          </w:p>
        </w:tc>
        <w:tc>
          <w:tcPr>
            <w:tcW w:w="480" w:type="dxa"/>
            <w:vAlign w:val="bottom"/>
          </w:tcPr>
          <w:p>
            <w:pPr>
              <w:spacing w:after="0"/>
              <w:rPr>
                <w:sz w:val="24"/>
                <w:szCs w:val="24"/>
                <w:color w:val="auto"/>
              </w:rPr>
            </w:pPr>
          </w:p>
        </w:tc>
        <w:tc>
          <w:tcPr>
            <w:tcW w:w="5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Nitric Acid Supply, Operating and Maintenance Agreement, dated October</w:t>
              </w:r>
            </w:hyperlink>
          </w:p>
        </w:tc>
        <w:tc>
          <w:tcPr>
            <w:tcW w:w="60" w:type="dxa"/>
            <w:vAlign w:val="bottom"/>
            <w:gridSpan w:val="3"/>
          </w:tcPr>
          <w:p>
            <w:pPr>
              <w:spacing w:after="0"/>
              <w:rPr>
                <w:sz w:val="24"/>
                <w:szCs w:val="24"/>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Exhibit 10.1 to the Company’s Form 10-Q filed November</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23, 2008, by and among El Dorado Nitrogen, L.P., El Dorado Chemical</w:t>
              </w:r>
            </w:hyperlink>
          </w:p>
        </w:tc>
        <w:tc>
          <w:tcPr>
            <w:tcW w:w="6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6, 2008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Company and Bayer MaterialScience LLC</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COMMISSION   ORDER   CF   #30125,   DATED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OCTOBER 4, 2013, GRANTING REQUEST BY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COMPANY FOR CONFIDENTIAL TREATMENT BY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SECURITIES AND EXCHANGE COMMISSION</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UNDER THE FREEDOM OF INFORMATION ACT.</w:t>
            </w:r>
          </w:p>
        </w:tc>
        <w:tc>
          <w:tcPr>
            <w:tcW w:w="0" w:type="dxa"/>
            <w:vAlign w:val="bottom"/>
          </w:tcPr>
          <w:p>
            <w:pPr>
              <w:spacing w:after="0"/>
              <w:rPr>
                <w:sz w:val="1"/>
                <w:szCs w:val="1"/>
                <w:color w:val="auto"/>
              </w:rPr>
            </w:pPr>
          </w:p>
        </w:tc>
      </w:tr>
      <w:tr>
        <w:trPr>
          <w:trHeight w:val="297"/>
        </w:trPr>
        <w:tc>
          <w:tcPr>
            <w:tcW w:w="8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w w:val="93"/>
              </w:rPr>
              <w:t>10.35</w:t>
            </w:r>
          </w:p>
        </w:tc>
        <w:tc>
          <w:tcPr>
            <w:tcW w:w="480" w:type="dxa"/>
            <w:vAlign w:val="bottom"/>
          </w:tcPr>
          <w:p>
            <w:pPr>
              <w:spacing w:after="0"/>
              <w:rPr>
                <w:sz w:val="24"/>
                <w:szCs w:val="24"/>
                <w:color w:val="auto"/>
              </w:rPr>
            </w:pPr>
          </w:p>
        </w:tc>
        <w:tc>
          <w:tcPr>
            <w:tcW w:w="5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Second Amendment to the Nitric Acid Supply, Operating and Maintenance</w:t>
              </w:r>
            </w:hyperlink>
          </w:p>
        </w:tc>
        <w:tc>
          <w:tcPr>
            <w:tcW w:w="60" w:type="dxa"/>
            <w:vAlign w:val="bottom"/>
            <w:gridSpan w:val="3"/>
          </w:tcPr>
          <w:p>
            <w:pPr>
              <w:spacing w:after="0"/>
              <w:rPr>
                <w:sz w:val="24"/>
                <w:szCs w:val="24"/>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10-Q filed August 6,</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Agreement, dated June 16, 2010, by and among El Dorado Nitrogen, L.P., El</w:t>
              </w:r>
            </w:hyperlink>
          </w:p>
        </w:tc>
        <w:tc>
          <w:tcPr>
            <w:tcW w:w="2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2010</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Dorado Chemical Company and Bayer MaterialScience LLC</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0" w:type="dxa"/>
            <w:vAlign w:val="bottom"/>
            <w:tcBorders>
              <w:top w:val="single" w:sz="8" w:color="0000EE"/>
            </w:tcBorders>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COMMISSION   ORDER   CF   #30124,   DATED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OCTOBER 4, 2013, GRANTING REQUEST BY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COMPANY FOR CONFIDENTIAL TREATMENT BY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SECURITIES AND EXCHANGE COMMISSION</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UNDER THE FREEDOM OF INFORMATION ACT.</w:t>
            </w:r>
          </w:p>
        </w:tc>
        <w:tc>
          <w:tcPr>
            <w:tcW w:w="0" w:type="dxa"/>
            <w:vAlign w:val="bottom"/>
          </w:tcPr>
          <w:p>
            <w:pPr>
              <w:spacing w:after="0"/>
              <w:rPr>
                <w:sz w:val="1"/>
                <w:szCs w:val="1"/>
                <w:color w:val="auto"/>
              </w:rPr>
            </w:pPr>
          </w:p>
        </w:tc>
      </w:tr>
      <w:tr>
        <w:trPr>
          <w:trHeight w:val="297"/>
        </w:trPr>
        <w:tc>
          <w:tcPr>
            <w:tcW w:w="8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w w:val="93"/>
              </w:rPr>
              <w:t>10.36</w:t>
            </w:r>
          </w:p>
        </w:tc>
        <w:tc>
          <w:tcPr>
            <w:tcW w:w="480" w:type="dxa"/>
            <w:vAlign w:val="bottom"/>
          </w:tcPr>
          <w:p>
            <w:pPr>
              <w:spacing w:after="0"/>
              <w:rPr>
                <w:sz w:val="24"/>
                <w:szCs w:val="24"/>
                <w:color w:val="auto"/>
              </w:rPr>
            </w:pPr>
          </w:p>
        </w:tc>
        <w:tc>
          <w:tcPr>
            <w:tcW w:w="5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Third Amendment to the Nitric Acid Supply, Operating and Maintenance</w:t>
              </w:r>
            </w:hyperlink>
          </w:p>
        </w:tc>
        <w:tc>
          <w:tcPr>
            <w:tcW w:w="40" w:type="dxa"/>
            <w:vAlign w:val="bottom"/>
            <w:gridSpan w:val="2"/>
          </w:tcPr>
          <w:p>
            <w:pPr>
              <w:spacing w:after="0"/>
              <w:rPr>
                <w:sz w:val="24"/>
                <w:szCs w:val="24"/>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10.3 to the Company’s Form 10-Q filed August 9,</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Agreement, dated June 25, 2013, by and among El Dorado Nitrogen, L.P., El</w:t>
              </w:r>
            </w:hyperlink>
          </w:p>
        </w:tc>
        <w:tc>
          <w:tcPr>
            <w:tcW w:w="2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8"/>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Dorado Chemical Company and Bayer MaterialScience LLC</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0" w:type="dxa"/>
            <w:vAlign w:val="bottom"/>
            <w:tcBorders>
              <w:top w:val="single" w:sz="8" w:color="0000EE"/>
            </w:tcBorders>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HAS  BEEN  OMITTED  AS  IT  IS  SUBJECT  OF  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COMMISSION   ORDER   CF   #30123,   DATED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OCTOBER 4, 2013, GRANTING REQUEST BY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COMPANY FOR CONFIDENTIAL TREATMENT BY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SECURITIES AND EXCHANGE COMMISSION</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UNDER THE FREEDOM OF INFORMATION ACT.</w:t>
            </w:r>
          </w:p>
        </w:tc>
        <w:tc>
          <w:tcPr>
            <w:tcW w:w="0" w:type="dxa"/>
            <w:vAlign w:val="bottom"/>
          </w:tcPr>
          <w:p>
            <w:pPr>
              <w:spacing w:after="0"/>
              <w:rPr>
                <w:sz w:val="1"/>
                <w:szCs w:val="1"/>
                <w:color w:val="auto"/>
              </w:rPr>
            </w:pPr>
          </w:p>
        </w:tc>
      </w:tr>
      <w:tr>
        <w:trPr>
          <w:trHeight w:val="297"/>
        </w:trPr>
        <w:tc>
          <w:tcPr>
            <w:tcW w:w="8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w w:val="93"/>
              </w:rPr>
              <w:t>10.37</w:t>
            </w:r>
          </w:p>
        </w:tc>
        <w:tc>
          <w:tcPr>
            <w:tcW w:w="480" w:type="dxa"/>
            <w:vAlign w:val="bottom"/>
          </w:tcPr>
          <w:p>
            <w:pPr>
              <w:spacing w:after="0"/>
              <w:rPr>
                <w:sz w:val="24"/>
                <w:szCs w:val="24"/>
                <w:color w:val="auto"/>
              </w:rPr>
            </w:pPr>
          </w:p>
        </w:tc>
        <w:tc>
          <w:tcPr>
            <w:tcW w:w="5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Asset Purchase Agreement, dated as of December 6, 2002, by and among</w:t>
              </w:r>
            </w:hyperlink>
          </w:p>
        </w:tc>
        <w:tc>
          <w:tcPr>
            <w:tcW w:w="60" w:type="dxa"/>
            <w:vAlign w:val="bottom"/>
            <w:gridSpan w:val="3"/>
          </w:tcPr>
          <w:p>
            <w:pPr>
              <w:spacing w:after="0"/>
              <w:rPr>
                <w:sz w:val="24"/>
                <w:szCs w:val="24"/>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2.1  to  the  Company’s  Form  8-K  dated</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0" w:type="dxa"/>
            <w:vAlign w:val="bottom"/>
            <w:gridSpan w:val="13"/>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 xml:space="preserve">Energetic Systems Inc. LLC, UTeC Corporation, LLC, SEC Investment Corp. </w:t>
              </w:r>
            </w:hyperlink>
            <w:r>
              <w:rPr>
                <w:rFonts w:ascii="Times New Roman" w:cs="Times New Roman" w:eastAsia="Times New Roman" w:hAnsi="Times New Roman"/>
                <w:sz w:val="18"/>
                <w:szCs w:val="18"/>
                <w:color w:val="000000"/>
              </w:rPr>
              <w:t>December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27, 2002</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LLC, DetaCorp Inc. LLC, Energetic Properties, LLC, Slurry Explosive</w:t>
              </w:r>
            </w:hyperlink>
          </w:p>
        </w:tc>
        <w:tc>
          <w:tcPr>
            <w:tcW w:w="6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Corporation, Universal Tech Corporation, El Dorado Chemical Company,</w:t>
              </w:r>
            </w:hyperlink>
          </w:p>
        </w:tc>
        <w:tc>
          <w:tcPr>
            <w:tcW w:w="6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LSB  Chemical  Corp.,  LSB  Industries,  Inc.  and  Slurry  Explosive</w:t>
              </w:r>
            </w:hyperlink>
          </w:p>
        </w:tc>
        <w:tc>
          <w:tcPr>
            <w:tcW w:w="6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8"/>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Manufacturing Corporation, LLC</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w w:val="93"/>
              </w:rPr>
              <w:t>10.38</w:t>
            </w:r>
          </w:p>
        </w:tc>
        <w:tc>
          <w:tcPr>
            <w:tcW w:w="480" w:type="dxa"/>
            <w:vAlign w:val="bottom"/>
          </w:tcPr>
          <w:p>
            <w:pPr>
              <w:spacing w:after="0"/>
              <w:rPr>
                <w:sz w:val="24"/>
                <w:szCs w:val="24"/>
                <w:color w:val="auto"/>
              </w:rPr>
            </w:pPr>
          </w:p>
        </w:tc>
        <w:tc>
          <w:tcPr>
            <w:tcW w:w="5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Exhibits and Disclosure Letters to the Asset Purchase Agreement, dated as of</w:t>
              </w:r>
            </w:hyperlink>
          </w:p>
        </w:tc>
        <w:tc>
          <w:tcPr>
            <w:tcW w:w="60" w:type="dxa"/>
            <w:vAlign w:val="bottom"/>
            <w:gridSpan w:val="3"/>
          </w:tcPr>
          <w:p>
            <w:pPr>
              <w:spacing w:after="0"/>
              <w:rPr>
                <w:sz w:val="24"/>
                <w:szCs w:val="24"/>
                <w:color w:val="auto"/>
              </w:rPr>
            </w:pPr>
          </w:p>
        </w:tc>
        <w:tc>
          <w:tcPr>
            <w:tcW w:w="43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Exhibit 10.1b to the Company’s Form 10-Q filed August 6,</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December 6, 2002, by and among Energetic Systems Inc. LLC, UTeC</w:t>
              </w:r>
            </w:hyperlink>
          </w:p>
        </w:tc>
        <w:tc>
          <w:tcPr>
            <w:tcW w:w="6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2010</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Corporation,  LLC,  SEC  Investment  Corp.  LLC,  DetaCorp  Inc.  LLC,</w:t>
              </w:r>
            </w:hyperlink>
          </w:p>
        </w:tc>
        <w:tc>
          <w:tcPr>
            <w:tcW w:w="4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320"/>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Energetic Properties, LLC, Slurry Explosive Corporation, Universal Tech</w:t>
        </w:r>
      </w:hyperlink>
    </w:p>
    <w:p>
      <w:pPr>
        <w:spacing w:after="0" w:line="27" w:lineRule="exact"/>
        <w:rPr>
          <w:sz w:val="20"/>
          <w:szCs w:val="20"/>
          <w:color w:val="auto"/>
        </w:rPr>
      </w:pPr>
    </w:p>
    <w:p>
      <w:pPr>
        <w:ind w:left="1320"/>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Corporation, El Dorado Chemical Company, LSB Chemical Corp., LSB</w:t>
        </w:r>
      </w:hyperlink>
    </w:p>
    <w:p>
      <w:pPr>
        <w:spacing w:after="0" w:line="9" w:lineRule="exact"/>
        <w:rPr>
          <w:sz w:val="20"/>
          <w:szCs w:val="20"/>
          <w:color w:val="auto"/>
        </w:rPr>
      </w:pPr>
    </w:p>
    <w:p>
      <w:pPr>
        <w:ind w:left="1320"/>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Industries, Inc. and Slurry Explosive Manufacturing Corporation, LLC</w:t>
        </w:r>
      </w:hyperlink>
    </w:p>
    <w:p>
      <w:pPr>
        <w:spacing w:after="0" w:line="3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35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1"/>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60" w:type="dxa"/>
            <w:vAlign w:val="bottom"/>
            <w:gridSpan w:val="11"/>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260" w:type="dxa"/>
            <w:vAlign w:val="bottom"/>
            <w:gridSpan w:val="11"/>
            <w:vMerge w:val="continue"/>
          </w:tcPr>
          <w:p>
            <w:pPr>
              <w:spacing w:after="0"/>
              <w:rPr>
                <w:sz w:val="10"/>
                <w:szCs w:val="10"/>
                <w:color w:val="auto"/>
              </w:rPr>
            </w:pPr>
          </w:p>
        </w:tc>
        <w:tc>
          <w:tcPr>
            <w:tcW w:w="1360" w:type="dxa"/>
            <w:vAlign w:val="bottom"/>
          </w:tcPr>
          <w:p>
            <w:pPr>
              <w:spacing w:after="0"/>
              <w:rPr>
                <w:sz w:val="10"/>
                <w:szCs w:val="10"/>
                <w:color w:val="auto"/>
              </w:rPr>
            </w:pPr>
          </w:p>
        </w:tc>
        <w:tc>
          <w:tcPr>
            <w:tcW w:w="16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to the Following</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10.39</w:t>
            </w:r>
          </w:p>
        </w:tc>
        <w:tc>
          <w:tcPr>
            <w:tcW w:w="480" w:type="dxa"/>
            <w:vAlign w:val="bottom"/>
          </w:tcPr>
          <w:p>
            <w:pPr>
              <w:spacing w:after="0"/>
              <w:rPr>
                <w:sz w:val="24"/>
                <w:szCs w:val="24"/>
                <w:color w:val="auto"/>
              </w:rPr>
            </w:pPr>
          </w:p>
        </w:tc>
        <w:tc>
          <w:tcPr>
            <w:tcW w:w="56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Ammonia Purchase and Sale Agreement by and between El Dorado Chemical</w:t>
              </w:r>
            </w:hyperlink>
          </w:p>
        </w:tc>
        <w:tc>
          <w:tcPr>
            <w:tcW w:w="4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10.49 to the Company’s Form 10-K filed February</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Company and Koch Fertilizer, LLC, dated as of November 2, 2015</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COMMISSION ORDER CF #33502, DATED APRIL 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2016, GRANTING REQUEST BY THE COMPANY FOR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CONFIDENTIAL TREATMENT BY THE SECURITIES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AND  EXCHANGE  COMMISSION  UNDER  THE</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FREEDOM OF INFORMATION ACT.</w:t>
            </w:r>
          </w:p>
        </w:tc>
        <w:tc>
          <w:tcPr>
            <w:tcW w:w="0" w:type="dxa"/>
            <w:vAlign w:val="bottom"/>
          </w:tcPr>
          <w:p>
            <w:pPr>
              <w:spacing w:after="0"/>
              <w:rPr>
                <w:sz w:val="1"/>
                <w:szCs w:val="1"/>
                <w:color w:val="auto"/>
              </w:rPr>
            </w:pPr>
          </w:p>
        </w:tc>
      </w:tr>
      <w:tr>
        <w:trPr>
          <w:trHeight w:val="297"/>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10.40</w:t>
            </w:r>
          </w:p>
        </w:tc>
        <w:tc>
          <w:tcPr>
            <w:tcW w:w="48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Urea Ammonium Nitrate Purchase and Sale Agreement dated as of March 3,</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10-Q filed August 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2016 and effective as of June 1, 2016 between Coffeyville Resources</w:t>
              </w:r>
            </w:hyperlink>
          </w:p>
        </w:tc>
        <w:tc>
          <w:tcPr>
            <w:tcW w:w="60" w:type="dxa"/>
            <w:vAlign w:val="bottom"/>
            <w:gridSpan w:val="2"/>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Nitrogen Fertilizers, LLC and Pryor Chemical Company</w:t>
              </w:r>
            </w:hyperlink>
          </w:p>
        </w:tc>
        <w:tc>
          <w:tcPr>
            <w:tcW w:w="434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CERTAIN  INFORMATION  WITHIN  THIS  EXHIBIT</w:t>
            </w: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COMMISSION ORDER CF #33783.  DATED AUGUST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30, 2016, GRANTING REQUEST BY THE COMPANY</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CONFIDENTIAL   TREATMENT   BY   THE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UNDER THE FREEDOM OF INFORMATION ACT.</w:t>
            </w:r>
          </w:p>
        </w:tc>
        <w:tc>
          <w:tcPr>
            <w:tcW w:w="0" w:type="dxa"/>
            <w:vAlign w:val="bottom"/>
          </w:tcPr>
          <w:p>
            <w:pPr>
              <w:spacing w:after="0"/>
              <w:rPr>
                <w:sz w:val="1"/>
                <w:szCs w:val="1"/>
                <w:color w:val="auto"/>
              </w:rPr>
            </w:pPr>
          </w:p>
        </w:tc>
      </w:tr>
      <w:tr>
        <w:trPr>
          <w:trHeight w:val="297"/>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10.41</w:t>
            </w:r>
          </w:p>
        </w:tc>
        <w:tc>
          <w:tcPr>
            <w:tcW w:w="480" w:type="dxa"/>
            <w:vAlign w:val="bottom"/>
          </w:tcPr>
          <w:p>
            <w:pPr>
              <w:spacing w:after="0"/>
              <w:rPr>
                <w:sz w:val="24"/>
                <w:szCs w:val="24"/>
                <w:color w:val="auto"/>
              </w:rPr>
            </w:pPr>
          </w:p>
        </w:tc>
        <w:tc>
          <w:tcPr>
            <w:tcW w:w="540" w:type="dxa"/>
            <w:vAlign w:val="bottom"/>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Stock</w:t>
              </w:r>
            </w:hyperlink>
          </w:p>
        </w:tc>
        <w:tc>
          <w:tcPr>
            <w:tcW w:w="5140" w:type="dxa"/>
            <w:vAlign w:val="bottom"/>
            <w:gridSpan w:val="14"/>
          </w:tcPr>
          <w:p>
            <w:pPr>
              <w:jc w:val="right"/>
              <w:ind w:right="60"/>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Purchase  Agreement  by  and  among  Consolidated  Industries</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May 13,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L.L.C.</w:t>
              </w:r>
            </w:hyperlink>
          </w:p>
        </w:tc>
        <w:tc>
          <w:tcPr>
            <w:tcW w:w="5140" w:type="dxa"/>
            <w:vAlign w:val="bottom"/>
            <w:gridSpan w:val="14"/>
          </w:tcPr>
          <w:p>
            <w:pPr>
              <w:jc w:val="right"/>
              <w:ind w:right="60"/>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The Climate Control Group, Inc., NIBE Energy Systems Inc. and,</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solely for purposes of Sections 6.8, 6.19 and 11.15 therein, LSB Industries,</w:t>
              </w:r>
            </w:hyperlink>
          </w:p>
        </w:tc>
        <w:tc>
          <w:tcPr>
            <w:tcW w:w="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Inc., and solely for purposes of Section 11.16 therein, NIBE Indistrier AB</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(publ), dated as of May 11, 2016.</w:t>
              </w:r>
            </w:hyperlink>
          </w:p>
        </w:tc>
        <w:tc>
          <w:tcPr>
            <w:tcW w:w="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10.42</w:t>
            </w:r>
          </w:p>
        </w:tc>
        <w:tc>
          <w:tcPr>
            <w:tcW w:w="48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Contract on the supply of Basic Engineering Package, Detail Engineering</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99.2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Package, Tagged Major Equipment and related Advisory Services, between</w:t>
              </w:r>
            </w:hyperlink>
          </w:p>
        </w:tc>
        <w:tc>
          <w:tcPr>
            <w:tcW w:w="60" w:type="dxa"/>
            <w:vAlign w:val="bottom"/>
            <w:gridSpan w:val="2"/>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December 6, 2012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Weatherly Inc. and El Dorado Chemical Company, dated November 30, 2012</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10.43</w:t>
            </w:r>
          </w:p>
        </w:tc>
        <w:tc>
          <w:tcPr>
            <w:tcW w:w="48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Engineering, Procurement and Construction Agreement, dated August 12,</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August 15,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2013, between El Dorado Ammonia L.L.C. and SAIC Constructors, LLC</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10.44</w:t>
            </w:r>
          </w:p>
        </w:tc>
        <w:tc>
          <w:tcPr>
            <w:tcW w:w="480" w:type="dxa"/>
            <w:vAlign w:val="bottom"/>
          </w:tcPr>
          <w:p>
            <w:pPr>
              <w:spacing w:after="0"/>
              <w:rPr>
                <w:sz w:val="24"/>
                <w:szCs w:val="24"/>
                <w:color w:val="auto"/>
              </w:rPr>
            </w:pPr>
          </w:p>
        </w:tc>
        <w:tc>
          <w:tcPr>
            <w:tcW w:w="5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Construction Agreement-DMW2, dated November 6, 2013, between El</w:t>
              </w:r>
            </w:hyperlink>
          </w:p>
        </w:tc>
        <w:tc>
          <w:tcPr>
            <w:tcW w:w="6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99.1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Dorado Chemical Company and SAIC Constructors, LLC</w:t>
              </w:r>
            </w:hyperlink>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November 12, 2013</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10.45</w:t>
            </w:r>
          </w:p>
        </w:tc>
        <w:tc>
          <w:tcPr>
            <w:tcW w:w="48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Construction Agreement – NACSAC, dated November 6, 2013, between El</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99.2 to the Company’s Form 8-K filed November</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Dorado Chemical Company and SAIC Constructors, LLC</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12, 2013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10.46</w:t>
            </w:r>
          </w:p>
        </w:tc>
        <w:tc>
          <w:tcPr>
            <w:tcW w:w="480" w:type="dxa"/>
            <w:vAlign w:val="bottom"/>
          </w:tcPr>
          <w:p>
            <w:pPr>
              <w:spacing w:after="0"/>
              <w:rPr>
                <w:sz w:val="24"/>
                <w:szCs w:val="24"/>
                <w:color w:val="auto"/>
              </w:rPr>
            </w:pPr>
          </w:p>
        </w:tc>
        <w:tc>
          <w:tcPr>
            <w:tcW w:w="5680" w:type="dxa"/>
            <w:vAlign w:val="bottom"/>
            <w:gridSpan w:val="15"/>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Engineering, Procurement and Construction Agreement, dated December 31,</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99.1 to the Company’s Form 8-K filed January 7,</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2013, between El Dorado Chemical Company and SAIC Constructors, LLC</w:t>
              </w:r>
            </w:hyperlink>
          </w:p>
        </w:tc>
        <w:tc>
          <w:tcPr>
            <w:tcW w:w="60" w:type="dxa"/>
            <w:vAlign w:val="bottom"/>
            <w:gridSpan w:val="2"/>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12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10.47</w:t>
            </w:r>
          </w:p>
        </w:tc>
        <w:tc>
          <w:tcPr>
            <w:tcW w:w="48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Engineering, Procurement and Construction Contract, Amendment No. 1</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October 26,</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dated October 20, 2015, by and between El Dorado Ammonia LLC and SAIC</w:t>
              </w:r>
            </w:hyperlink>
          </w:p>
        </w:tc>
        <w:tc>
          <w:tcPr>
            <w:tcW w:w="6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Constructors, LLC</w:t>
              </w:r>
            </w:hyperlink>
          </w:p>
        </w:tc>
        <w:tc>
          <w:tcPr>
            <w:tcW w:w="4320" w:type="dxa"/>
            <w:vAlign w:val="bottom"/>
            <w:gridSpan w:val="13"/>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0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1"/>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0" w:type="dxa"/>
            <w:vAlign w:val="bottom"/>
            <w:gridSpan w:val="11"/>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200" w:type="dxa"/>
            <w:vAlign w:val="bottom"/>
            <w:gridSpan w:val="11"/>
            <w:vMerge w:val="continue"/>
          </w:tcPr>
          <w:p>
            <w:pPr>
              <w:spacing w:after="0"/>
              <w:rPr>
                <w:sz w:val="10"/>
                <w:szCs w:val="10"/>
                <w:color w:val="auto"/>
              </w:rPr>
            </w:pPr>
          </w:p>
        </w:tc>
        <w:tc>
          <w:tcPr>
            <w:tcW w:w="1360" w:type="dxa"/>
            <w:vAlign w:val="bottom"/>
          </w:tcPr>
          <w:p>
            <w:pPr>
              <w:spacing w:after="0"/>
              <w:rPr>
                <w:sz w:val="10"/>
                <w:szCs w:val="10"/>
                <w:color w:val="auto"/>
              </w:rPr>
            </w:pPr>
          </w:p>
        </w:tc>
        <w:tc>
          <w:tcPr>
            <w:tcW w:w="16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to the Following</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10.48</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Settlement Agreement, dated April 26, 2015, by and among the Company</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99.1 to the Company’s Form 8-K filed April 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and Starboard Value LP and its certain affiliates and associates</w:t>
              </w:r>
            </w:hyperlink>
          </w:p>
        </w:tc>
        <w:tc>
          <w:tcPr>
            <w:tcW w:w="1160" w:type="dxa"/>
            <w:vAlign w:val="bottom"/>
            <w:gridSpan w:val="6"/>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10.49</w:t>
            </w:r>
          </w:p>
        </w:tc>
        <w:tc>
          <w:tcPr>
            <w:tcW w:w="480" w:type="dxa"/>
            <w:vAlign w:val="bottom"/>
          </w:tcPr>
          <w:p>
            <w:pPr>
              <w:spacing w:after="0"/>
              <w:rPr>
                <w:sz w:val="24"/>
                <w:szCs w:val="24"/>
                <w:color w:val="auto"/>
              </w:rPr>
            </w:pPr>
          </w:p>
        </w:tc>
        <w:tc>
          <w:tcPr>
            <w:tcW w:w="5680" w:type="dxa"/>
            <w:vAlign w:val="bottom"/>
            <w:gridSpan w:val="15"/>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Consent Decree, dated May 28, 2014, by and among, LSB Industries, Inc., El</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99.1 to the Company’s Form 8-K filed June 3,</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Dorado Chemical Co., Cherokee Nitrogen Co., Pryor Chemical Co., El</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Dorado  Nitrogen,  L.P.,  the  U.S.  Department  of  Justice,  the  U.S.</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Environmental   Protection   Agency,   the   Alabama   Department   of</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Environmental Management, and the Oklahoma Department of Environment</w:t>
              </w:r>
            </w:hyperlink>
          </w:p>
        </w:tc>
        <w:tc>
          <w:tcPr>
            <w:tcW w:w="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Quality</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10.50</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Second  Amended  and  Restated  Loan  and  Security  Agreement,  dated</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4.9  to  the  Company’s  Form  10-K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December 31, 2013, by and among LSB Industries, Inc., each of its</w:t>
              </w:r>
            </w:hyperlink>
          </w:p>
        </w:tc>
        <w:tc>
          <w:tcPr>
            <w:tcW w:w="60" w:type="dxa"/>
            <w:vAlign w:val="bottom"/>
            <w:gridSpan w:val="2"/>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February 27, 2014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subsidiaries that are signatories thereto, the lenders signatories thereto, and</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Wells Fargo Capital Finance, LLC</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10.51</w:t>
            </w:r>
          </w:p>
        </w:tc>
        <w:tc>
          <w:tcPr>
            <w:tcW w:w="480" w:type="dxa"/>
            <w:vAlign w:val="bottom"/>
          </w:tcPr>
          <w:p>
            <w:pPr>
              <w:spacing w:after="0"/>
              <w:rPr>
                <w:sz w:val="24"/>
                <w:szCs w:val="24"/>
                <w:color w:val="auto"/>
              </w:rPr>
            </w:pPr>
          </w:p>
        </w:tc>
        <w:tc>
          <w:tcPr>
            <w:tcW w:w="5680" w:type="dxa"/>
            <w:vAlign w:val="bottom"/>
            <w:gridSpan w:val="15"/>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Amendment No. 1 to the Second Amended and Restated Loan and Security</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99.1 to the Company’s Form 8-K filed June 17,</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Agreement, dated as of June 11, 2015, by and among LSB Industries, Inc. its</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subsidiaries identified on the signature pages thereof, the lenders identified</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on the signature pages thereof and Wells Fargo Capital Finance, LLC, as the</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arranger and administrative agent for the Lenders</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10.52</w:t>
            </w:r>
          </w:p>
        </w:tc>
        <w:tc>
          <w:tcPr>
            <w:tcW w:w="480" w:type="dxa"/>
            <w:vAlign w:val="bottom"/>
          </w:tcPr>
          <w:p>
            <w:pPr>
              <w:spacing w:after="0"/>
              <w:rPr>
                <w:sz w:val="24"/>
                <w:szCs w:val="24"/>
                <w:color w:val="auto"/>
              </w:rPr>
            </w:pPr>
          </w:p>
        </w:tc>
        <w:tc>
          <w:tcPr>
            <w:tcW w:w="5680" w:type="dxa"/>
            <w:vAlign w:val="bottom"/>
            <w:gridSpan w:val="15"/>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Amendment No. 2 to the Second Amended and Restated Loan and Security</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10.3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Agreement, dated as of November 9, 2015, by and among LSB Industries,</w:t>
              </w:r>
            </w:hyperlink>
          </w:p>
        </w:tc>
        <w:tc>
          <w:tcPr>
            <w:tcW w:w="60" w:type="dxa"/>
            <w:vAlign w:val="bottom"/>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November 16, 2015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Inc., its subsidiaries identified on the signature pages thereof, the lenders</w:t>
              </w:r>
            </w:hyperlink>
          </w:p>
        </w:tc>
        <w:tc>
          <w:tcPr>
            <w:tcW w:w="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identified on the signature pages thereof, and Wells Fargo Capital Finance,</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LLC, as the arranger and administrative agent for the Lenders</w:t>
              </w:r>
            </w:hyperlink>
          </w:p>
        </w:tc>
        <w:tc>
          <w:tcPr>
            <w:tcW w:w="1220" w:type="dxa"/>
            <w:vAlign w:val="bottom"/>
            <w:gridSpan w:val="7"/>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10.53</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Third Amended and Restated Loan and Security Agreement, dated as of</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January 20,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January 17, 2017, by and among LSB Industries, Inc., the subsidiaries of LSB</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Industries, Inc. party thereto, the lenders party thereto, and Wells Fargo</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Capital Finance, LLC, as the arranger and administrative agent.</w:t>
              </w:r>
            </w:hyperlink>
          </w:p>
        </w:tc>
        <w:tc>
          <w:tcPr>
            <w:tcW w:w="104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10.54</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First Amendment to Third Amended and Restated Loan and Security</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April 20,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Agreement, dated as of April 16, 2018, by and among Wells Fargo Capital</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Finance, LLC, as the arranger and administrative agent, the lenders party</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thereto, LSB Industries, Inc. and its subsidiaries identified on the signature</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pages thereto as borrowers and the Company’s subsidiaries identified on the</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signature pages thereto as guarantors.</w:t>
              </w:r>
            </w:hyperlink>
          </w:p>
        </w:tc>
        <w:tc>
          <w:tcPr>
            <w:tcW w:w="2960" w:type="dxa"/>
            <w:vAlign w:val="bottom"/>
            <w:gridSpan w:val="10"/>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10.55</w:t>
            </w:r>
          </w:p>
        </w:tc>
        <w:tc>
          <w:tcPr>
            <w:tcW w:w="480" w:type="dxa"/>
            <w:vAlign w:val="bottom"/>
          </w:tcPr>
          <w:p>
            <w:pPr>
              <w:spacing w:after="0"/>
              <w:rPr>
                <w:sz w:val="24"/>
                <w:szCs w:val="24"/>
                <w:color w:val="auto"/>
              </w:rPr>
            </w:pPr>
          </w:p>
        </w:tc>
        <w:tc>
          <w:tcPr>
            <w:tcW w:w="10020" w:type="dxa"/>
            <w:vAlign w:val="bottom"/>
            <w:gridSpan w:val="20"/>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 xml:space="preserve">Security Agreement dated as of August 7, 2013, among LSB Industries, Inc.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10.72 to the Company’s Form 10-K filed February</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and the other grantors identified therein in favor of UMB Bank, N.A. as</w:t>
              </w:r>
            </w:hyperlink>
          </w:p>
        </w:tc>
        <w:tc>
          <w:tcPr>
            <w:tcW w:w="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Collateral Agent</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10.56</w:t>
            </w:r>
          </w:p>
        </w:tc>
        <w:tc>
          <w:tcPr>
            <w:tcW w:w="480" w:type="dxa"/>
            <w:vAlign w:val="bottom"/>
          </w:tcPr>
          <w:p>
            <w:pPr>
              <w:spacing w:after="0"/>
              <w:rPr>
                <w:sz w:val="24"/>
                <w:szCs w:val="24"/>
                <w:color w:val="auto"/>
              </w:rPr>
            </w:pPr>
          </w:p>
        </w:tc>
        <w:tc>
          <w:tcPr>
            <w:tcW w:w="56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Supplement No. 1 to Security Agreement February 12, 2014 among LSB</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10.73 to the Company’s Form 10-K filed February</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Industries, Inc. and the other grantors identified therein in favor of UMB</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Bank, N.A., as Collateral Agent</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10.57</w:t>
            </w:r>
          </w:p>
        </w:tc>
        <w:tc>
          <w:tcPr>
            <w:tcW w:w="48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Note Purchase Agreement, dated November 9, 2015, by and among LSB</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5"/>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Industries, Inc., the guarantors party thereto and LSB Funding LLC</w:t>
              </w:r>
            </w:hyperlink>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November 16, 2015</w:t>
            </w:r>
          </w:p>
        </w:tc>
        <w:tc>
          <w:tcPr>
            <w:tcW w:w="0" w:type="dxa"/>
            <w:vAlign w:val="bottom"/>
          </w:tcPr>
          <w:p>
            <w:pPr>
              <w:spacing w:after="0"/>
              <w:rPr>
                <w:sz w:val="1"/>
                <w:szCs w:val="1"/>
                <w:color w:val="auto"/>
              </w:rPr>
            </w:pPr>
          </w:p>
        </w:tc>
      </w:tr>
      <w:tr>
        <w:trPr>
          <w:trHeight w:val="277"/>
        </w:trPr>
        <w:tc>
          <w:tcPr>
            <w:tcW w:w="94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10.58</w:t>
            </w:r>
          </w:p>
        </w:tc>
        <w:tc>
          <w:tcPr>
            <w:tcW w:w="480" w:type="dxa"/>
            <w:vAlign w:val="bottom"/>
          </w:tcPr>
          <w:p>
            <w:pPr>
              <w:spacing w:after="0"/>
              <w:rPr>
                <w:sz w:val="24"/>
                <w:szCs w:val="24"/>
                <w:color w:val="auto"/>
              </w:rPr>
            </w:pPr>
          </w:p>
        </w:tc>
        <w:tc>
          <w:tcPr>
            <w:tcW w:w="4860" w:type="dxa"/>
            <w:vAlign w:val="bottom"/>
            <w:tcBorders>
              <w:top w:val="single" w:sz="8" w:color="0000EE"/>
            </w:tcBorders>
            <w:gridSpan w:val="12"/>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Promissory Note, dated November 9, 2015, by LSB Industries, Inc</w:t>
              </w:r>
            </w:hyperlink>
            <w:r>
              <w:rPr>
                <w:rFonts w:ascii="Times New Roman" w:cs="Times New Roman" w:eastAsia="Times New Roman" w:hAnsi="Times New Roman"/>
                <w:sz w:val="18"/>
                <w:szCs w:val="18"/>
                <w:color w:val="000000"/>
                <w:w w:val="99"/>
              </w:rPr>
              <w:t>.</w:t>
            </w:r>
          </w:p>
        </w:tc>
        <w:tc>
          <w:tcPr>
            <w:tcW w:w="820" w:type="dxa"/>
            <w:vAlign w:val="bottom"/>
            <w:gridSpan w:val="3"/>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8-K  filed</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November 16, 2015</w:t>
            </w:r>
          </w:p>
        </w:tc>
        <w:tc>
          <w:tcPr>
            <w:tcW w:w="0" w:type="dxa"/>
            <w:vAlign w:val="bottom"/>
          </w:tcPr>
          <w:p>
            <w:pPr>
              <w:spacing w:after="0"/>
              <w:rPr>
                <w:sz w:val="1"/>
                <w:szCs w:val="1"/>
                <w:color w:val="auto"/>
              </w:rPr>
            </w:pPr>
          </w:p>
        </w:tc>
      </w:tr>
      <w:tr>
        <w:trPr>
          <w:trHeight w:val="51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60" w:type="dxa"/>
            <w:vAlign w:val="bottom"/>
            <w:gridSpan w:val="8"/>
          </w:tcPr>
          <w:p>
            <w:pPr>
              <w:ind w:left="420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1"/>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60" w:type="dxa"/>
            <w:vAlign w:val="bottom"/>
            <w:gridSpan w:val="12"/>
            <w:vMerge w:val="restart"/>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Exhibit Title</w:t>
            </w: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3260" w:type="dxa"/>
            <w:vAlign w:val="bottom"/>
            <w:gridSpan w:val="12"/>
            <w:vMerge w:val="continue"/>
          </w:tcPr>
          <w:p>
            <w:pPr>
              <w:spacing w:after="0"/>
              <w:rPr>
                <w:sz w:val="10"/>
                <w:szCs w:val="10"/>
                <w:color w:val="auto"/>
              </w:rPr>
            </w:pPr>
          </w:p>
        </w:tc>
        <w:tc>
          <w:tcPr>
            <w:tcW w:w="1360" w:type="dxa"/>
            <w:vAlign w:val="bottom"/>
          </w:tcPr>
          <w:p>
            <w:pPr>
              <w:spacing w:after="0"/>
              <w:rPr>
                <w:sz w:val="10"/>
                <w:szCs w:val="10"/>
                <w:color w:val="auto"/>
              </w:rPr>
            </w:pPr>
          </w:p>
        </w:tc>
        <w:tc>
          <w:tcPr>
            <w:tcW w:w="16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to the Following</w:t>
            </w: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10.59</w:t>
            </w:r>
          </w:p>
        </w:tc>
        <w:tc>
          <w:tcPr>
            <w:tcW w:w="48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Joinder Agreement to Intercreditor Agreement, dated November 9, 2015, by</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10.4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and among LSB Funding LLC, Wells Fargo Capital Finance, Inc., as ABL</w:t>
              </w:r>
            </w:hyperlink>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November 16, 2015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Agent, UMB Bank, N.A., as Notes Agent, LSB Industries, Inc. and the</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guarantors party thereto</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10.60</w:t>
            </w:r>
          </w:p>
        </w:tc>
        <w:tc>
          <w:tcPr>
            <w:tcW w:w="48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Amendment No. 1 to Intercreditor Agreement, dated as of April 25, 2018,</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April 25,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among Wells Fargo Capital Finance, LLC, UMB Bank, n.a. and Wilmington</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Trust, National Association, and acknowledged by LSB Industries, Inc. and</w:t>
              </w:r>
            </w:hyperlink>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the subsidiary guarantors party thereto.</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10.61</w:t>
            </w: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Joinder Agreement to Security Agreement, dated November 9, 2015, by and</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10.5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among LSB Funding LLC, UMB Bank, N.A., as Collateral Agent, LSB</w:t>
              </w:r>
            </w:hyperlink>
          </w:p>
        </w:tc>
        <w:tc>
          <w:tcPr>
            <w:tcW w:w="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November 16, 2015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Industries, Inc. and the guarantors party thereto</w:t>
              </w:r>
            </w:hyperlink>
          </w:p>
        </w:tc>
        <w:tc>
          <w:tcPr>
            <w:tcW w:w="2260" w:type="dxa"/>
            <w:vAlign w:val="bottom"/>
            <w:gridSpan w:val="7"/>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10.62</w:t>
            </w:r>
          </w:p>
        </w:tc>
        <w:tc>
          <w:tcPr>
            <w:tcW w:w="48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Securities Purchase Agreement by and among LSB Industries, Inc., LSB</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Funding LLC, and Security Benefit Corporation, dated as of December 4,</w:t>
              </w:r>
            </w:hyperlink>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December 8, 2015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56">
              <w:r>
                <w:rPr>
                  <w:rFonts w:ascii="Times New Roman" w:cs="Times New Roman" w:eastAsia="Times New Roman" w:hAnsi="Times New Roman"/>
                  <w:sz w:val="18"/>
                  <w:szCs w:val="18"/>
                  <w:color w:val="0000EE"/>
                  <w:w w:val="94"/>
                </w:rPr>
                <w:t>2015</w:t>
              </w:r>
            </w:hyperlink>
          </w:p>
        </w:tc>
        <w:tc>
          <w:tcPr>
            <w:tcW w:w="8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10.63</w:t>
            </w: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Warrant to Purchase Common Stock issued by LSB Industries, Inc. to LSB</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Funding LLC, dated as of December 4, 2015</w:t>
              </w:r>
            </w:hyperlink>
          </w:p>
        </w:tc>
        <w:tc>
          <w:tcPr>
            <w:tcW w:w="238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December 8, 2015</w:t>
            </w:r>
          </w:p>
        </w:tc>
        <w:tc>
          <w:tcPr>
            <w:tcW w:w="0" w:type="dxa"/>
            <w:vAlign w:val="bottom"/>
          </w:tcPr>
          <w:p>
            <w:pPr>
              <w:spacing w:after="0"/>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10.64</w:t>
            </w:r>
          </w:p>
        </w:tc>
        <w:tc>
          <w:tcPr>
            <w:tcW w:w="48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Board  Representation  and  Standstill  Agreement  by  and  among  LSB</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10.3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Industries, Inc., LSB Funding LLC, Security Benefit Corporation, Todd</w:t>
              </w:r>
            </w:hyperlink>
          </w:p>
        </w:tc>
        <w:tc>
          <w:tcPr>
            <w:tcW w:w="60" w:type="dxa"/>
            <w:vAlign w:val="bottom"/>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December 8, 2015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Boehly and the Golsen Holders (as defined therein), dated as of December 4,</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58">
              <w:r>
                <w:rPr>
                  <w:rFonts w:ascii="Times New Roman" w:cs="Times New Roman" w:eastAsia="Times New Roman" w:hAnsi="Times New Roman"/>
                  <w:sz w:val="18"/>
                  <w:szCs w:val="18"/>
                  <w:color w:val="0000EE"/>
                  <w:w w:val="94"/>
                </w:rPr>
                <w:t>2015</w:t>
              </w:r>
            </w:hyperlink>
          </w:p>
        </w:tc>
        <w:tc>
          <w:tcPr>
            <w:tcW w:w="8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10.65</w:t>
            </w: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Registration Rights Agreement by and between LSB Industries, Inc. and LSB</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10.4  to  the  Company’s  Form  8-K  filed</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Funding LLC, dated as of December 4, 2015</w:t>
              </w:r>
            </w:hyperlink>
          </w:p>
        </w:tc>
        <w:tc>
          <w:tcPr>
            <w:tcW w:w="238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December 8, 2015</w:t>
            </w:r>
          </w:p>
        </w:tc>
        <w:tc>
          <w:tcPr>
            <w:tcW w:w="0" w:type="dxa"/>
            <w:vAlign w:val="bottom"/>
          </w:tcPr>
          <w:p>
            <w:pPr>
              <w:spacing w:after="0"/>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10.66</w:t>
            </w:r>
          </w:p>
        </w:tc>
        <w:tc>
          <w:tcPr>
            <w:tcW w:w="48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Letter Agreement, dated as of August 12, 2016, by and among LSB</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August 12,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Industries, Inc., LSB Funding LLC and Security Benefit Corporation</w:t>
              </w:r>
            </w:hyperlink>
          </w:p>
        </w:tc>
        <w:tc>
          <w:tcPr>
            <w:tcW w:w="700" w:type="dxa"/>
            <w:vAlign w:val="bottom"/>
            <w:gridSpan w:val="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10.67</w:t>
            </w:r>
          </w:p>
        </w:tc>
        <w:tc>
          <w:tcPr>
            <w:tcW w:w="48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Securities Exchange Agreement, dated as of October 18, 2018, by and</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October 19,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between LSB Industries, Inc. and LSB Funding LLC</w:t>
              </w:r>
            </w:hyperlink>
          </w:p>
        </w:tc>
        <w:tc>
          <w:tcPr>
            <w:tcW w:w="1860" w:type="dxa"/>
            <w:vAlign w:val="bottom"/>
            <w:gridSpan w:val="5"/>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10.68</w:t>
            </w:r>
          </w:p>
        </w:tc>
        <w:tc>
          <w:tcPr>
            <w:tcW w:w="48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Purchase and Sale Agreement dated May 11, 2017 between Zena Energy</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May 11,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L.L.C and BKV Chelsea, LLC</w:t>
              </w:r>
            </w:hyperlink>
          </w:p>
        </w:tc>
        <w:tc>
          <w:tcPr>
            <w:tcW w:w="3460" w:type="dxa"/>
            <w:vAlign w:val="bottom"/>
            <w:gridSpan w:val="13"/>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10.69*</w:t>
            </w:r>
          </w:p>
        </w:tc>
        <w:tc>
          <w:tcPr>
            <w:tcW w:w="48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Transition Agreement dated June 30, 2017 by and between Jack E. Golsen</w:t>
              </w:r>
            </w:hyperlink>
          </w:p>
        </w:tc>
        <w:tc>
          <w:tcPr>
            <w:tcW w:w="60" w:type="dxa"/>
            <w:vAlign w:val="bottom"/>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on June 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and LSB Industries, Inc.</w:t>
              </w:r>
            </w:hyperlink>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10.70</w:t>
            </w:r>
          </w:p>
        </w:tc>
        <w:tc>
          <w:tcPr>
            <w:tcW w:w="480" w:type="dxa"/>
            <w:vAlign w:val="bottom"/>
          </w:tcPr>
          <w:p>
            <w:pPr>
              <w:spacing w:after="0"/>
              <w:rPr>
                <w:sz w:val="24"/>
                <w:szCs w:val="24"/>
                <w:color w:val="auto"/>
              </w:rPr>
            </w:pPr>
          </w:p>
        </w:tc>
        <w:tc>
          <w:tcPr>
            <w:tcW w:w="5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Amendment, dated October 26, 2017, to the Board Representation and</w:t>
              </w:r>
            </w:hyperlink>
          </w:p>
        </w:tc>
        <w:tc>
          <w:tcPr>
            <w:tcW w:w="60" w:type="dxa"/>
            <w:vAlign w:val="bottom"/>
            <w:gridSpan w:val="2"/>
          </w:tcPr>
          <w:p>
            <w:pPr>
              <w:spacing w:after="0"/>
              <w:rPr>
                <w:sz w:val="24"/>
                <w:szCs w:val="24"/>
                <w:color w:val="auto"/>
              </w:rPr>
            </w:pPr>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on</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Standstill Agreement by and between LSB Industries, Inc., LSB Funding</w:t>
              </w:r>
            </w:hyperlink>
          </w:p>
        </w:tc>
        <w:tc>
          <w:tcPr>
            <w:tcW w:w="60" w:type="dxa"/>
            <w:vAlign w:val="bottom"/>
          </w:tcPr>
          <w:p>
            <w:pPr>
              <w:spacing w:after="0"/>
              <w:rPr>
                <w:sz w:val="17"/>
                <w:szCs w:val="17"/>
                <w:color w:val="auto"/>
              </w:rPr>
            </w:pPr>
          </w:p>
        </w:tc>
        <w:tc>
          <w:tcPr>
            <w:tcW w:w="434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8"/>
                <w:szCs w:val="18"/>
                <w:color w:val="auto"/>
              </w:rPr>
              <w:t>October 26, 2017</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LLC, Security Benefit Corporation, Todd Boehly, Jack E. Golsen, Barry H.</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Golsen, Linda Golsen Rappaport, Golsen Family LLC, SBL LLC and Golsen</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Petroleum Corp., dated as of December 4, 2015</w:t>
              </w:r>
            </w:hyperlink>
          </w:p>
        </w:tc>
        <w:tc>
          <w:tcPr>
            <w:tcW w:w="218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10.71</w:t>
            </w:r>
          </w:p>
        </w:tc>
        <w:tc>
          <w:tcPr>
            <w:tcW w:w="480" w:type="dxa"/>
            <w:vAlign w:val="bottom"/>
          </w:tcPr>
          <w:p>
            <w:pPr>
              <w:spacing w:after="0"/>
              <w:rPr>
                <w:sz w:val="24"/>
                <w:szCs w:val="24"/>
                <w:color w:val="auto"/>
              </w:rPr>
            </w:pPr>
          </w:p>
        </w:tc>
        <w:tc>
          <w:tcPr>
            <w:tcW w:w="5680" w:type="dxa"/>
            <w:vAlign w:val="bottom"/>
            <w:gridSpan w:val="19"/>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Amendment to Board Representation and Standstill Agreement, dated as of</w:t>
              </w:r>
            </w:hyperlink>
          </w:p>
        </w:tc>
        <w:tc>
          <w:tcPr>
            <w:tcW w:w="43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8-K filed October 19,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October 18, 2018, by and among LSB Industries, Inc., LSB Funding LLC,</w:t>
              </w:r>
            </w:hyperlink>
          </w:p>
        </w:tc>
        <w:tc>
          <w:tcPr>
            <w:tcW w:w="60" w:type="dxa"/>
            <w:vAlign w:val="bottom"/>
          </w:tcPr>
          <w:p>
            <w:pPr>
              <w:spacing w:after="0"/>
              <w:rPr>
                <w:sz w:val="17"/>
                <w:szCs w:val="17"/>
                <w:color w:val="auto"/>
              </w:rPr>
            </w:pPr>
          </w:p>
        </w:tc>
        <w:tc>
          <w:tcPr>
            <w:tcW w:w="13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Security Benefit Corporation, Todd Boehly and the Golsen Holders (as</w:t>
              </w:r>
            </w:hyperlink>
          </w:p>
        </w:tc>
        <w:tc>
          <w:tcPr>
            <w:tcW w:w="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defined therein)</w:t>
              </w:r>
            </w:hyperlink>
          </w:p>
        </w:tc>
        <w:tc>
          <w:tcPr>
            <w:tcW w:w="4520" w:type="dxa"/>
            <w:vAlign w:val="bottom"/>
            <w:gridSpan w:val="17"/>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21.1(a)</w:t>
            </w:r>
          </w:p>
        </w:tc>
        <w:tc>
          <w:tcPr>
            <w:tcW w:w="21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Subsidiaries of the Company</w:t>
              </w:r>
            </w:hyperlink>
          </w:p>
        </w:tc>
        <w:tc>
          <w:tcPr>
            <w:tcW w:w="3580" w:type="dxa"/>
            <w:vAlign w:val="bottom"/>
            <w:gridSpan w:val="14"/>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23.1(a)</w:t>
            </w:r>
          </w:p>
        </w:tc>
        <w:tc>
          <w:tcPr>
            <w:tcW w:w="5680" w:type="dxa"/>
            <w:vAlign w:val="bottom"/>
            <w:gridSpan w:val="19"/>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Consent of Independent Registered Public Accounting Firm</w:t>
              </w:r>
            </w:hyperlink>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gridSpan w:val="4"/>
          </w:tcPr>
          <w:p>
            <w:pPr>
              <w:spacing w:after="0" w:line="20" w:lineRule="exact"/>
              <w:rPr>
                <w:sz w:val="1"/>
                <w:szCs w:val="1"/>
                <w:color w:val="auto"/>
              </w:rPr>
            </w:pPr>
          </w:p>
        </w:tc>
        <w:tc>
          <w:tcPr>
            <w:tcW w:w="3000" w:type="dxa"/>
            <w:vAlign w:val="bottom"/>
            <w:gridSpan w:val="9"/>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31.1(a)</w:t>
            </w: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Certification of Mark T. Behrman, Chief Executive Officer, pursuant to</w:t>
              </w:r>
            </w:hyperlink>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gridSpan w:val="19"/>
          </w:tcPr>
          <w:p>
            <w:pPr>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Sarbanes-Oxley Act of 2002, Section 302</w:t>
              </w:r>
            </w:hyperlink>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Borders>
              <w:top w:val="single" w:sz="8" w:color="0000EE"/>
            </w:tcBorders>
            <w:gridSpan w:val="9"/>
          </w:tcPr>
          <w:p>
            <w:pPr>
              <w:spacing w:after="0"/>
              <w:rPr>
                <w:sz w:val="24"/>
                <w:szCs w:val="24"/>
                <w:color w:val="auto"/>
              </w:rPr>
            </w:pPr>
          </w:p>
        </w:tc>
        <w:tc>
          <w:tcPr>
            <w:tcW w:w="1980" w:type="dxa"/>
            <w:vAlign w:val="bottom"/>
            <w:gridSpan w:val="7"/>
          </w:tcPr>
          <w:p>
            <w:pPr>
              <w:jc w:val="right"/>
              <w:ind w:right="600"/>
              <w:spacing w:after="0"/>
              <w:rPr>
                <w:sz w:val="20"/>
                <w:szCs w:val="20"/>
                <w:color w:val="auto"/>
              </w:rPr>
            </w:pPr>
            <w:r>
              <w:rPr>
                <w:rFonts w:ascii="Times New Roman" w:cs="Times New Roman" w:eastAsia="Times New Roman" w:hAnsi="Times New Roman"/>
                <w:sz w:val="18"/>
                <w:szCs w:val="18"/>
                <w:color w:val="auto"/>
              </w:rPr>
              <w:t>56</w:t>
            </w:r>
          </w:p>
        </w:tc>
        <w:tc>
          <w:tcPr>
            <w:tcW w:w="6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0" w:type="dxa"/>
            <w:vAlign w:val="bottom"/>
          </w:tcPr>
          <w:p>
            <w:pPr>
              <w:spacing w:after="0"/>
              <w:rPr>
                <w:sz w:val="13"/>
                <w:szCs w:val="13"/>
                <w:color w:val="auto"/>
              </w:rPr>
            </w:pPr>
          </w:p>
        </w:tc>
        <w:tc>
          <w:tcPr>
            <w:tcW w:w="2420" w:type="dxa"/>
            <w:vAlign w:val="bottom"/>
            <w:vMerge w:val="restart"/>
          </w:tcPr>
          <w:p>
            <w:pPr>
              <w:spacing w:after="0"/>
              <w:rPr>
                <w:sz w:val="13"/>
                <w:szCs w:val="13"/>
                <w:color w:val="auto"/>
              </w:rPr>
            </w:pPr>
          </w:p>
        </w:tc>
        <w:tc>
          <w:tcPr>
            <w:tcW w:w="32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5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spacing w:after="0"/>
              <w:rPr>
                <w:sz w:val="13"/>
                <w:szCs w:val="13"/>
                <w:color w:val="auto"/>
              </w:rPr>
            </w:pPr>
          </w:p>
        </w:tc>
        <w:tc>
          <w:tcPr>
            <w:tcW w:w="2420" w:type="dxa"/>
            <w:vAlign w:val="bottom"/>
            <w:vMerge w:val="continue"/>
          </w:tcPr>
          <w:p>
            <w:pPr>
              <w:spacing w:after="0"/>
              <w:rPr>
                <w:sz w:val="13"/>
                <w:szCs w:val="13"/>
                <w:color w:val="auto"/>
              </w:rPr>
            </w:pPr>
          </w:p>
        </w:tc>
        <w:tc>
          <w:tcPr>
            <w:tcW w:w="32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31.2(a)</w:t>
            </w:r>
          </w:p>
        </w:tc>
        <w:tc>
          <w:tcPr>
            <w:tcW w:w="5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Certification of Cheryl A. Maguire, Chief Financial Officer, pursuant to</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20" w:type="dxa"/>
            <w:vAlign w:val="bottom"/>
            <w:gridSpan w:val="6"/>
          </w:tcPr>
          <w:p>
            <w:pPr>
              <w:spacing w:after="0" w:line="19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Sarbanes-Oxley Act of 2002, Section 302</w:t>
              </w:r>
            </w:hyperlink>
          </w:p>
        </w:tc>
        <w:tc>
          <w:tcPr>
            <w:tcW w:w="0" w:type="dxa"/>
            <w:vAlign w:val="bottom"/>
          </w:tcPr>
          <w:p>
            <w:pPr>
              <w:spacing w:after="0"/>
              <w:rPr>
                <w:sz w:val="1"/>
                <w:szCs w:val="1"/>
                <w:color w:val="auto"/>
              </w:rPr>
            </w:pPr>
          </w:p>
        </w:tc>
      </w:tr>
      <w:tr>
        <w:trPr>
          <w:trHeight w:val="20"/>
        </w:trPr>
        <w:tc>
          <w:tcPr>
            <w:tcW w:w="1420" w:type="dxa"/>
            <w:vAlign w:val="bottom"/>
            <w:gridSpan w:val="4"/>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32.1(b)</w:t>
            </w:r>
          </w:p>
        </w:tc>
        <w:tc>
          <w:tcPr>
            <w:tcW w:w="5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Certification  of  Mark  T.  Behrman,  Chief  Executive  Officer,  furnished</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pursuant to Sarbanes-Oxley Act of 2002, Section 906</w:t>
              </w:r>
            </w:hyperlink>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32.2(b)</w:t>
            </w:r>
          </w:p>
        </w:tc>
        <w:tc>
          <w:tcPr>
            <w:tcW w:w="5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Certification of Cheryl A. Maguire, Chief Financial Officer, furnished</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pursuant to Sarbanes-Oxley Act of 2002, Section 906</w:t>
              </w:r>
            </w:hyperlink>
          </w:p>
        </w:tc>
        <w:tc>
          <w:tcPr>
            <w:tcW w:w="17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101.INS(a)</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101.SCH(a)</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101.CAL(a)</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101.DEF(a)</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101.LAB(a)</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338"/>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101.PRE(a)</w:t>
            </w:r>
          </w:p>
        </w:tc>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Plan or Arrangement</w:t>
      </w:r>
    </w:p>
    <w:p>
      <w:pPr>
        <w:spacing w:after="0" w:line="2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right="5820" w:firstLine="8"/>
        <w:spacing w:after="0" w:line="261" w:lineRule="auto"/>
        <w:tabs>
          <w:tab w:leader="none" w:pos="5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Furnished herewith </w:t>
      </w:r>
      <w:r>
        <w:rPr>
          <w:rFonts w:ascii="Times New Roman" w:cs="Times New Roman" w:eastAsia="Times New Roman" w:hAnsi="Times New Roman"/>
          <w:sz w:val="16"/>
          <w:szCs w:val="16"/>
          <w:color w:val="auto"/>
        </w:rPr>
        <w:t>(P</w:t>
      </w:r>
      <w:r>
        <w:rPr>
          <w:rFonts w:ascii="Times New Roman" w:cs="Times New Roman" w:eastAsia="Times New Roman" w:hAnsi="Times New Roman"/>
          <w:sz w:val="18"/>
          <w:szCs w:val="18"/>
          <w:color w:val="auto"/>
        </w:rPr>
        <w:t>) Paper copy filed</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u w:val="single" w:color="auto"/>
          <w:color w:val="auto"/>
        </w:rPr>
        <w:t>Incorporated by Reference</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u w:val="single" w:color="auto"/>
          <w:color w:val="auto"/>
        </w:rPr>
        <w:t>to the Following</w:t>
      </w:r>
    </w:p>
    <w:p>
      <w:pPr>
        <w:sectPr>
          <w:pgSz w:w="11900" w:h="16838" w:orient="portrait"/>
          <w:cols w:equalWidth="0" w:num="2">
            <w:col w:w="7740" w:space="720"/>
            <w:col w:w="1759"/>
          </w:cols>
          <w:pgMar w:left="240" w:top="370"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81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Mark T. Behrman</w:t>
            </w: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2019</w:t>
            </w:r>
          </w:p>
        </w:tc>
        <w:tc>
          <w:tcPr>
            <w:tcW w:w="242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T. Behrman, President, Chief Executive Officer and Director</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420"/>
          </w:cols>
          <w:pgMar w:left="240" w:top="337" w:right="239" w:bottom="1440" w:gutter="0" w:footer="0" w:header="0"/>
        </w:sectPr>
      </w:pPr>
    </w:p>
    <w:p>
      <w:pPr>
        <w:spacing w:after="0" w:line="162"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63"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63"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36"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20"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47"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47"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47"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47"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47"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ind w:right="1580"/>
        <w:spacing w:after="0" w:line="276" w:lineRule="auto"/>
        <w:rPr>
          <w:sz w:val="20"/>
          <w:szCs w:val="20"/>
          <w:color w:val="auto"/>
        </w:rPr>
      </w:pPr>
      <w:r>
        <w:rPr>
          <w:rFonts w:ascii="Times New Roman" w:cs="Times New Roman" w:eastAsia="Times New Roman" w:hAnsi="Times New Roman"/>
          <w:sz w:val="18"/>
          <w:szCs w:val="18"/>
          <w:color w:val="auto"/>
        </w:rPr>
        <w:t>Mark T. Behrman, President and Chief Executive Officer (Principal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18"/>
          <w:szCs w:val="18"/>
          <w:color w:val="auto"/>
        </w:rPr>
        <w:t>Cheryl A. Maguire, Senior Vice President and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Harold L. Rieker Jr.</w:t>
      </w:r>
    </w:p>
    <w:p>
      <w:pPr>
        <w:spacing w:after="0" w:line="27"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8"/>
          <w:szCs w:val="18"/>
          <w:color w:val="auto"/>
        </w:rPr>
        <w:t>Harold L. Rieker Jr., Vice President and Corporate Controller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W. Roedel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W. Roedel,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S. Bobb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S. Bobb,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E. Golsen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E. Golsen, Chairman Emeritus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Barry H. Golsen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H. Golsen,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Kanna Kitamura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Kanna Kitamura,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S. Sanders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 Sanders Jr.,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Lynn F. White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F. White,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180"/>
            <w:col w:w="570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8" w:name="page59"/>
    <w:bookmarkEnd w:id="58"/>
    <w:p>
      <w:pPr>
        <w:ind w:left="498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Schedule for Inclusion in Form 10-K</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Fiscal Year ended December 31, 2018</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Page</w:t>
            </w:r>
          </w:p>
        </w:tc>
      </w:tr>
      <w:tr>
        <w:trPr>
          <w:trHeight w:val="291"/>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3380" w:type="dxa"/>
            <w:vAlign w:val="bottom"/>
            <w:gridSpan w:val="9"/>
          </w:tcPr>
          <w:p>
            <w:pPr>
              <w:spacing w:after="0"/>
              <w:rPr>
                <w:sz w:val="24"/>
                <w:szCs w:val="24"/>
                <w:color w:val="auto"/>
              </w:rPr>
            </w:pPr>
          </w:p>
        </w:tc>
        <w:tc>
          <w:tcPr>
            <w:tcW w:w="59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900" w:type="dxa"/>
            <w:vAlign w:val="bottom"/>
            <w:gridSpan w:val="10"/>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Report of Independent Registered Public Accounting Firm</w:t>
              </w:r>
            </w:hyperlink>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F–2</w:t>
            </w:r>
          </w:p>
        </w:tc>
      </w:tr>
      <w:tr>
        <w:trPr>
          <w:trHeight w:val="318"/>
        </w:trPr>
        <w:tc>
          <w:tcPr>
            <w:tcW w:w="21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7"/>
          </w:tcPr>
          <w:p>
            <w:pPr>
              <w:spacing w:after="0"/>
              <w:rPr>
                <w:sz w:val="24"/>
                <w:szCs w:val="24"/>
                <w:color w:val="auto"/>
              </w:rPr>
            </w:pPr>
          </w:p>
        </w:tc>
        <w:tc>
          <w:tcPr>
            <w:tcW w:w="6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r>
      <w:tr>
        <w:trPr>
          <w:trHeight w:val="318"/>
        </w:trPr>
        <w:tc>
          <w:tcPr>
            <w:tcW w:w="4900" w:type="dxa"/>
            <w:vAlign w:val="bottom"/>
            <w:gridSpan w:val="10"/>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Statements of Operations</w:t>
              </w:r>
            </w:hyperlink>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21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3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Consolidated Statements of Stockholders’ Equity</w:t>
              </w:r>
            </w:hyperlink>
          </w:p>
        </w:tc>
        <w:tc>
          <w:tcPr>
            <w:tcW w:w="1340" w:type="dxa"/>
            <w:vAlign w:val="bottom"/>
            <w:gridSpan w:val="2"/>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r>
      <w:tr>
        <w:trPr>
          <w:trHeight w:val="318"/>
        </w:trPr>
        <w:tc>
          <w:tcPr>
            <w:tcW w:w="2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Statements of Cash Flows</w:t>
              </w:r>
            </w:hyperlink>
          </w:p>
        </w:tc>
        <w:tc>
          <w:tcPr>
            <w:tcW w:w="2020" w:type="dxa"/>
            <w:vAlign w:val="bottom"/>
            <w:gridSpan w:val="4"/>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r>
      <w:tr>
        <w:trPr>
          <w:trHeight w:val="318"/>
        </w:trPr>
        <w:tc>
          <w:tcPr>
            <w:tcW w:w="31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Notes to Consolidated Financial Statements</w:t>
              </w:r>
            </w:hyperlink>
          </w:p>
        </w:tc>
        <w:tc>
          <w:tcPr>
            <w:tcW w:w="1740" w:type="dxa"/>
            <w:vAlign w:val="bottom"/>
            <w:gridSpan w:val="3"/>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F–9</w:t>
            </w:r>
          </w:p>
        </w:tc>
      </w:tr>
      <w:tr>
        <w:trPr>
          <w:trHeight w:val="318"/>
        </w:trPr>
        <w:tc>
          <w:tcPr>
            <w:tcW w:w="27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Quarterly Financial Data (Unaudited)</w:t>
              </w:r>
            </w:hyperlink>
          </w:p>
        </w:tc>
        <w:tc>
          <w:tcPr>
            <w:tcW w:w="2180" w:type="dxa"/>
            <w:vAlign w:val="bottom"/>
            <w:gridSpan w:val="6"/>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F–41</w:t>
            </w:r>
          </w:p>
        </w:tc>
      </w:tr>
      <w:tr>
        <w:trPr>
          <w:trHeight w:val="318"/>
        </w:trPr>
        <w:tc>
          <w:tcPr>
            <w:tcW w:w="4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5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140" w:type="dxa"/>
            <w:vAlign w:val="bottom"/>
            <w:gridSpan w:val="3"/>
            <w:shd w:val="clear" w:color="auto" w:fill="00000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900" w:type="dxa"/>
            <w:vAlign w:val="bottom"/>
            <w:gridSpan w:val="10"/>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Schedule II – Valuation and Qualifying Accounts</w:t>
              </w:r>
            </w:hyperlink>
          </w:p>
        </w:tc>
        <w:tc>
          <w:tcPr>
            <w:tcW w:w="5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F–43</w:t>
            </w:r>
          </w:p>
        </w:tc>
      </w:tr>
      <w:tr>
        <w:trPr>
          <w:trHeight w:val="885"/>
        </w:trPr>
        <w:tc>
          <w:tcPr>
            <w:tcW w:w="1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40" w:type="dxa"/>
            <w:vAlign w:val="bottom"/>
            <w:gridSpan w:val="3"/>
          </w:tcPr>
          <w:p>
            <w:pPr>
              <w:jc w:val="right"/>
              <w:ind w:right="5600"/>
              <w:spacing w:after="0"/>
              <w:rPr>
                <w:sz w:val="20"/>
                <w:szCs w:val="20"/>
                <w:color w:val="auto"/>
              </w:rPr>
            </w:pPr>
            <w:r>
              <w:rPr>
                <w:rFonts w:ascii="Times New Roman" w:cs="Times New Roman" w:eastAsia="Times New Roman" w:hAnsi="Times New Roman"/>
                <w:sz w:val="18"/>
                <w:szCs w:val="18"/>
                <w:color w:val="auto"/>
              </w:rPr>
              <w:t>F-1</w:t>
            </w:r>
          </w:p>
        </w:tc>
      </w:tr>
      <w:tr>
        <w:trPr>
          <w:trHeight w:val="115"/>
        </w:trPr>
        <w:tc>
          <w:tcPr>
            <w:tcW w:w="1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9" w:name="page60"/>
    <w:bookmarkEnd w:id="59"/>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LSB Industries, Inc. (the Company) as of December 31, 2018 and 2017, the related consolidated statements of operations, stockholders’ equity, and cash flows for each of the three years in the period ended December 31, 2018,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26,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ASU No. 2014-09 (Topic 606)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and Note 2 to the consolidated financial statements, the Company changed its method of accounting for revenue recognition on contracts with customers in the 2018 financial statements to reflect the accounting method change due to the adoption of ASU 2014-09 Revenue from Contracts with Customers (Topic 606).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Ernst &amp; Young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4"/>
          </w:tcPr>
          <w:p>
            <w:pPr>
              <w:jc w:val="right"/>
              <w:ind w:right="7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26,048</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Finished goods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Raw materials</w:t>
            </w:r>
          </w:p>
        </w:tc>
        <w:tc>
          <w:tcPr>
            <w:tcW w:w="3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inventories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insurance</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Supplies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and refundable income taxes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Total supplies, prepaid items and other</w:t>
            </w: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44,464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166,413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974,248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1,014,038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spacing w:after="0"/>
              <w:rPr>
                <w:sz w:val="19"/>
                <w:szCs w:val="19"/>
                <w:color w:val="auto"/>
              </w:rPr>
            </w:pP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1,148,333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1,189,182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gridSpan w:val="2"/>
          </w:tcPr>
          <w:p>
            <w:pPr>
              <w:jc w:val="right"/>
              <w:ind w:right="1315"/>
              <w:spacing w:after="0"/>
              <w:rPr>
                <w:sz w:val="20"/>
                <w:szCs w:val="20"/>
                <w:color w:val="auto"/>
              </w:rPr>
            </w:pPr>
            <w:r>
              <w:rPr>
                <w:rFonts w:ascii="Times New Roman" w:cs="Times New Roman" w:eastAsia="Times New Roman" w:hAnsi="Times New Roman"/>
                <w:sz w:val="18"/>
                <w:szCs w:val="18"/>
                <w:color w:val="auto"/>
              </w:rPr>
              <w:t>(Continued on following page)</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gridSpan w:val="2"/>
          </w:tcPr>
          <w:p>
            <w:pPr>
              <w:jc w:val="right"/>
              <w:ind w:right="2295"/>
              <w:spacing w:after="0"/>
              <w:rPr>
                <w:sz w:val="20"/>
                <w:szCs w:val="20"/>
                <w:color w:val="auto"/>
              </w:rPr>
            </w:pPr>
            <w:r>
              <w:rPr>
                <w:rFonts w:ascii="Times New Roman" w:cs="Times New Roman" w:eastAsia="Times New Roman" w:hAnsi="Times New Roman"/>
                <w:sz w:val="18"/>
                <w:szCs w:val="18"/>
                <w:color w:val="auto"/>
              </w:rPr>
              <w:t>F-3</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7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62,589</w:t>
            </w:r>
          </w:p>
        </w:tc>
        <w:tc>
          <w:tcPr>
            <w:tcW w:w="74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financing</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42,129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12,518</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125,813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412,681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accrued and other liabilities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8,861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56,612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E 14% cumulative, redeemable Class C preferred stock, no par value,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210,000 shares issued; 139,768 outstanding; aggregate liquidation preference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202,169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$212,071,000 ($185,231,000 at December 31, 2017)</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Series F redeemable Class C preferred stock, no par value, 1 share issued</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and outstanding; aggregate liquidation preference of $100</w:t>
            </w:r>
          </w:p>
        </w:tc>
        <w:tc>
          <w:tcPr>
            <w:tcW w:w="9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B 12% cumulative, convertible preferred stock, $100 par value; 20,000</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aggregate liquidation preference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$2,785,000 ($2,545,000 at December 31, 2017)</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Series D 6% cumulative, convertible Class C preferred stock, no par value;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1,000,000 shares issued and outstanding; aggregate liquidation preference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of $1,192,000 ($1,132,000 at December 31, 2017)</w:t>
            </w:r>
          </w:p>
        </w:tc>
        <w:tc>
          <w:tcPr>
            <w:tcW w:w="9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$.10 par value; 75,000,000 shares authorized,</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31,283,210 shares issued (31,280,685 shares at December 31, 2017)</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198,482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153,773</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358,383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Common stock, 2,438,305 shares (2,662,027 shares at December 31, 2017)</w:t>
            </w:r>
          </w:p>
        </w:tc>
        <w:tc>
          <w:tcPr>
            <w:tcW w:w="9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16,186</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342,197</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1,148,333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1,189,182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00" w:type="dxa"/>
            <w:vAlign w:val="bottom"/>
            <w:gridSpan w:val="8"/>
          </w:tcPr>
          <w:p>
            <w:pPr>
              <w:jc w:val="center"/>
              <w:ind w:left="511"/>
              <w:spacing w:after="0" w:line="155" w:lineRule="exact"/>
              <w:rPr>
                <w:sz w:val="20"/>
                <w:szCs w:val="20"/>
                <w:color w:val="auto"/>
              </w:rPr>
            </w:pPr>
            <w:r>
              <w:rPr>
                <w:rFonts w:ascii="Times New Roman" w:cs="Times New Roman" w:eastAsia="Times New Roman" w:hAnsi="Times New Roman"/>
                <w:sz w:val="14"/>
                <w:szCs w:val="14"/>
                <w:color w:val="auto"/>
              </w:rPr>
              <w:t>(In Thousands, Except Per Share Amounts)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378,160</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427,504</w:t>
            </w:r>
          </w:p>
        </w:tc>
        <w:tc>
          <w:tcPr>
            <w:tcW w:w="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8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362,325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422,038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40,811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(1,951)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(70,486)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(71,052)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(40,759)</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(41,956)</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(72,226)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on convertible preferred stocks</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Series E redeemable preferred stock</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Series E redeemable preferred stock</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dilutive income (loss) per common share:</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(3.74)</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420" w:type="dxa"/>
            <w:vAlign w:val="bottom"/>
            <w:gridSpan w:val="2"/>
          </w:tcPr>
          <w:p>
            <w:pPr>
              <w:jc w:val="right"/>
              <w:ind w:right="28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right"/>
              <w:ind w:right="6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(3,736)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192,249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248,150</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(24,532)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112,168</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accrued on redeemable preferred</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(27,761)</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(27,761)</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(18,256)</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warrants, net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(411)</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stock, net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(5,339)</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Excess income tax detriment associated</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with stock-based compensation</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192,172</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314,301</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principle</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(29,217)</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(29,217)</w:t>
            </w: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accrued on redeemable preferred</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(23,443)</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(23,443)</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(6,487)</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(6,487)</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stock, net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193,956</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256,214</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(72,226)</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(72,226)</w:t>
            </w: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Dividend accrued on redeemable preferred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(26,840)</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(26,840)</w:t>
            </w: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(3,375)</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(3,375)</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8,358</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restricted stock, net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(3,852)</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1,916</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(1,936)</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31,283</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(2,438</w:t>
            </w: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3,128</w:t>
            </w: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198,482</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153,773</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(16,186</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342,197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operating activities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(72,226)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(29,217)</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by continuing operating activities:</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(40,445)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depletion and amortization of property, plant and</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70,266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66,996</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and other assets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(gain) on sales of businesses and other property and equipment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(1,637)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provided (used) by changes in assets and liabilities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of effects of discontinued operations):</w:t>
            </w: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(6,698)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insurance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Prepaid and accrued income taxes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supplies, prepaid items and other</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14,208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interest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(used) by continuing operating activities</w:t>
            </w:r>
          </w:p>
        </w:tc>
        <w:tc>
          <w:tcPr>
            <w:tcW w:w="7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investing activities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(37,050)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(35,425)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sales of businesses and other property and equipment</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proceeds from sale of discontinued operations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property insurance recovery associated with property,</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plant and equipment</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7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(used) by continuing investing activities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financing activities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debt facility</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revolving debt facility</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9.625% senior secured notes, net of discount and fees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senior secured notes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(375,000)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other long-term debt, net of fees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on other long-term debt</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(9,170)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(14,121)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debt-related costs, including extinguishment and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modification costs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short-term financing</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10,865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of preferred stock modification costs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(2,777)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on equity awards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(8,028)</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(used) by continuing financing activities</w:t>
            </w:r>
          </w:p>
        </w:tc>
        <w:tc>
          <w:tcPr>
            <w:tcW w:w="7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of discontinued operations: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used by discontinued operations</w:t>
            </w:r>
          </w:p>
        </w:tc>
        <w:tc>
          <w:tcPr>
            <w:tcW w:w="7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7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33,619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26,048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 LSB Industries, Inc. (“LSB”) and its subsidiaries (the “Company”, “We”, “Us”, or “Our”) are consolidated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We are engaged in the manufacture and sale of chemical products. The chemical products we primarily manufacture, market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to customers include farmers, ranchers, fertilizer dealers and distributors primarily in the ranch land and grain production markets in the United States (U.S.); industrial users of acids throughout the U. S. and parts of Canada; and explosive manufacturers in the 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products consisted of natural gas sales from our working interests in certain natural gas properties of our former subsidiary Zena Energy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(“Zena”) and sales of industrial machinery and related components, which were sold during 2017.</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During 2016, LSB completed the sale of all of the stock of Climate Control Group Inc. (an indirect subsidiary that conducted LSB’s Climate Control Business) pursuant to the terms of a stock purchase agreement as discussed in Note 17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Discontinued Operations.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U.S. generally accepted accounting principles (“GAAP”)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Investments, which consist of highly liquid investments with original maturities of three months or less, are considered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Our accounts receivable are stated at net realizable value. This value includes an appropriate allowance for estimated uncollectible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to our customers are generally unsecured. Credit is extended to customers based on an evaluation of the customer’s financial condition and other factors. Concentrations of credit risk with respect to trade receivables are monitored and this risk is reduced due to short-term payment terms relating to most of our significant customers. Six customers (including their affiliates) account for approximately 39% of our total net receivables (excluding the receivable amount related to the Wilson Settlement Agreement discussed in Note 9) at December 31, 2018.</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are stated at the lower of cost (determined using the first-in, first-out (“FIFO”) basis) or net realizable value, which is the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prices in the ordinary course of business, less reasonably predictable costs of completion, transportation or disposal. Finished goods include material, labor, and manufacturing overhead costs.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cost exceeded the net realizable value, inventory reserves were $278,000 and $933,000 at December 31, 2018 and 2017,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Property, plant and equipment (“PP&amp;E”) are stated at cost, net of accumulated depreciation, depletion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(“DD&amp;A”). Leases meeting capital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are expensed as they are incurred. All long-lived assets relate to domestic operations.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Fully depreciated assets are retained in PP&amp;E and accumulated DD&amp;A accounts until disposal. When PP&amp;E are retired, sold, or otherwise disposed, the asset’s carrying amount and related accumulated DD&amp;A are removed from the accounts and any gain or loss is included in other income or expense.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financial reporting purposes, depreciation of the costs of PP&amp;E is primarily computed using the straight-line method over the estimated useful lives of the assets. No provision for depreciation is made on construction in progress or capital spare parts until such time as the relevant assets are put into service. In general, assets held for sale are reported at the lower of the carrying amounts of the assets or fair values less costs to sell. At December 31, 2018 and 2017, we had no long-lived assets classified as held for sale.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and Goodwill </w:t>
      </w:r>
      <w:r>
        <w:rPr>
          <w:rFonts w:ascii="Times New Roman" w:cs="Times New Roman" w:eastAsia="Times New Roman" w:hAnsi="Times New Roman"/>
          <w:sz w:val="18"/>
          <w:szCs w:val="18"/>
          <w:color w:val="auto"/>
        </w:rPr>
        <w:t>– Long-lived assets are reviewed for impairment whenever events or changes in circumstances indicate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carrying 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event or change in circumstance relates to the probable sale of an asset (or group of assets), the specific asset (or group of assets) is reviewed for impairment. In addition, goodwill was reviewed for impairment at least annually. An impairment loss generally would be recognized when the carrying amount of the reporting unit’s net assets exceeds the estimated fair value of the reporting unit. See discussion below under 2016.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Goodwill Impairment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evaluation of goodwill for impairment involved a two-step test. Step 1 involved comparing the estimated fair value of each respective reporting unit to its carrying value, including goodwill. Step 2 involved calculating an implied fair value of goodwill by performing a hypothetical allocation of the estimated fair value of the reporting unit determined in step 1 to the respective tangible and intangible net assets of the reporting unit. To the extent the carrying amount of goodwill exceeded the implied goodwill, the difference was the amount of the goodwill impairment.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2016, pricing for our key product groups deteriorated well below expectations and the lower price environment was expected to continue throughout 2017. We determined the fair value of goodwill related to our El Dorado Facility was less than its carrying amount (goodwill and other) implied under step 2, which resulted in an impairment charge of $1.6 million to fully write-down the carrying value of goodwill.</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Risks for Cash and Cash Equivalents and Sales </w:t>
      </w:r>
      <w:r>
        <w:rPr>
          <w:rFonts w:ascii="Times New Roman" w:cs="Times New Roman" w:eastAsia="Times New Roman" w:hAnsi="Times New Roman"/>
          <w:sz w:val="18"/>
          <w:szCs w:val="18"/>
          <w:color w:val="auto"/>
        </w:rPr>
        <w:t>– Financial instruments relating to cash and cash equivalents potentially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to concentrations of credit risk. These financial instruments were held by financial institutions within the U.S. None of the financial instruments held within U.S. were in excess of the federally insured limits.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to one customer, Koch Fertilizer LLC (“Koch Fertilizer”), represented approximately 13%, 10% and 11% of our total net sales for 2018, 2017 and 2016, respectively. Net sales to one customer, Coffeyville Resources Nitrogen Fertilizer, LLC (“CVR”), represented approximately 11% of our total net sales for 2018. Net sales to one customer, Covestro AG (“Covestro”), represented approximately 12% and 13% of our total net sales for 2017 and 2016, respectively.</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Capitalized Interest </w:t>
      </w:r>
      <w:r>
        <w:rPr>
          <w:rFonts w:ascii="Times New Roman" w:cs="Times New Roman" w:eastAsia="Times New Roman" w:hAnsi="Times New Roman"/>
          <w:sz w:val="18"/>
          <w:szCs w:val="18"/>
          <w:color w:val="auto"/>
        </w:rPr>
        <w:t>– Interest cost on borrowings incurred during a significant construction or development project is capitalized. Capitalized interest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added to the associated underlying asset and amortized over the estimated useful lives of the assets. For 2017, and 2016, interest capitalized amounted to $0.3 million and $15.0 million, respectively (none in 2018).</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Accrued Insurance Liabilities </w:t>
      </w:r>
      <w:r>
        <w:rPr>
          <w:rFonts w:ascii="Times New Roman" w:cs="Times New Roman" w:eastAsia="Times New Roman" w:hAnsi="Times New Roman"/>
          <w:sz w:val="18"/>
          <w:szCs w:val="18"/>
          <w:color w:val="auto"/>
        </w:rPr>
        <w:t>– We are self-insured up to certain limits for group health, workers’ compensation and general liability claims. Above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facilities. Additional pollution liability coverage for our other facilities is provided in our general liability and umbrella policies. As it related to our natural gas properties that we did not operate but only owned a working interest, insurance policies were maintained by the operator, which we were responsible for our proportionate share of the costs involved.</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Executive Benefit Agreements </w:t>
      </w:r>
      <w:r>
        <w:rPr>
          <w:rFonts w:ascii="Times New Roman" w:cs="Times New Roman" w:eastAsia="Times New Roman" w:hAnsi="Times New Roman"/>
          <w:sz w:val="18"/>
          <w:szCs w:val="18"/>
          <w:color w:val="auto"/>
        </w:rPr>
        <w:t>– We are party to certain benefit agreements with certain key current and former executives. Costs associated with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benefit agreements are accrued based on the estimated remaining service period when such benefits become probable, they will be paid. Total costs accrued equal the present value of specified payments to be made after benefits become payable.</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Income taxes are accounted for under the asset and liability method. Deferred tax assets and liabilities are measured using enacted tax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benefits associated with amounts that are deductible for income tax purposes are recorded through the statement of operations. These benefits are principally generated from exercises of non-qualified stock options and restricted stock. We reduce income tax expense for investment tax credits in the period the credit arises and is earned.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Income Taxes discussing the Tax Cuts and Jobs Act of 2017 and Staff Accounting Bulletin No. 118 ("SAB 118") issued by the SEC.</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and our legal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Asset Retirement Obligations </w:t>
      </w:r>
      <w:r>
        <w:rPr>
          <w:rFonts w:ascii="Times New Roman" w:cs="Times New Roman" w:eastAsia="Times New Roman" w:hAnsi="Times New Roman"/>
          <w:sz w:val="18"/>
          <w:szCs w:val="18"/>
          <w:color w:val="auto"/>
        </w:rPr>
        <w:t>– In general, we record the estimated fair value of an asset retirement obligation (“ARO”) associated with tangible long-lived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Redeemable Preferred Stocks </w:t>
      </w:r>
      <w:r>
        <w:rPr>
          <w:rFonts w:ascii="Times New Roman" w:cs="Times New Roman" w:eastAsia="Times New Roman" w:hAnsi="Times New Roman"/>
          <w:sz w:val="18"/>
          <w:szCs w:val="18"/>
          <w:color w:val="auto"/>
        </w:rPr>
        <w:t>– Our redeemable preferred stocks that are redeemable outside of our control are classified as temporary/mezzanine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this accretion could change if the expected redemption date changes.</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 Equity award transactions with employees are measured based on the estimated fair value of the equity awards issued. For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service conditions that have a graded vesting period, we recognize compensation cost on a straight-line basis over the requisite service period for the entire award. Forfeitures are accounted for as they occur. In addition, historically we issue new shares of common stock upon the exercise of stock options, but treasury shares may be used.</w:t>
      </w:r>
    </w:p>
    <w:p>
      <w:pPr>
        <w:spacing w:after="0" w:line="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and Other Information </w:t>
      </w:r>
      <w:r>
        <w:rPr>
          <w:rFonts w:ascii="Times New Roman" w:cs="Times New Roman" w:eastAsia="Times New Roman" w:hAnsi="Times New Roman"/>
          <w:sz w:val="18"/>
          <w:szCs w:val="18"/>
          <w:color w:val="auto"/>
        </w:rPr>
        <w:t>– See Note 2-Adoption of ASC 606 for discussion of our revenue recognition accounting policy. In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other similar taxes we collect concurrently with revenue-producing activities are excluded from revenue. Also, we have elected to recognize the cost for freight and shipping when control of the product has transferred to the customer as an expense in cost of sales.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net sales and long-lived assets relate to domestic operations for the periods presented. In addition, net sales to non-U.S. customers were minimal.</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Recognition of Incentive Tax Credits (Other Than Credits Associated with Income Taxes) </w:t>
      </w:r>
      <w:r>
        <w:rPr>
          <w:rFonts w:ascii="Times New Roman" w:cs="Times New Roman" w:eastAsia="Times New Roman" w:hAnsi="Times New Roman"/>
          <w:sz w:val="18"/>
          <w:szCs w:val="18"/>
          <w:color w:val="auto"/>
        </w:rPr>
        <w:t>– If an incentive tax credit relates to a recovery of taxes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income taxes) incurred, we recognize the incentive tax credit when it is probable and reasonably estimable. If an incentive tax credit relates to an amount in excess of taxes incurred, the incentive tax credit is a contingent gain, which we recognize the incentive tax credit when it is realized or when the contingencies have been resolved (generally at the time a settlement has been reached). Amounts recoverable from the taxing authorities, if any, are included in accounts receivable. The same financial statement classification is used for an incentive tax credit as the associated tax incurred.</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2017, we received notification from the State of Arkansas that incentive tax credits had been approved associated with certain capital expenditures associated with the El Dorado Facility’s expansion projects completed primarily in the fourth quarter of 2015 and the second quarter of 2016. As a result, in 2017, we recognized a current and noncurrent receivable totaling approximately $8.1 million associated with these incentive tax credits with the offset reducing PP&amp;E (covered by the tax credit) by approximately $7.4 million and the remaining balance of $0.7 million as a reduction to cost of sales (recovery of previously incurred depreciation expense related to the PP&amp;E). At December 31, 2018 and 2017, our current and noncurrent incentive tax credits receivable totaled $3.1 million and $7.4 million, respectively.</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Recognition of Insurance Recoveries </w:t>
      </w:r>
      <w:r>
        <w:rPr>
          <w:rFonts w:ascii="Times New Roman" w:cs="Times New Roman" w:eastAsia="Times New Roman" w:hAnsi="Times New Roman"/>
          <w:sz w:val="18"/>
          <w:szCs w:val="18"/>
          <w:color w:val="auto"/>
        </w:rPr>
        <w:t>– If an insurance claim relates to a recovery of our losses, we recognize the recovery when it is probable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estimable. If our insurance claim relates to a contingent gain, we recognize the recovery when it is realized or when the contingencies have been resolved (generally at the time a settlement has been reached).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 Cost of sales includes materials, labor and overhead costs to manufacture the products sold plus inbound freight, purchasing and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inspection costs, internal transfer costs, loading and handling costs, warehousing costs, railcar lease costs and outbound freight. Maintenance, repairs and minor renewal costs relating to Turnarounds are included in cost of sales as they are incurred. Precious metals used as a catalyst and consumed during the manufacturing process are included in cost of sales. Recoveries and gains from precious metals and business interruption insurance claims, if any, are reductions to cost of sales. Provisions for (realization of) losses associated with inventory reserves, gains and losses (realized and unrealized), if any, from our commodities contracts, and provision for losses, if any, on firm sales/purchase commitments are included in cost of sales.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 </w:t>
      </w:r>
      <w:r>
        <w:rPr>
          <w:rFonts w:ascii="Times New Roman" w:cs="Times New Roman" w:eastAsia="Times New Roman" w:hAnsi="Times New Roman"/>
          <w:sz w:val="18"/>
          <w:szCs w:val="18"/>
          <w:color w:val="auto"/>
        </w:rPr>
        <w:t>– Selling, general and administrative expense (“SG&amp;A”) includes costs associated with the sales,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administrative functions. Such costs include personnel costs, including benefits, professional fees, office and occupancy costs associated with the sales, marketing and administrative functions. Also included in SG&amp;A are any distribution fees paid to third parties to distribute our products.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Derivatives, Hedges and Financial Instruments </w:t>
      </w:r>
      <w:r>
        <w:rPr>
          <w:rFonts w:ascii="Times New Roman" w:cs="Times New Roman" w:eastAsia="Times New Roman" w:hAnsi="Times New Roman"/>
          <w:sz w:val="18"/>
          <w:szCs w:val="18"/>
          <w:color w:val="auto"/>
        </w:rPr>
        <w:t>– Derivatives are recognized in the balance sheet and are measured at fair value. Changes in fair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derivatives are recorded in results of operations unless the normal purchase or sale exceptions apply, or hedge accounting is elected.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We have chosen to present the fair values of our derivative contracts under master netting agreements using a gross fair value presentation as there were no derivatives with fair values that were eligible to be offset as of December 31, 2018 and 2017.</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(Loss) per Common Share </w:t>
      </w:r>
      <w:r>
        <w:rPr>
          <w:rFonts w:ascii="Times New Roman" w:cs="Times New Roman" w:eastAsia="Times New Roman" w:hAnsi="Times New Roman"/>
          <w:sz w:val="18"/>
          <w:szCs w:val="18"/>
          <w:color w:val="auto"/>
        </w:rPr>
        <w:t>– Net income (loss) attributable to common stockholders is computed by adjusting net income (loss) by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 Information - </w:t>
      </w:r>
      <w:r>
        <w:rPr>
          <w:rFonts w:ascii="Times New Roman" w:cs="Times New Roman" w:eastAsia="Times New Roman" w:hAnsi="Times New Roman"/>
          <w:sz w:val="18"/>
          <w:szCs w:val="18"/>
          <w:color w:val="auto"/>
        </w:rPr>
        <w:t>With the sale of our Climate Control Business during July 2016, we operate in one principal business segment – our chemical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ASU 2014-09 – </w:t>
      </w:r>
      <w:r>
        <w:rPr>
          <w:rFonts w:ascii="Times New Roman" w:cs="Times New Roman" w:eastAsia="Times New Roman" w:hAnsi="Times New Roman"/>
          <w:sz w:val="18"/>
          <w:szCs w:val="18"/>
          <w:color w:val="auto"/>
        </w:rPr>
        <w:t>In May 2014, the Financial Accounting Standards Board (“FASB”) issued Accounting Standard Update (“ASU”) 2014-09,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Contracts with Customers (Topic 606)</w:t>
      </w:r>
      <w:r>
        <w:rPr>
          <w:rFonts w:ascii="Times New Roman" w:cs="Times New Roman" w:eastAsia="Times New Roman" w:hAnsi="Times New Roman"/>
          <w:sz w:val="18"/>
          <w:szCs w:val="18"/>
          <w:color w:val="auto"/>
        </w:rPr>
        <w:t>, which superseded nearly all existing revenue recognition guidance under GAAP. In addition, the FASB issued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ASUs further amending revenue recognition guidance (together “ASC 606”). On January 1, 2018, we adopted ASC 606 as discussed in Note 2.</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ASU 2016-15 </w:t>
      </w:r>
      <w:r>
        <w:rPr>
          <w:rFonts w:ascii="Times New Roman" w:cs="Times New Roman" w:eastAsia="Times New Roman" w:hAnsi="Times New Roman"/>
          <w:sz w:val="18"/>
          <w:szCs w:val="18"/>
          <w:color w:val="auto"/>
        </w:rPr>
        <w:t>– In August 2016, the FASB issued ASU No. 2016-15,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Statement of Cash Flows (Topic 230): Classification of Certain Cash Receipts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This ASU made eight targeted changes to how cash receipts and cash payments are presented and classified in the statement of cash flows.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2018, we adopted ASU 2016-15 on a retrospective basis. The adoption of this ASU did not affect the presentation or classification of cash flow activities for 2017 or 2016.</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ASU 2016-18 – </w:t>
      </w:r>
      <w:r>
        <w:rPr>
          <w:rFonts w:ascii="Times New Roman" w:cs="Times New Roman" w:eastAsia="Times New Roman" w:hAnsi="Times New Roman"/>
          <w:sz w:val="18"/>
          <w:szCs w:val="18"/>
          <w:color w:val="auto"/>
        </w:rPr>
        <w:t>In November 2016, the FASB issued ASU No. 2016-18,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Statement of Cash Flows (Topic 230): Restricted Cash, a consensus of the FASB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Emerging Issues Task Force. </w:t>
      </w:r>
      <w:r>
        <w:rPr>
          <w:rFonts w:ascii="Times New Roman" w:cs="Times New Roman" w:eastAsia="Times New Roman" w:hAnsi="Times New Roman"/>
          <w:sz w:val="18"/>
          <w:szCs w:val="18"/>
          <w:color w:val="auto"/>
        </w:rPr>
        <w:t>The amendments in this ASU revise the guidance in Topic 230, Statement of Cash Flows, to require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include restricted cash (and restricted cash equivalents) on the statement of cash flows. On January 1, 2018, we adopted ASU 2016-18 on retrospective basis. As the result of adopting this ASU, we removed the presentation of investing cash flow activities relating to current and noncurrent restricted cash and cash equivalents from our statement of cash flows for 2016, which change did not impact the total amount of net cash provided by continuing investing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ASU 2018-05 </w:t>
      </w:r>
      <w:r>
        <w:rPr>
          <w:rFonts w:ascii="Times New Roman" w:cs="Times New Roman" w:eastAsia="Times New Roman" w:hAnsi="Times New Roman"/>
          <w:sz w:val="18"/>
          <w:szCs w:val="18"/>
          <w:color w:val="auto"/>
        </w:rPr>
        <w:t>– See Note 8 – Income Taxes.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right="6900" w:firstLine="8"/>
        <w:spacing w:after="0" w:line="375" w:lineRule="auto"/>
        <w:tabs>
          <w:tab w:leader="none" w:pos="22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Recently Issued Accounting Pronouncements</w:t>
      </w:r>
    </w:p>
    <w:p>
      <w:pPr>
        <w:spacing w:after="0" w:line="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ASU 2016-02 and related ASUs – </w:t>
      </w: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supersedes the lease requirements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objective of this ASU is to establish the principles that lessees and lessors shall apply to report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w:t>
      </w:r>
    </w:p>
    <w:p>
      <w:pPr>
        <w:spacing w:after="0" w:line="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completed our assessment, design and plan for implementation and implementation of Topic 842 in order to adopt this standard and will elect the additional transition method option provided by ASU 2018-11. Under this transition method, we will apply the new accounting guidance (we expect the cumulative effect, if any, not to be material) on January 1, 2019, the date of adoption.</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Consequently, our reporting for the comparative periods presented in the financial statements issued after the date of adoption would continue to be in accordance with Topic 840, including disclosures. Upon adoption, we plan to elect the following accounting policies or practical expedients related to Topic 842:</w:t>
      </w:r>
    </w:p>
    <w:p>
      <w:pPr>
        <w:spacing w:after="0" w:line="68" w:lineRule="exact"/>
        <w:rPr>
          <w:sz w:val="20"/>
          <w:szCs w:val="20"/>
          <w:color w:val="auto"/>
        </w:rPr>
      </w:pPr>
    </w:p>
    <w:p>
      <w:pPr>
        <w:ind w:left="1040" w:right="2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accounting similar to Topic 840 operating leases accounting to leases that meet the definition of short-term leases;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evaluate land easements that exist or expired before January 1, 2019 and that were not previously accounted for as leases under Topic 840.</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Currently, most of our leases are classified as operating leases under which we are the lessee. In addition, our leases classified as capital leases and other leases under which we are the lessor are not material. Upon adoption, we currently expect the effect of this guidance on our consolidated financial statements will impact our balance sheet presentation (increase the amount of our assets for the inclusion of right-of-use assets of approximately $15 million and an increase the amount of our liabilities for the inclusion of the associated lease obligations of approximately $15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Adoption of ASC 606</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2018, we adopted ASC 606 using the “modified retrospective” adoption method, meaning the standard is applied only to the most current period presented in the financial statements. Furthermore, we elected to apply the standard only to those contracts which were not completed as of the date of the adoption. Results for reporting periods beginning on the date of adoption are presented under ASC 606, while prior period amounts have not been adjusted and continue to be reported in accordance with our historical accounting methodology pursuant to ASC 605, </w:t>
      </w:r>
      <w:r>
        <w:rPr>
          <w:rFonts w:ascii="Times New Roman" w:cs="Times New Roman" w:eastAsia="Times New Roman" w:hAnsi="Times New Roman"/>
          <w:sz w:val="18"/>
          <w:szCs w:val="18"/>
          <w:i w:val="1"/>
          <w:iCs w:val="1"/>
          <w:color w:val="auto"/>
        </w:rPr>
        <w:t>Revenue Recognition (“ASC 605”)</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Upon adoption, a cumulative effect adjustment was not required; however, the primary impact of adopting the new standard relates to the reduction in net sales, cost of sales and SG&amp;A resulting from the elimination of certain sales revenue involving products we do not control under ASC 606, including products (we do not control) associated with marketing services we are performing as an agent for our customers. The nature of these arrangements allows for other parties to maintain control of these products throughout the production process.</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line items in our consolidated statement of operations for the current reporting period has been provided to reflect both the adoption of ASC 606 as well as a comparative presentation in accordance with ASC 605 previously in affect: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4"/>
        </w:trPr>
        <w:tc>
          <w:tcPr>
            <w:tcW w:w="5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As</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Balance without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Effect of Change</w:t>
            </w:r>
          </w:p>
        </w:tc>
        <w:tc>
          <w:tcPr>
            <w:tcW w:w="580" w:type="dxa"/>
            <w:vAlign w:val="bottom"/>
          </w:tcPr>
          <w:p>
            <w:pPr>
              <w:spacing w:after="0"/>
              <w:rPr>
                <w:sz w:val="19"/>
                <w:szCs w:val="19"/>
                <w:color w:val="auto"/>
              </w:rPr>
            </w:pPr>
          </w:p>
        </w:tc>
      </w:tr>
      <w:tr>
        <w:trPr>
          <w:trHeight w:val="233"/>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Reported</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adoption of 606</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Higher/(Lower)</w:t>
            </w:r>
          </w:p>
        </w:tc>
        <w:tc>
          <w:tcPr>
            <w:tcW w:w="580" w:type="dxa"/>
            <w:vAlign w:val="bottom"/>
          </w:tcPr>
          <w:p>
            <w:pPr>
              <w:spacing w:after="0"/>
              <w:rPr>
                <w:sz w:val="20"/>
                <w:szCs w:val="20"/>
                <w:color w:val="auto"/>
              </w:rPr>
            </w:pPr>
          </w:p>
        </w:tc>
      </w:tr>
      <w:tr>
        <w:trPr>
          <w:trHeight w:val="220"/>
        </w:trPr>
        <w:tc>
          <w:tcPr>
            <w:tcW w:w="5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6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$ 378,160</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443,821</w:t>
            </w: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(65,661)</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362,325</w:t>
            </w:r>
          </w:p>
        </w:tc>
        <w:tc>
          <w:tcPr>
            <w:tcW w:w="24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427,405</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(65,080)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15,835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16,415</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40,811</w:t>
            </w:r>
          </w:p>
        </w:tc>
        <w:tc>
          <w:tcPr>
            <w:tcW w:w="24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41,391</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(23,025)</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(23,025)</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675"/>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20" w:type="dxa"/>
            <w:vAlign w:val="bottom"/>
            <w:gridSpan w:val="2"/>
          </w:tcPr>
          <w:p>
            <w:pPr>
              <w:jc w:val="right"/>
              <w:ind w:right="2299"/>
              <w:spacing w:after="0"/>
              <w:rPr>
                <w:sz w:val="20"/>
                <w:szCs w:val="20"/>
                <w:color w:val="auto"/>
              </w:rPr>
            </w:pPr>
            <w:r>
              <w:rPr>
                <w:rFonts w:ascii="Times New Roman" w:cs="Times New Roman" w:eastAsia="Times New Roman" w:hAnsi="Times New Roman"/>
                <w:sz w:val="18"/>
                <w:szCs w:val="18"/>
                <w:color w:val="auto"/>
              </w:rPr>
              <w:t>F-14</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Adoption of ASC 606 (continued)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mentioned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2017</w:t>
            </w:r>
            <w:r>
              <w:rPr>
                <w:rFonts w:ascii="Times New Roman" w:cs="Times New Roman" w:eastAsia="Times New Roman" w:hAnsi="Times New Roman"/>
                <w:sz w:val="14"/>
                <w:szCs w:val="14"/>
                <w:color w:val="auto"/>
              </w:rPr>
              <w:t>(a)</w:t>
            </w:r>
          </w:p>
        </w:tc>
        <w:tc>
          <w:tcPr>
            <w:tcW w:w="26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2016</w:t>
            </w:r>
            <w:r>
              <w:rPr>
                <w:rFonts w:ascii="Times New Roman" w:cs="Times New Roman" w:eastAsia="Times New Roman" w:hAnsi="Times New Roman"/>
                <w:sz w:val="14"/>
                <w:szCs w:val="14"/>
                <w:color w:val="auto"/>
              </w:rPr>
              <w:t>(a)</w:t>
            </w:r>
          </w:p>
        </w:tc>
      </w:tr>
      <w:tr>
        <w:trPr>
          <w:trHeight w:val="204"/>
        </w:trPr>
        <w:tc>
          <w:tcPr>
            <w:tcW w:w="4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Agricultural products</w:t>
            </w:r>
          </w:p>
        </w:tc>
        <w:tc>
          <w:tcPr>
            <w:tcW w:w="15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187,164</w:t>
            </w:r>
          </w:p>
        </w:tc>
        <w:tc>
          <w:tcPr>
            <w:tcW w:w="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166,180</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148,598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196,029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155,744</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Mining products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43,532</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products</w:t>
            </w:r>
          </w:p>
        </w:tc>
        <w:tc>
          <w:tcPr>
            <w:tcW w:w="1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shd w:val="clear" w:color="auto" w:fill="CFF0FC"/>
          </w:tcPr>
          <w:p>
            <w:pPr>
              <w:spacing w:after="0"/>
              <w:rPr>
                <w:sz w:val="19"/>
                <w:szCs w:val="19"/>
                <w:color w:val="auto"/>
              </w:rPr>
            </w:pPr>
          </w:p>
        </w:tc>
      </w:tr>
      <w:tr>
        <w:trPr>
          <w:trHeight w:val="223"/>
        </w:trPr>
        <w:tc>
          <w:tcPr>
            <w:tcW w:w="4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sales</w:t>
            </w:r>
          </w:p>
        </w:tc>
        <w:tc>
          <w:tcPr>
            <w:tcW w:w="130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378,160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427,504</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374,585</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prior period amounts have not been adjusted under the modified retrospective method.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Performance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17"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 When the terms of a contract include the transfer of multiple products, each distinct product is identified as a separate performance obligation.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only offer assurance-type warranties for our products to meet specifications defined by our contracts with customers, and do not have any material performance obligations related to warranties, return, or refunds.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Constraints and Variable Consideration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most of our contracts within the scope of ASC 606,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published monthly and the contract quantities are typically based on estimated ranges. The quantities become fixed and determinable over a period of time as each sale order is received from the customer.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Adoption of ASC 606 (continued)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revenues to be earned from the satisfaction of performance obligations will be recognized when control transfers as goods are loaded and weighed or services are performed over the remaining duration of our contracts. Although most of our contracts have an original expected duration of one year or less, for our contracts with a duration greater than one year, the average remaining expected duration was approximately 14 months at December 31,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consist of receivables from contracts with customers. Our net accounts receivable primarily relate to these contract assets and are presented in our consolidated balance sheets. Customer payments are generally due thirty to sixty days after the invoice date.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 liabilities primarily relate to deferred revenue and customer deposits associated with cash payments received in advance from customers for volume shortfall charges and product shipments. We had approximately $7.0 million and $8.3 million of contract liabilities as of December 31, 2018 and 2017, respectively. During 2018, revenues of $3.1 million were recognized and included in the balance at the beginning of the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the transitional practical expedient for all contract modifications, such that all modifications prior to our adoption date for uncompleted contracts would be evaluated in the aggregate for any potential impact to our financial statements.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the practical expedient to recognize revenue in the amount we have the right to invoice relating to certain services that are performed for customers and, as a result we do not have to disclose the value of unsatisfied performance obligations.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the practical expedient by which disclosures are not required regarding the value of unsatisfied performance obligations for contracts with an original expected duration of one year or less.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the practical expedient exempting the requirement to adjust the promised amount of consideration for the effects of a significant financing component if we expect the financing time period to be one year or less.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recognized in the current period from performance obligations related to prior periods (for example, due to changes in transaction price) was not material.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 cost assets primarily relate to the portion of incentive compensation earned by certain employees that are considered incremental and recoverable costs of obtaining a contract with a customer. Those costs are not material. We have elected the practical expedient to expense as incurred any incremental costs of obtaining a contract if the associated period of benefit is one year or less.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(loss)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common share: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gridSpan w:val="9"/>
          </w:tcPr>
          <w:p>
            <w:pPr>
              <w:jc w:val="right"/>
              <w:ind w:right="711"/>
              <w:spacing w:after="0" w:line="155" w:lineRule="exact"/>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(72,226)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(29,217)</w:t>
            </w: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for basic net income (loss) per common</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share:</w:t>
            </w: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Dividend requirements on Series E Redeemable Preferred</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Dividend requirements on Series B Preferred</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Dividend requirements on Series D Preferred</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Accretion of Series E Redeemable Preferred</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(6,487)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0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Numerator for basic and dilutive net income (loss) per</w:t>
            </w:r>
          </w:p>
        </w:tc>
        <w:tc>
          <w:tcPr>
            <w:tcW w:w="10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common share - net income (loss) attributable to</w:t>
            </w:r>
          </w:p>
        </w:tc>
        <w:tc>
          <w:tcPr>
            <w:tcW w:w="136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(102,741)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common stockholders</w:t>
            </w:r>
          </w:p>
        </w:tc>
        <w:tc>
          <w:tcPr>
            <w:tcW w:w="1360" w:type="dxa"/>
            <w:vAlign w:val="bottom"/>
            <w:gridSpan w:val="2"/>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(59,447)</w:t>
            </w:r>
          </w:p>
        </w:tc>
        <w:tc>
          <w:tcPr>
            <w:tcW w:w="4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Denominator for basic and dilutive net income (loss)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 common share - adjusted weighted-average</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27,490,717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70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shares (1)</w:t>
            </w:r>
          </w:p>
        </w:tc>
        <w:tc>
          <w:tcPr>
            <w:tcW w:w="10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27,250,876</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25,454,311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dilutive net income (loss) per common share: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(3.74)</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exclude the weighted-average shares of unvested restricted stock that are contingently returnable.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securities were not included in the computation of diluted net income (loss) per common share as their effect would have been antidilutive: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32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13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13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stocks</w:t>
            </w:r>
          </w:p>
        </w:tc>
        <w:tc>
          <w:tcPr>
            <w:tcW w:w="18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916,666</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1,183,622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1,187,525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redeemable preferred stock - embedded derivative</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303,646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175,454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215,067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19"/>
                <w:szCs w:val="19"/>
                <w:color w:val="auto"/>
              </w:rPr>
            </w:pP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2,579,388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2,622,904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2,599,271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4900" w:type="dxa"/>
            <w:vAlign w:val="bottom"/>
          </w:tcPr>
          <w:p>
            <w:pPr>
              <w:spacing w:after="0"/>
              <w:rPr>
                <w:sz w:val="24"/>
                <w:szCs w:val="24"/>
                <w:color w:val="auto"/>
              </w:rPr>
            </w:pPr>
          </w:p>
        </w:tc>
        <w:tc>
          <w:tcPr>
            <w:tcW w:w="34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F-17</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 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equipment and automotive</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3 - 30</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1,189,438</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1,163,532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10 - 30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10 - 40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store equipment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Capital spare parts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1,299,949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1,281,567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w:t>
            </w: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325,701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1,014,038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Machinery, equipment and automotive primarily includes the categories of property and equipment and estimated useful lives as follows: processing plants and plant infrastructure (15-30 years); certain processing plant components (3-10 years); and trucks, automobiles, trailers, and other rolling stock (2-7 years).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and Noncurrent Accrued and Other Liabilities</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3"/>
        </w:trPr>
        <w:tc>
          <w:tcPr>
            <w:tcW w:w="5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litigation settlement (See Note 9)</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18,450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benefits (1)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7,259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death and other executive benefits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redeemable preferred - embedded derivative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Accrued health and worker compensation insurance claims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6,251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8,861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42,129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35,573</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40" w:right="3520" w:hanging="5019"/>
        <w:spacing w:after="0" w:line="908" w:lineRule="auto"/>
        <w:tabs>
          <w:tab w:leader="none" w:pos="10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2018, the amount includes certain severance benefits as discussed in Note 15.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Asset Retirement Obligations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we have various legal requirements related to operations at our chemical facilities, including the disposal of wastewater generated at certain of these facilities. Currently, there is insufficient information to estimate the fair value for certain of our AROs. As a result, a liability for only certain AROs has been established. However, we will continue to review these obligations and record a liability when a reasonable estimate of the fair value can be made. At December 31, 2018 and 2017, our accrued liability for AROs was $100,000, respectively.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gridSpan w:val="5"/>
          </w:tcPr>
          <w:p>
            <w:pPr>
              <w:jc w:val="right"/>
              <w:ind w:right="1033"/>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Revolver Loan, with a current interest rate of</w:t>
            </w:r>
          </w:p>
        </w:tc>
        <w:tc>
          <w:tcPr>
            <w:tcW w:w="1460" w:type="dxa"/>
            <w:vAlign w:val="bottom"/>
            <w:gridSpan w:val="2"/>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6.00% (A)</w:t>
            </w:r>
          </w:p>
        </w:tc>
        <w:tc>
          <w:tcPr>
            <w:tcW w:w="1460" w:type="dxa"/>
            <w:vAlign w:val="bottom"/>
            <w:gridSpan w:val="2"/>
            <w:vMerge w:val="continue"/>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 due 2023 (B)</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Notes due 2019 (B)</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Secured Promissory Note due 2019, with a current rate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5.73% (C)</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Promissory Note due 2021, with a current interest rate</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5.25% (D)</w:t>
            </w:r>
          </w:p>
        </w:tc>
        <w:tc>
          <w:tcPr>
            <w:tcW w:w="1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Secured Promissory Note due 2023, with a current interest rate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6.76% (E)</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(4,689)</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425,199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 (F)</w:t>
            </w:r>
          </w:p>
        </w:tc>
        <w:tc>
          <w:tcPr>
            <w:tcW w:w="1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due after one year, net (F)</w:t>
            </w:r>
          </w:p>
        </w:tc>
        <w:tc>
          <w:tcPr>
            <w:tcW w:w="1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412,681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8"/>
        <w:spacing w:after="0" w:line="255" w:lineRule="auto"/>
        <w:tabs>
          <w:tab w:leader="none" w:pos="30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revolving credit facility (the “Working Capital Revolver Loan”) provides for advances up to $50 million (but provides an ability to expand the commitment an additional $25 million), based on specific percentages of eligible accounts receivable and inventories and up to $10 million of letters of credit, the outstanding amount of which reduces the available for borrowing under the Working Capital Revolver Loan. At December 31, 2018, our available borrowings under our Working Capital Revolver Loan were approximately $37.2 million, based on our eligible collateral, less outstanding letters of credit. The maturity date of the Working Capital Revolver Loan is January 17, 2022. The Working Capital Revolver Loan also provides for a springing financial covenant (the “Financial Covenant”), which requires that, if the borrowing availability is less than or equal to the greater of 10.0% of the total revolver commitments and $5 million, then the borrowers must maintain a minimum fixed charge coverage ratio of not less than 1.00 to 1.00. The Financial Covenant, if triggered, is tested monthly.</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accrues on outstanding borrowings under the Working Capital Revolver Loan at a rate equal to, at our election, either (a) LIBOR for an interest period selected by us plus an applicable margin equal to 1.50% per annum or 1.75% per annum, depending on borrowing availability under the Working Capital Revolver Loan, or (b) Wells Fargo Capital Finance’s prime rate plus an applicable margin equal to 0.50% per annum or 0.75% per annum, depending on borrowing availability under the Working Capital Revolver Loan. Interest is paid monthly, if applicable.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Working Capital Revolver Loan contains customary covenants including limitations on asset sales, liens, debt incurrence, restricted payments, investments, dividends and transactions with affiliates.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Working Capital Revolver Loan includes customary events of default. Upon the occurrence of any event of default, the obligations under the Working Capital Revolver Loan may be accelerated and the revolver commitments may be terminated.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under the Working Capital Revolver Loan are secured by a first priority security interest in substantially all of our current assets, including accounts receivable and inventory, subject to certain customary exceptions.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121" w:lineRule="exact"/>
        <w:rPr>
          <w:sz w:val="20"/>
          <w:szCs w:val="20"/>
          <w:color w:val="auto"/>
        </w:rPr>
      </w:pPr>
    </w:p>
    <w:p>
      <w:pPr>
        <w:jc w:val="both"/>
        <w:ind w:right="20" w:firstLine="8"/>
        <w:spacing w:after="0" w:line="261" w:lineRule="auto"/>
        <w:tabs>
          <w:tab w:leader="none" w:pos="29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25, 2018, LSB completed the issuance and sale of $400 million aggregate principal amount of its 9.625% Senior Secured Notes due 2023 (the “Senior Secured Notes”). The Senior Secured Notes were issued pursuant to an indenture, dated as of April 25, 2018 (the “Indenture”), by and among LSB, the subsidiary guarantors named therein, and Wilmington Trust, National Association, a national banking association, as trustee and collateral agent (the “Notes Trustee”).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Secured Notes were issued at a price equal to 99.509% of their face value. A portion of the net proceeds from the Senior Secured Notes were used to purchase/redeem the $375 million aggregate principal amount of the 8.5% Senior Secured Notes due 2019. The remaining net proceeds were primarily used to pay related transaction fees and expenses, redemption premiums, and accrued interest on the notes purchased/redeemed.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portion of above transaction was accounted for as an extinguishment of debt and a portion was accounted for as a non-substantial debt modification. As a result, approximately $15.2 million of the fees/redemption premiums/discount was deferred and included in discount and debt issuance costs and approximately $0.9 million of fees were expensed, as incurred, and are included in interest expense. In addition, we recognized a loss on extinguishment of debt of approximately $6.0 million, primarily consisting of a portion of the redemption premiums paid and the expensing of a portion of debt issuance costs associated with the 8.5% Senior Secured Notes.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Secured Notes will mature on May 1, 2023 and rank senior in right of payment to all of our debt that is expressly subordinated in right of payment to the notes and will rank pari passu in right of payment with all of our liabilities that are not so subordinated, including the Working Capital Revolver Loan. LSB’s obligations under the Senior Secured Notes are jointly and severally guaranteed by the subsidiary guarantors named in the Indenture on a senior secured basis.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on the Senior Secured Notes accrues at a rate of 9.625% per annum and is payable semi-annually in arrears on May 1 and November 1 of each year, which began on November 1, 2018.</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LSB may redeem the Senior Secured Notes at its option, in whole or in part, subject to the payment of a premium ranging from a “make-whole” premium to a premium of 3.609% of the principal amount so redeemed, in the case of any optional redemption prior to May 1, 2022. If LSB experiences a change of control, it must offer to purchase the notes at 101% of their principal amount, plus accrued and unpaid interest, if any, to but excluding the date of purchase.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contains covenants that limit, among other things, LSB and certain of its subsidiaries’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provides for customary events of default (subject in certain cases to customary grace and cure periods), which include nonpayment, breach of covenants in the Indenture, payment defaults or acceleration of other indebtedness, a failure to pay certain judgments and certain events of bankruptcy and insolvency.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in respect of the Senior Secured Notes are secured by a first priority security interest in substantially all of our fixed assets, subject to certain customary exceptions.</w:t>
      </w:r>
    </w:p>
    <w:p>
      <w:pPr>
        <w:spacing w:after="0" w:line="54" w:lineRule="exact"/>
        <w:rPr>
          <w:sz w:val="20"/>
          <w:szCs w:val="20"/>
          <w:color w:val="auto"/>
        </w:rPr>
      </w:pPr>
    </w:p>
    <w:p>
      <w:pPr>
        <w:ind w:firstLine="8"/>
        <w:spacing w:after="0" w:line="282" w:lineRule="auto"/>
        <w:tabs>
          <w:tab w:leader="none" w:pos="31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Chemical Company (“EDC”), one of our subsidiaries, is party to a secured promissory note due in June 2019. Principal and interest are payable in equal monthly installments with a final balloon payment of approximately $6.7 million.</w:t>
      </w:r>
    </w:p>
    <w:p>
      <w:pPr>
        <w:spacing w:after="0" w:line="53"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EDC is party to a secured promissory note due in March 2021. Principal and interest are payable in monthly installments.</w:t>
      </w:r>
    </w:p>
    <w:p>
      <w:pPr>
        <w:spacing w:after="0" w:line="117"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29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Ammonia L.L.C. (“EDA”), one of our subsidiaries, is party to a secured promissory note due in May 2023. Principal and interest are payable in equal monthly installments with a final balloon payment of approximately $6.1million.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121" w:lineRule="exact"/>
        <w:rPr>
          <w:sz w:val="20"/>
          <w:szCs w:val="20"/>
          <w:color w:val="auto"/>
        </w:rPr>
      </w:pPr>
    </w:p>
    <w:p>
      <w:pPr>
        <w:ind w:left="280" w:hanging="272"/>
        <w:spacing w:after="0"/>
        <w:tabs>
          <w:tab w:leader="none" w:pos="2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Maturities of long-term debt for each of the five years after December 31, 2018 are as follows (in thousands):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406,801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Discount and debt issuance costs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6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425,199</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2017, the President of the United States signed into law the Tax Cuts and Jobs Act of 2017 (the “Tax Cut Act”), making significant changes to the Internal Revenue Code. Changes include, but are not limited to, a federal corporate tax rate of 21%, additional limitations on executive compensation, and limitations on the deductibility of interest.</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FASB issued ASU 2018-05, Income Taxes (Topic 740): </w:t>
      </w:r>
      <w:r>
        <w:rPr>
          <w:rFonts w:ascii="Times New Roman" w:cs="Times New Roman" w:eastAsia="Times New Roman" w:hAnsi="Times New Roman"/>
          <w:sz w:val="18"/>
          <w:szCs w:val="18"/>
          <w:i w:val="1"/>
          <w:iCs w:val="1"/>
          <w:color w:val="auto"/>
        </w:rPr>
        <w:t>Amendments to SEC Paragraphs Pursuant to SEC Staff Accounting Bulletin No. 118</w:t>
      </w:r>
      <w:r>
        <w:rPr>
          <w:rFonts w:ascii="Times New Roman" w:cs="Times New Roman" w:eastAsia="Times New Roman" w:hAnsi="Times New Roman"/>
          <w:sz w:val="18"/>
          <w:szCs w:val="18"/>
          <w:color w:val="auto"/>
        </w:rPr>
        <w:t xml:space="preserve"> to address the application of GAAP in situations when a registrant does not have the necessary information available, prepared, or analyzed (including computations) in reasonable detail to complete the accounting for certain income tax effects of the Tax Cut Act.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2017 and the first nine months of 2018, we recorded provisional amounts for certain enactment-date effects of the Tax Cut Act by applying the guidance in SAB 118 because we had not yet completed our enactment-date accounting for these effects. In 2018 and 2017, we recorded tax expense related to these effects including the decrease in the federal corporate tax rate, additional limitations on executive compensation, and limitations on the deductibility of interest. During the fourth quarter of 2018, we completed the accounting for tax reform and there was no adjustment to provisional amounts recorded.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 from continuing operations are as follows: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140" w:type="dxa"/>
            <w:vAlign w:val="bottom"/>
            <w:gridSpan w:val="2"/>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9"/>
                <w:szCs w:val="19"/>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w:t>
            </w:r>
          </w:p>
        </w:tc>
        <w:tc>
          <w:tcPr>
            <w:tcW w:w="138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140" w:type="dxa"/>
            <w:vAlign w:val="bottom"/>
            <w:gridSpan w:val="2"/>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1,415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(50,084)</w:t>
            </w:r>
          </w:p>
        </w:tc>
        <w:tc>
          <w:tcPr>
            <w:tcW w:w="26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3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Deferred</w:t>
            </w:r>
          </w:p>
        </w:tc>
        <w:tc>
          <w:tcPr>
            <w:tcW w:w="13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80" w:type="dxa"/>
            <w:vAlign w:val="bottom"/>
          </w:tcPr>
          <w:p>
            <w:pPr>
              <w:spacing w:after="0"/>
              <w:rPr>
                <w:sz w:val="19"/>
                <w:szCs w:val="19"/>
                <w:color w:val="auto"/>
              </w:rPr>
            </w:pPr>
          </w:p>
        </w:tc>
        <w:tc>
          <w:tcPr>
            <w:tcW w:w="7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provision for federal income taxes shown above includes regular federal income tax after the consideration of permanent and temporary differences between income for GAAP and tax purposes. The current provision (benefit) for state income taxes includes regular state income tax and provisions for uncertain income tax positions, and other similar adjustments.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deferred tax provision (benefit) results from the recognition of changes in our prior year deferred tax assets and liabilities, and the utilization of state NOL carryforwards and other temporary differences. We reduce income tax expense for tax credits in the year they arise and are earned. At December 31, 2018, our gross amount of tax credits available to offset state income taxes was not material. Most of these tax credits do not expire and carryforward indefinitely. The gross amount of federal tax credits was $8.1 million. These credits carryforward for 20 years and begin expiring in 2034.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utilized approximately $3.4 million, which includes the impact of changes in tax law, and $0.4 million of state NOL carryforwards to reduce tax liabilities in 2018 and 2016, respectively, (none in 2017). At December 31, 2018, we have remaining federal and state tax NOL carryforwards of $577.3 million and $667.9 million, respectively. The federal NOL carryforwards begin expiring in 2033 and the state NOL carryforwards began expiring in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p>
      <w:pPr>
        <w:spacing w:after="0" w:line="1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We considered both positive and negative evidence in our determination of the need for valuation allowances for the deferred tax assets associated with federal and state NOLs and federal credits and in conjunction with the IRC Section 382 limitation. Information evaluated includes our financial position and results of operations for the current and preceding years, the availability of deferred tax liabilities and tax carrybacks, as well as an evaluation of currently available information about future years. In the second quarter of 2018, we established a valuation allowance on a portion of our federal deferred tax assets. Valuation allowances are reflective of our quarterly analysis of the four sources of taxable income, including the calculation of the reversal of existing tax assets and liabilities, the impact of the recent financing activities and our results of operations. Based on our analysis, we currently believe that it is more-likely-than-not that a portion of our federal deferred tax assets will not be able to be utilized and the valuation allowance recorded for 2018 is approximately $14.6 million. For 2018, 2017 and 2016, we determined it was more-likely-than-not that approximately $608.9 million, $536.0 million and $312.3 million, respectively, of the state deferred tax assets would not be able to be utilized before expiration and a valuation allowance was maintained for the deferred tax assets associated with these carryforwards, net of federal benefit, of approximately $31.0 million and $26.9 million at December 31, 2018 and 2017, respectively. This includes a reversal of approximately $2.3 million of valuation allowance related to tax law changes in 2018.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include temporary differences and carryforwards as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2,637</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11,267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154,914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12,581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valuation allowance on deferred tax assets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(45,625)</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(191,369)</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insurance reserves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(2,596)</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(193,965)</w:t>
            </w:r>
          </w:p>
        </w:tc>
        <w:tc>
          <w:tcPr>
            <w:tcW w:w="2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(56,612)</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of our loss before taxes relates to domestic operations. Detailed below are the differences between the amount of the provision (benefit) for income taxes and the amount which would result from the application of the federal statutory rate to “Loss from continuing operations before provision (benefit) for income taxes”.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for income taxes at federal statutory rate</w:t>
            </w:r>
          </w:p>
        </w:tc>
        <w:tc>
          <w:tcPr>
            <w:tcW w:w="17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(14,802)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(24,868)</w:t>
            </w:r>
          </w:p>
        </w:tc>
        <w:tc>
          <w:tcPr>
            <w:tcW w:w="3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(45,531)</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State current and deferred income tax benefit</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 Federal</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 State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reform</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(22,988)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Energy credit</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(2,940)</w:t>
            </w:r>
          </w:p>
        </w:tc>
        <w:tc>
          <w:tcPr>
            <w:tcW w:w="1160" w:type="dxa"/>
            <w:vAlign w:val="bottom"/>
          </w:tcPr>
          <w:p>
            <w:pPr>
              <w:spacing w:after="0"/>
              <w:rPr>
                <w:sz w:val="19"/>
                <w:szCs w:val="19"/>
                <w:color w:val="auto"/>
              </w:rPr>
            </w:pPr>
          </w:p>
        </w:tc>
      </w:tr>
      <w:tr>
        <w:trPr>
          <w:trHeight w:val="223"/>
        </w:trPr>
        <w:tc>
          <w:tcPr>
            <w:tcW w:w="50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34"/>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0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F-22</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uncertain tax positions is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2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5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For 2018, 2017, and 2016, if recognized, the effect on the effective tax rate from unrecognized tax benefits would be insignificant.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interest related to unrecognized tax positions in interest expense and penalties in operating other expense. We recognized $0.1 million of interest and penalties associated with unrecognized tax benefits in 2017 (minimal amounts in 2018 and 2016). At December 31, 2018 and 2017, approximately $0.2 million, respectively is accrued for interest and penalties.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LSB and certain of its subsidiaries file income tax returns in the U.S. federal jurisdiction and various state jurisdictions. With few exceptions, the 2015-2018 years remain open for all purposes of examination by the U.S. Internal Revenue Service (“IRS”) and other major tax jurisdictions. During 2018, the IRS concluded their examination of our 2015 tax return and there are no changes to our financial position, results of operations or cash flow resulting from the audit.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Leases - </w:t>
      </w:r>
      <w:r>
        <w:rPr>
          <w:rFonts w:ascii="Times New Roman" w:cs="Times New Roman" w:eastAsia="Times New Roman" w:hAnsi="Times New Roman"/>
          <w:sz w:val="18"/>
          <w:szCs w:val="18"/>
          <w:color w:val="auto"/>
        </w:rPr>
        <w:t>We lease certain PP&amp;E under non-cancelable operating leases. Future minimum payments on operating leases associated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with initial or remaining terms of one year or more at December 31, 2018, are as follows:</w:t>
      </w:r>
    </w:p>
    <w:p>
      <w:pPr>
        <w:spacing w:after="0" w:line="15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associated with our operating lease agreements, including month-to-month leases, were $10,235,000 in 2018, $9,813,000 in 2017 and $9,933,000 in 2016. Renewal options are available under certain of the lease agreements for various periods at approximately the existing annual rental amounts.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 and Sales Commitments </w:t>
      </w:r>
      <w:r>
        <w:rPr>
          <w:rFonts w:ascii="Times New Roman" w:cs="Times New Roman" w:eastAsia="Times New Roman" w:hAnsi="Times New Roman"/>
          <w:sz w:val="18"/>
          <w:szCs w:val="18"/>
          <w:color w:val="auto"/>
        </w:rPr>
        <w:t>– We have the following significant purchase and sales commitments.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UAN supply agreement – The Pryor Chemical Company (“PCC”) is party to an agreement with CVR. CVR has the exclusive right (but not the obligation) to purchase all the tons of UAN that are produced by PCC with certain limitations. If CVR fails to take delivery of certain tons, PCC pursuant to the terms of the agreement may immediately sell such unpurchased product to a third-party without restriction. The initial term of the agreement expires in May 2019, but includes automatic renewals for one or more additional one-year terms unless terminated by either party by delivering a notice of termination at least twelve months prior to the end of term in effect. However, CVR may unilaterally terminate the agreement upon 180 days’ advance written notice of termination to PCC; provided, however, that each party’s rights and obligations pertaining to UAN that CVR committed to purchase before such advance notice will survive termination. Additionally, PCC can terminate the CVR Purchase Agreement upon 90 days’ advance written notice of termination to CVR; provided, however, that each party’s rights and obligations pertaining to UAN that PCC committed to sell prior to such advance notice will survive termination.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Ammonia supply agreement – EDC is party to an agreement, as amended, with Koch Fertilizer under which Koch Fertilizer agrees to purchase, with minimum purchase requirements, the ammonia that (a) will be produced at the El Dorado Facility and (b) that is in excess of El Dorado’s needs. The term of the agreement expires in June 2020 but automatically continues for one or more additional one-year terms unless terminated by either party by delivering a notice of termination at least nine months prior to the end of term in effect.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Covestro agreement – El Dorado Nitrogen LLC (“EDN”) and EDC, are party to an agreement (the “Covestro Agreement”) with Covestro. EDN operates the Baytown Facility located within Covestro’s chemical manufacturing complex located in Baytown, Texas. Under the terms of the Covestro Agreement, EDN is responsible for the maintenance and operation of the Baytown Facility, which facility produces all of Covestro’s requirements for nitric acid for use in Covestro’s chemical manufacturing complex. If there is a change in control of EDN, Covestro has the right to terminate the Covestro Agreement upon payment of certain fees to EDN. The Covestro Agreement expires in June 2021, with options for renewal.</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See discussions in Note 10 for our commitments relating to derivative contracts at December 31, 2018. Certain of our subsidiaries are parties to contracts to purchase natural gas for anticipated production needs at certain of our facilities.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December 31, 2018, we did not have any natural gas contracts that included volume purchase commitments with fixed costs. In addition, we had standby letters of credit outstanding of approximately $2.7 million at December 31, 2018. We also had deposits from customers of $1.8 million for forward sales commitments at December 31, 2018.</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Wastewater Pipeline Operating Agreement – </w:t>
      </w:r>
      <w:r>
        <w:rPr>
          <w:rFonts w:ascii="Times New Roman" w:cs="Times New Roman" w:eastAsia="Times New Roman" w:hAnsi="Times New Roman"/>
          <w:sz w:val="18"/>
          <w:szCs w:val="18"/>
          <w:color w:val="auto"/>
        </w:rPr>
        <w:t>EDC is party to an operating agreement for the right to use a pipeline to dispose its wastewater. EDC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contractually obligated to pay a portion of the operating costs of the pipeline, which portion is estimated to be $100,000 to $150,000 annually. The initial term of the operating agreement is through December 2053.</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Performance and Payment Bonds – </w:t>
      </w:r>
      <w:r>
        <w:rPr>
          <w:rFonts w:ascii="Times New Roman" w:cs="Times New Roman" w:eastAsia="Times New Roman" w:hAnsi="Times New Roman"/>
          <w:sz w:val="18"/>
          <w:szCs w:val="18"/>
          <w:color w:val="auto"/>
        </w:rPr>
        <w:t>We are contingently liable to sureties in respect of certain insurance bonds issued by the sureties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contracts entered into by certain subsidiaries in the normal course of business. These insurance bonds primarily represent guarantees of future performance of our subsidiaries. As of December 31, 2018, we have agreed to indemnify the sureties for payments, up to $10 million, made by them in respect of such bonds. All of these insurance bonds are expected to expire or be renewed in 2019.</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Employment and Severance Agreements - </w:t>
      </w:r>
      <w:r>
        <w:rPr>
          <w:rFonts w:ascii="Times New Roman" w:cs="Times New Roman" w:eastAsia="Times New Roman" w:hAnsi="Times New Roman"/>
          <w:sz w:val="18"/>
          <w:szCs w:val="18"/>
          <w:color w:val="auto"/>
        </w:rPr>
        <w:t>We have employment and severance agreements with several of our officers. The agreements,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annual base salaries, bonuses and other benefits commonly found in such agreements. In the event of termination of employment due to a change in control (as defined in the agreements), the agreements provide for payments aggregating $6.2 million at December 31, 2018. Also see Note 15-Related Party Transactions.</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Settlement of a Gain Contingency - </w:t>
      </w:r>
      <w:r>
        <w:rPr>
          <w:rFonts w:ascii="Times New Roman" w:cs="Times New Roman" w:eastAsia="Times New Roman" w:hAnsi="Times New Roman"/>
          <w:sz w:val="18"/>
          <w:szCs w:val="18"/>
          <w:color w:val="auto"/>
        </w:rPr>
        <w:t>During 2018, we and a vendor mediated a settlement relating primarily to a business interruption claim caused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defective work performed by the vendor at our Pryor Facility. As a result of the settlement, the vendor paid us $4.0 million. As part of the settlement, we paid the vendor $0.5 million to settle $1.1 million of invoices that were held in our accounts payable. As a result, we recognized a recovery from this settlement totaling $4.6 million of which $4.4 million was classified as a reduction to cost of sales (primarily relating to our business interruption claim) and the remaining balance of $0.2 million as a reduction to PP&amp;E.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Legal Matters - </w:t>
      </w:r>
      <w:r>
        <w:rPr>
          <w:rFonts w:ascii="Times New Roman" w:cs="Times New Roman" w:eastAsia="Times New Roman" w:hAnsi="Times New Roman"/>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claims for damages to persons or property, including natural resources, may result from the environmental, health and safety effects of our operations.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were responsible for our working interest proportionate share of the costs involved.</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2018, our accrued liabilities for environmental matters totaled $183,000 relating primarily to the matters discussed below. It is reasonably possible that a change in the estimate of our liability could occur in the near term. Also, see discussion in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Asset Retirement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Discharge Water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5,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this matter regarding meeting the permit requirements as to the dissolved minerals is a continuing issue for the process wastewater as a result of the El Dorado Facility disposing its wastewater (beginning in September 2013) via a pipeline constructed by the City of El Dorado, Arkansas. In August 2017, ADEQ issued a final NPDES permit, which included new dissolved mineral limits as anticipated. However, EDC objected to the form of the permit specifically around the limits of storm-water runoff and filed an appeal in September 2017. In September 2018, ADEQ formalized a Consent Administrative Order (“CAO”) to resolve all outstanding permit violations and imposed a penalty in the amount of $124,000. On October 12, 2018, EDC and ADEQ entered into CAO 18-085 that resolved all outstanding violations of the NPDES Permit, and EDC paid the previously agreed upon penalty.</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2006, the El Dorado Facility entered into a CAO that recognizes the presence of nitrate contamination in the shallow groundwater. The CAO requires EDC to perform semi-annual groundwater monitoring, continue operation of a groundwater recovery system, submit a human health and ecological risk assessment, and submit a remedial action plan. The risk assessment was submitted in August 2007. In February 2015, the ADEQ stated that El Dorado Chemical was meeting the requirements of the CAO and should continue semi-annual monitoring. The ADEQ’s review of the EDC proposed remedy is ongoing. Under the CAO, the ADEQ may require additional wells be added to the program or may allow EDC to remove wells from the program. The final remedy for shallow groundwater contamination, should any remediation be required, would be selected pursuant to a new consent administrative order and based upon the risk assessment.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any additional remediation that may be required would be determined based on the results of the investigation and risk assessment, of which cost (or range of costs, if any,) cannot currently be reasonably estimated. Therefore, no liability has been established at December 31, 2018, in connection with this matter.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Other 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Pending, Threatened or Settled 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2014, EDC and LSB were named as defendants, together with other AN manufacturers and brokers that arranged the transport and delivery of AN to West Fertilizer, in the case styled </w:t>
      </w:r>
      <w:r>
        <w:rPr>
          <w:rFonts w:ascii="Times New Roman" w:cs="Times New Roman" w:eastAsia="Times New Roman" w:hAnsi="Times New Roman"/>
          <w:sz w:val="18"/>
          <w:szCs w:val="18"/>
          <w:i w:val="1"/>
          <w:iCs w:val="1"/>
          <w:color w:val="auto"/>
        </w:rPr>
        <w:t>City of West, Texas vs. CF Industries, Inc., et al.</w:t>
      </w:r>
      <w:r>
        <w:rPr>
          <w:rFonts w:ascii="Times New Roman" w:cs="Times New Roman" w:eastAsia="Times New Roman" w:hAnsi="Times New Roman"/>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liability insurance policies have aggregate limits of general liability totaling $100 million, with a self-insured retention of $250,000, which retention limit has been met relating to this matter. In August 2015, the trial court dismissed plaintiff’s negligence claims against us and EDC based on a duty to inspect but allowed the plaintiffs to proceed on claims for design defect and failure to warn.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These settlements have been paid by the insurer as of December 31, 2018. While these settlements resolve the claims of a number of the claimants in this matter for us, we continue to be party to litigation related to this explosion by other plaintiffs, in addition to indemnification or defense obligations we may have to other defendants. We continue to defend these lawsuits vigorously and we are unable to estimate a possible range of loss at this time if there is an adverse outcome in this matter as to EDC. As of December 31, 2018, no liability reserve has been established in connection with this matter.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May 2015, our subsidiary, EDC, was sued in the matter styled </w:t>
      </w:r>
      <w:r>
        <w:rPr>
          <w:rFonts w:ascii="Times New Roman" w:cs="Times New Roman" w:eastAsia="Times New Roman" w:hAnsi="Times New Roman"/>
          <w:sz w:val="18"/>
          <w:szCs w:val="18"/>
          <w:i w:val="1"/>
          <w:iCs w:val="1"/>
          <w:color w:val="auto"/>
        </w:rPr>
        <w:t>BAE Systems Ordinance Systems, Inc.</w:t>
      </w:r>
      <w:r>
        <w:rPr>
          <w:rFonts w:ascii="Times New Roman" w:cs="Times New Roman" w:eastAsia="Times New Roman" w:hAnsi="Times New Roman"/>
          <w:sz w:val="18"/>
          <w:szCs w:val="18"/>
          <w:color w:val="auto"/>
        </w:rPr>
        <w:t xml:space="preserve"> (“BAE”), </w:t>
      </w:r>
      <w:r>
        <w:rPr>
          <w:rFonts w:ascii="Times New Roman" w:cs="Times New Roman" w:eastAsia="Times New Roman" w:hAnsi="Times New Roman"/>
          <w:sz w:val="18"/>
          <w:szCs w:val="18"/>
          <w:i w:val="1"/>
          <w:iCs w:val="1"/>
          <w:color w:val="auto"/>
        </w:rPr>
        <w:t>et al. vs. El Dorado Chemical Company</w:t>
      </w:r>
      <w:r>
        <w:rPr>
          <w:rFonts w:ascii="Times New Roman" w:cs="Times New Roman" w:eastAsia="Times New Roman" w:hAnsi="Times New Roman"/>
          <w:sz w:val="18"/>
          <w:szCs w:val="18"/>
          <w:color w:val="auto"/>
        </w:rPr>
        <w:t>, in the United States District Court, Western District of Arkansas, for an alleged breach of a supply agreement to provide BAE certain products. In March 2018, the Court granted our motion for summary judgment and dismissed BAE’s claims against the Company.</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2015, a case styled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October 11, 2018, LSB entered into a preliminary, binding term sheet to settle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 which was subject to approval by the court. On January 17, 2019, the parties entered into a Stipulation and Agreement of Settlement (The “Wilson Settlement Agreement”), pursuant to which the settlement amount of approximately $18.5 million is to be paid by our insurers on behalf of LSB and certain current and former officers in exchange for, among other things, a release of all claims. The Wilson Settlement Agreement received preliminary approval from the Court on February 25, 2019 and will be further reviewed by the Court at a settlement hearing schedule for June 28, 2019. A liability for the settlement amount has been accrued and a receivable for the loss recovery from our insurers for the settlement amount has been recognized as of December 31, 2018.</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LSB and EDA intend to pursue recovery of any damage or loss caused by Global’s work performed at our El Dorado Facility. In March 2016, EDC and we were served a summons in a case styled </w:t>
      </w:r>
      <w:r>
        <w:rPr>
          <w:rFonts w:ascii="Times New Roman" w:cs="Times New Roman" w:eastAsia="Times New Roman" w:hAnsi="Times New Roman"/>
          <w:sz w:val="18"/>
          <w:szCs w:val="18"/>
          <w:i w:val="1"/>
          <w:iCs w:val="1"/>
          <w:color w:val="auto"/>
        </w:rPr>
        <w:t>Global Industrial, Inc. d/b/a Global Turnaround vs. Leidos Constructors, LLC et al.,</w:t>
      </w:r>
      <w:r>
        <w:rPr>
          <w:rFonts w:ascii="Times New Roman" w:cs="Times New Roman" w:eastAsia="Times New Roman" w:hAnsi="Times New Roman"/>
          <w:sz w:val="18"/>
          <w:szCs w:val="18"/>
          <w:color w:val="auto"/>
        </w:rPr>
        <w:t xml:space="preserve"> where in Global seeks damages under breach of contract and other claims. We have requested indemnifications from Leidos under the terms of our contracts which they have denied, and we intend to vigorously defend against the allegation made by Global and seek reimbursement of legal expenses from Leidos under our contracts. Except for the invoices totaling approximately $3.5 million that were not approved by Leidos for payment that are included in our accounts payable, no liability has been established in connection with the claims asserted by Global. On September 25, 2018, the Court bifurcated the case into: (1) Global’s claims against Leidos and LSB, and (2) the cross-claims between Leidos and LSB. Part (1) of the case was tried to the Court during the fall of 2018. The Court took the matter under advisement, will consider the evidence and render judgment. LSB intends to vigorously prosecute its claims against Leidos in Part (2) of the matter. A trial date for Part (2) of this matter is not yet set.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Hedges and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periods presented, the following significant instrument is accounted for on a fair value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Derivative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As the result of the financing transaction relating to the Senior Secured Notes and the letter agreement relating to the Series E Redeemable Preferred as discussed in Notes 7 and 11, we estimate that the contingent redemption features have fair value at December 31, 2018 since we estimate that it is probable that a portion of the shares of this preferred stock would be redeemed prior to October 25, 2023. For certain other embedded features, we estimated no fair value at December 31, 2018 based on our assessment that there is a remote probability that these features will be exercised.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2018, 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At December 31, 2017, we estimated that contingent redemption features had no fair value based on a remote probability of redeeming any shares of this preferred stock prior to previous put date. In addition, at December 31, 2018 and 2017, the fair value of the embedded derivative included the valuation of the participation rights, which was based on the equivalent of 303,646 shares of our common stock at $5.52 and $8.76 per share,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classifications of valuations of fair value:</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 </w:t>
      </w:r>
      <w:r>
        <w:rPr>
          <w:rFonts w:ascii="Times New Roman" w:cs="Times New Roman" w:eastAsia="Times New Roman" w:hAnsi="Times New Roman"/>
          <w:sz w:val="18"/>
          <w:szCs w:val="18"/>
          <w:color w:val="auto"/>
        </w:rPr>
        <w:t>The valuations of contracts classified as Level 1 are based on quoted prices in active markets for identical contracts. At December 31, 2018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we did not have any contracts classified as Level 1.</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 </w:t>
      </w:r>
      <w:r>
        <w:rPr>
          <w:rFonts w:ascii="Times New Roman" w:cs="Times New Roman" w:eastAsia="Times New Roman" w:hAnsi="Times New Roman"/>
          <w:sz w:val="18"/>
          <w:szCs w:val="18"/>
          <w:color w:val="auto"/>
        </w:rPr>
        <w:t>The valuations of contracts classified as Level 2 are based on quoted prices for similar contracts and valuation inputs other than quoted prices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observable for these contracts. At December 31, 2018 and 2017, we did not have any significant contracts classified as Level 2.</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 </w:t>
      </w:r>
      <w:r>
        <w:rPr>
          <w:rFonts w:ascii="Times New Roman" w:cs="Times New Roman" w:eastAsia="Times New Roman" w:hAnsi="Times New Roman"/>
          <w:sz w:val="18"/>
          <w:szCs w:val="18"/>
          <w:color w:val="auto"/>
        </w:rPr>
        <w:t>The valuations of assets and liabilities classified as Level 3 are based on prices or valuation techniques that require inputs that are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unobservable and significant to the overall fair value measurement.</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2018 and 2017, 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line items identified as “Other” relate to carbon credits issued by the Climate Action Reserve in relation to a greenhouse gas reduction program performed at the Baytown Facility. At December 31, 2018, the valuation ($2.35 per carbon credit) of the carbon credits and the contractual obligations associated with these carbon credits is classified as Level 3 and is based on the most recent sales transaction and reevaluated for market changes, if any, and on the range of ask/bid prices obtained from a broker adjusted for minimal market volume activity. At December 31, 2017, we did not have any carbon credits or related contractual obligations associated with carbon credits. The valuation is using undiscounted cash flows based on management’s assumption that the carbon credits would be sold, and the associated contractual obligations would be extinguished in the near term.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Hedges and Financial Instruments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assets and liabilities that are measured at fair value on a recurring basis at December 31, 2018 and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6"/>
          </w:tcPr>
          <w:p>
            <w:pPr>
              <w:jc w:val="center"/>
              <w:ind w:left="761"/>
              <w:spacing w:after="0"/>
              <w:rPr>
                <w:sz w:val="20"/>
                <w:szCs w:val="20"/>
                <w:color w:val="auto"/>
              </w:rPr>
            </w:pPr>
            <w:r>
              <w:rPr>
                <w:rFonts w:ascii="Times New Roman" w:cs="Times New Roman" w:eastAsia="Times New Roman" w:hAnsi="Times New Roman"/>
                <w:sz w:val="14"/>
                <w:szCs w:val="14"/>
                <w:color w:val="auto"/>
              </w:rPr>
              <w:t>Fair Value Measurements at</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December 31, 2018 Using</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1"/>
              <w:spacing w:after="0" w:line="133" w:lineRule="exact"/>
              <w:rPr>
                <w:sz w:val="20"/>
                <w:szCs w:val="20"/>
                <w:color w:val="auto"/>
              </w:rPr>
            </w:pPr>
            <w:r>
              <w:rPr>
                <w:rFonts w:ascii="Times New Roman" w:cs="Times New Roman" w:eastAsia="Times New Roman" w:hAnsi="Times New Roman"/>
                <w:sz w:val="14"/>
                <w:szCs w:val="14"/>
                <w:color w:val="auto"/>
              </w:rPr>
              <w:t>Quoted Prices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Significant</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Total Fair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color w:val="auto"/>
              </w:rPr>
              <w:t>in Active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Significant</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color w:val="auto"/>
              </w:rPr>
              <w:t>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7"/>
              </w:rPr>
              <w:t>Value 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color w:val="auto"/>
              </w:rPr>
              <w:t>Identical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vMerge w:val="restart"/>
          </w:tcPr>
          <w:p>
            <w:pPr>
              <w:ind w:left="2220"/>
              <w:spacing w:after="0"/>
              <w:rPr>
                <w:sz w:val="20"/>
                <w:szCs w:val="20"/>
                <w:color w:val="auto"/>
              </w:rPr>
            </w:pPr>
            <w:r>
              <w:rPr>
                <w:rFonts w:ascii="Times New Roman" w:cs="Times New Roman" w:eastAsia="Times New Roman" w:hAnsi="Times New Roman"/>
                <w:sz w:val="14"/>
                <w:szCs w:val="14"/>
                <w:color w:val="auto"/>
              </w:rPr>
              <w:t>Description</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(Level 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Supplies, prepaid items and other:</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 Current and noncurrent accrued and</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Embedded derivative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(533)</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assets and liabilities measured at fair value on a recurring basis using significant unobservable inputs (Level 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7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(2,660)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(2,557)</w:t>
            </w: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Level 3</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realized and unrealized gains (losses)</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(606)</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included in operating results</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(229)</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(1,681)</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(2,410)</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 for the period included in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results attributed to the change in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or losses on assets and</w:t>
            </w:r>
          </w:p>
        </w:tc>
        <w:tc>
          <w:tcPr>
            <w:tcW w:w="9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(1,780)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still held at the reporting date</w:t>
            </w:r>
          </w:p>
        </w:tc>
        <w:tc>
          <w:tcPr>
            <w:tcW w:w="96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F-29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 Hedges and Financial Instruments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(losses) included in operating results and the statement of operations classifications are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gains (losses) included in operating</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results:</w:t>
            </w: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 - Undesignated commodities contracts</w:t>
            </w:r>
          </w:p>
        </w:tc>
        <w:tc>
          <w:tcPr>
            <w:tcW w:w="8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sales - Undesignated foreign exchange contracts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 - Other</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Non-operating other income (expense) - embedded</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derivative</w:t>
            </w: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gains (losses) included in operating results</w:t>
            </w: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2018 and 2017, we did not have any financial instruments with fair values significantly different from their carrying amounts (excluding issuance costs, if applicable). The fair value of financial instruments is not indicative of the overall fair value of our assets and liabilities since financial instruments do not include all assets, including intangibles, and all liabilities.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Also, see discussions concerning the utilization of fair value in conjunction with the evaluation certain assets and liabilities initially accounted for on a fair value basis under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Asset Retirement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Securities Financing Including Redeemable Preferred Stocks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Including Redeemable Preferred Stocks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2015 and pursuant to a securities purchase agreement between LSB and LSB Funding LLC (the “Purchaser”) and Security Benefit Corporation, a Kansas corporation, both of which were unrelated third parties, LSB sold to the Purchaser:</w:t>
      </w:r>
    </w:p>
    <w:p>
      <w:pPr>
        <w:spacing w:after="0" w:line="54" w:lineRule="exact"/>
        <w:rPr>
          <w:sz w:val="20"/>
          <w:szCs w:val="20"/>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$210,000,000 of the Series E Redeemable Preferred,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4,103,746 shares of common stock, par value $0.10 (the “Warrants”), and</w:t>
      </w:r>
    </w:p>
    <w:p>
      <w:pPr>
        <w:spacing w:after="0" w:line="117" w:lineRule="exact"/>
        <w:rPr>
          <w:rFonts w:ascii="Times New Roman" w:cs="Times New Roman" w:eastAsia="Times New Roman" w:hAnsi="Times New Roman"/>
          <w:sz w:val="18"/>
          <w:szCs w:val="18"/>
          <w:color w:val="auto"/>
        </w:rPr>
      </w:pPr>
    </w:p>
    <w:p>
      <w:pPr>
        <w:ind w:right="3340" w:firstLine="521"/>
        <w:spacing w:after="0" w:line="375" w:lineRule="auto"/>
        <w:tabs>
          <w:tab w:leader="none" w:pos="10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share of Series F Redeemable Class C preferred stock (the “Series F Redeemable Preferred”). In connection with the closing of the Private Placement (the “Closing”), we entered into</w:t>
      </w:r>
    </w:p>
    <w:p>
      <w:pPr>
        <w:spacing w:after="0" w:line="1"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Designations setting forth the rights, preferences, privileges and restrictions applicable to the Series E Redeemable Preferred and Series F Redeemable Preferred, as filed with the Secretary of State of the State of Delaware;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by and between LSB and LSB Funding, which agreement expired in December 2018;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renewed rights agreement, which amended agreement expired in January 2019 and we do not intend to renew the agreement.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E and Series F Redeemable Preferred and Warrants were recorded at fair value upon issuance, net of issuance costs or discounts. The valuations were classified as Level 3. The Warrants were valued based on a Black-Scholes-Merton option pricing model and a Finnerty model to determine the estimated discount for lack of marketability. The Series E Redeemable Preferred was valued with discounted cash flow models that calculated the present value of future cash flows using possible redemption scenarios and using published market yields for publicly traded unsecured fixed income securities with similar credit ratings. No valuation input adjustments were considered necessary relating to the nonperformance risk for the Warrants or Series E Redeemable Preferred. Based on the terms of the Series F Redeemable Preferred, we determined that this share had minimal economic value.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E Redeemable Preferred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2016, we redeemed 70,232 shares of the Series E Redeemable Preferred (the “Series E Redemption”) for approximately $80 million, which included $78.3 million for the liquidation preference of $1,000 per share, plus accumulated dividends (the “Liquidation Preference”) and $1.7 million for the participation rights value associated with the Series E Redemption. The Series E Redemption was funded from a portion of the proceeds from the sale of our Climate Control Business. After the redemption, 139,768 shares of the Series E Redeemable Preferred were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Securities Financing Including Redeemable Preferred Stocks (continued)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2018, in connection with the issuance and sale of the Senior Secured Notes (the “Financing Transaction”) as discussed in Note 7, we entered into a letter agreement with the holder of our Series E Redeemable Preferred. The letter agreement extended the date upon which the holder of the Series E Redeemable Preferred has the right to elect to redeem the Series E Redeemable Preferred shares from August 2, 2019 to October 25, 2023. The letter agreement also provided for the amendment of certain other terms relating to the Series E Redeemable Preferred, including an increase in the per annum dividend rate payable in respect of the Series E Redeemable Preferred (a) by 0.50% on the third anniversary of the Financing Transaction, (b) by an additional 0.50% on the fourth anniversary of the Financing Transaction and (c) by an additional 1.0% on the fifth anniversary of the Financing Transaction. To reflect the changes stated in the letter agreement, we subsequently entered into a securities exchange agreement by and between LSB and the holder and entered into the Certificate of Designations setting forth the rights, preferences, privileges and restrictions currently applicable to the Series E Redeemable Preferred and Series F Redeemable Preferred, as filed with the Secretary of State of the State of Delaware (the “Series E COD” and “Series F COD”). The Series E COD authorizes 139,768 shares of Series E Redeemable Preferred, which is the number of shares outstanding at December 31, 2018.</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associated with the letter agreement was determined to be a non-substantial modification. As a result, and as included in the table below, a fee paid to the holder was deferred (reducing the Series E Redeemable Preferred balance) and will be periodically accreted using the interest method through October 25, 2023, the earliest possible redemption date by the holder. In addition, the letter agreement included a contingent redemption feature, which was bifurcated from the Series E Redeemable Preferred based on the estimated fair value. This redemption feature is included in the embedded derivative as discussed in Note 10.</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the distribution of assets upon liquidation, dissolution or winding up of LSB, whether voluntary or involuntary, the Series E Redeemable Preferred ranks (i) senior to the common stock, the Series B 12% Cumulative Convertible Preferred Stock, the Series D 6% Cumulative Convertible Class C Preferred Stock, the Series 4 Junior Participating Class C Preferred Stock and any other class or series of stock of LSB (other than Series E Redeemable Preferred) that ranks junior to the Series E Redeemable Preferred either or both as to the payment of dividends and/or as to the distribution of assets on any liquidation, dissolution or winding up of the Corporation (the “Junior Stock”); (ii) on a parity with the other shares of Series E Redeemable Preferred and any other class or series of stock of LSB (other than Series E Redeemable Preferred) created after the date of the Series E COD (that specifically ranks pari passu to the Series E Redeemable Preferred) and (iii) junior to any other class or series of stock of LSB created after the date of the Series E COD that specifically ranks senior to the Series E Redeemable Preferred.</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E Redeemable Preferred has a 14% annual dividend rate and a participating right in dividends and liquidating distributions equal to 303,646 shares of common stock as of December 31, 2018. Generally, the holders of the Series E Redeemable Preferred Shares (the “Series E Holders”) will not have any voting rights or powers, and consent of the Series E Holders will not be required for taking of any action by us. However, the Series E Holders’ consent is required for</w:t>
      </w:r>
    </w:p>
    <w:p>
      <w:pPr>
        <w:spacing w:after="0" w:line="72" w:lineRule="exact"/>
        <w:rPr>
          <w:sz w:val="20"/>
          <w:szCs w:val="20"/>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increase or decrease the authorized amount of Series E Redeemable Preferred,</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increase of any shares of any class or series of capital stock of LSB ranking pari passu with or senior to the Series E Redeemable Preferred, or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adversely affect the powers, preferences or special rights of the Series E Redeemable Preferred.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accrue semi-annually in arrears and are compounded. Dividends are payable only when and if declared by the Board of Directors (the “Board”).</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must declare a dividend on the Series E Redeemable Preferred on a pro rata basis with the common stock. As long as LSB Funding holds at least 10% of the Series E Redeemable Preferred, we may only declare dividends on Junior Stock unless and until dividends have been declared and paid on the Series E Redeemable Preferred for the then current dividend period in cash. The Series E Redeemable Preferred has a liquidation preference per share of $1,000 plus accrued and unpaid dividends plus the participation rights value. The participation rights value is the product of the pro rata number of Series E Redeemable Preferred shares being redeemed and the price of our common stock as of such date.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Securities Financing Including Redeemable Preferred Stocks (continued)</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At any time on or after October 25, 2023, each Series E Holder has the right to elect to have such holder’s shares redeemed by us at a redemption price per share equal to the Liquidation Preference of such share as of the redemption date. Additionally, we, at our option,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Series E Redeemable Preferred is redeemable outside of our control and is therefore classified as temporary/mezzanine equity. As a result of an analysis performed on the embedded derivatives within the Series E Redeemable Preferred, certain contingent redemption features were determined to not be clearly and closely related to the debt-like host and also did not meet any other scope exceptions for derivative accounting. Therefore, these redemption features and participation rights value are being accounted for as derivative instruments and the fair value of these derivative instruments were bifurcated from the Series E Redeemable Preferred and recorded as a liability. See discussion in Note 10.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F Redeemable Preferred</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Series F COD authorizes one (1) shares of Series F Redeemable Preferred. The Series F Redeemable Preferred had voting rights (the “Series F Voting Rights”) to vote as a single class on all matters which the common stock have the right to vote and was entitled to a number of votes equal to 4,559,971 shares of our common stock, but, the number of votes that may be cast by the Series F Redeemable Preferred was reduced automatically to 456,225 shares of common stock upon the exercise of the warrants during 2016 as discussed below.</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 respect to the distribution of assets upon liquidation, dissolution or winding up of LSB, whether voluntary or involuntary, the Series F Redeemable Preferred ranks (i) senior to our common stock and (ii) ranks junior to LSB’s Series B 12% Cumulative Convertible Preferred Stock, Series D 6% Cumulative Convertible Class C Preferred Stock, Series 4 Junior Participating Class C Preferred Stock, Series E Redeemable Preferred and any other class or series of stock of LSB after the date of the Series F COD that specifically ranks senior to the Series F Redeemable Preferred.</w:t>
      </w:r>
    </w:p>
    <w:p>
      <w:pPr>
        <w:spacing w:after="0" w:line="7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Series F Redeemable Preferred will be automatically redeemed by LSB, in whole and not in part, for $0.01 immediately following the date upon which the Series F Voting Rights have been reduced to zero.</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liquidation, the Series F Redeemable Preferred is entitled to receive its liquidation preference of $100 before any such distribution of assets or proceeds is made to or set aside for the holders of our common stock and any other stock junior to the Series F Redeemable Preferred.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Series E and Series F Redeemable Preferred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Series E Redeemable Preferred</w:t>
            </w:r>
          </w:p>
        </w:tc>
        <w:tc>
          <w:tcPr>
            <w:tcW w:w="242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Series F Redeemable Preferred</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0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3"/>
          </w:tcPr>
          <w:p>
            <w:pPr>
              <w:jc w:val="right"/>
              <w:ind w:right="394"/>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174,959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associated with letter agreement</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Bifurcation of embedded derivative</w:t>
            </w:r>
          </w:p>
        </w:tc>
        <w:tc>
          <w:tcPr>
            <w:tcW w:w="1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11"/>
        </w:trPr>
        <w:tc>
          <w:tcPr>
            <w:tcW w:w="58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relating to liquidation preference on</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10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r>
      <w:tr>
        <w:trPr>
          <w:trHeight w:val="211"/>
        </w:trPr>
        <w:tc>
          <w:tcPr>
            <w:tcW w:w="58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for discount and issuance costs on</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dividends</w:t>
            </w: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34"/>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100" w:type="dxa"/>
            <w:vAlign w:val="bottom"/>
            <w:gridSpan w:val="2"/>
          </w:tcPr>
          <w:p>
            <w:pPr>
              <w:jc w:val="right"/>
              <w:ind w:right="996"/>
              <w:spacing w:after="0"/>
              <w:rPr>
                <w:sz w:val="20"/>
                <w:szCs w:val="20"/>
                <w:color w:val="auto"/>
              </w:rPr>
            </w:pPr>
            <w:r>
              <w:rPr>
                <w:rFonts w:ascii="Times New Roman" w:cs="Times New Roman" w:eastAsia="Times New Roman" w:hAnsi="Times New Roman"/>
                <w:sz w:val="18"/>
                <w:szCs w:val="18"/>
                <w:color w:val="auto"/>
              </w:rPr>
              <w:t>F-32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Securities Financing Including Redeemable Preferred Stocks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issuance of the Series E and Series F Redeemable Preferred in December 2015 to the Purchaser, we issued warrants to the Purchaser to purchase 4,103,746 shares of common stock. Each warrant afforded the holder the opportunity to purchase one share of common stock at a warrant exercise price of $0.10. During 2016, all of the Warrants were exercised by the holder in a cashless exercise resulting in the issuance of 4,103,746 shares of our common stock, of which 34,422 shares of common stock were surrendered (shares classified as treasury stock) by the holder in payment of the exercise price.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2016 Long Term Incentive Plan </w:t>
      </w:r>
      <w:r>
        <w:rPr>
          <w:rFonts w:ascii="Times New Roman" w:cs="Times New Roman" w:eastAsia="Times New Roman" w:hAnsi="Times New Roman"/>
          <w:sz w:val="18"/>
          <w:szCs w:val="18"/>
          <w:color w:val="auto"/>
        </w:rPr>
        <w:t>– During 2016, our Board adopted our 2016 Long Term Incentive Plan (the “2016 Plan”), which plan was approved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at our annual meeting of shareholders held on June 2, 2016. The effective date of the 2016 Plan is April 19, 2016 and no awards may be granted under the 2016 Plan on and after the tenth anniversary of its effective date.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no further awards will be granted under our 2008 Incentive Stock Plan (the “2008 Plan”) or our Outside Directors Stock Purchase Plan (the “Outside Director Plan”) on or after the effective date of the 2016 Plan. Any awards that remain outstanding under the 2008 Plan or the Outside Director Plan will continue to be governed by the respective plan’s terms and the terms of the specific award agreement, as applicable.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aggregate number of shares reserved and available for issuance under the 2016 Plan shall not exceed 2,750,000 shares plus any shares that become available for reissuance under the share counting provisions of the 2008 Plan following the effective date of the 2016 Plan, subject to adjustment as permitted under the 2016 Plan. Shares subject to any award that is canceled, forfeited, expires unexercised, settled in cash in lieu of common stock or otherwise terminated without a delivery of shares to a participant will again be available for awards under the 2016 Plan to the extent allowable by law. Under the 2016 Plan, awards may be made to employees, directors and consultants (for services rendered) of LSB or our subsidiaries subject to limitations as defined by the 2016 Plan.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2016 Plan will be administered by the compensation committee (the “Committee”) of our Board. Our Board or the Committee may amend the 2016 Plan, except that if any applicable statute, rule or regulation requires shareholder approval with respect to any amendment of the 2016 Plan, then to the extent so required, shareholder approval will be obtained. Shareholder approval will also be obtained for any amendment that would increase the number of shares stated as available for issuance under the 2016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may be granted by the Committee under the 2016 Plan:</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The Committee may grant either incentive stock options or non-qualified stock options. The Committee sets option exercise prices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except that the exercise price of a stock option may be no less than 100% of the fair market value, as defined in the 2016 Plan, of the shares on the date of grant. At the time of grant, the Committee will have sole discretion in determining when stock options are exercisable and when they expire, except that the term of a stock option cannot exceed 10 years subject to certain conditions.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 (continued)</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(“SARs”) </w:t>
      </w:r>
      <w:r>
        <w:rPr>
          <w:rFonts w:ascii="Times New Roman" w:cs="Times New Roman" w:eastAsia="Times New Roman" w:hAnsi="Times New Roman"/>
          <w:sz w:val="18"/>
          <w:szCs w:val="18"/>
          <w:color w:val="auto"/>
        </w:rPr>
        <w:t>– The Committee may grant SARs as a right in tandem with the number of shares underlying stock options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2016 Plan or on a stand-alone basis. SARs are the right to receive payment per share of the SAR exercised in stock or in cash equal to the excess of the share’s fair market value, as defined in the 2016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Awards, Restricted Stock, Restricted Stock Units, and Other Awards </w:t>
      </w:r>
      <w:r>
        <w:rPr>
          <w:rFonts w:ascii="Times New Roman" w:cs="Times New Roman" w:eastAsia="Times New Roman" w:hAnsi="Times New Roman"/>
          <w:sz w:val="18"/>
          <w:szCs w:val="18"/>
          <w:color w:val="auto"/>
        </w:rPr>
        <w:t>– The Committee may grant awards of restricted stock,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stock and cash-based awards, which may include the payment of stock in lieu of cash (including cash payable under other incentive or bonus programs) or the payment of cash (which may or may not be based on the price of our common stock).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Stock Incentive Plans </w:t>
      </w:r>
      <w:r>
        <w:rPr>
          <w:rFonts w:ascii="Times New Roman" w:cs="Times New Roman" w:eastAsia="Times New Roman" w:hAnsi="Times New Roman"/>
          <w:sz w:val="18"/>
          <w:szCs w:val="18"/>
          <w:color w:val="auto"/>
        </w:rPr>
        <w:t>- The following information relates to our long-term incentive plans:</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4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1280" w:type="dxa"/>
            <w:vAlign w:val="bottom"/>
            <w:tcBorders>
              <w:top w:val="single" w:sz="8" w:color="auto"/>
            </w:tcBorders>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2016 Plan</w:t>
            </w:r>
          </w:p>
        </w:tc>
        <w:tc>
          <w:tcPr>
            <w:tcW w:w="1100" w:type="dxa"/>
            <w:vAlign w:val="bottom"/>
            <w:tcBorders>
              <w:top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2008 Plan</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Maximum number of securities for issuance</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2,750,000</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Number of awards available to be granted (1)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1,825,150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unvested restricted stock/restricted</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597,533</w:t>
            </w:r>
          </w:p>
        </w:tc>
        <w:tc>
          <w:tcPr>
            <w:tcW w:w="20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210,266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units outstanding</w:t>
            </w:r>
          </w:p>
        </w:tc>
        <w:tc>
          <w:tcPr>
            <w:tcW w:w="10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Number of options outstanding</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exercisable</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100,620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40" w:hanging="519"/>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2008 Plan shares canceled, forfeited, expired unexercised, which became available for reissuance under the 2016 Plan after the effective date of the 2016 Plan.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Restricted Stock and Restricted Stock Units </w:t>
      </w:r>
      <w:r>
        <w:rPr>
          <w:rFonts w:ascii="Times New Roman" w:cs="Times New Roman" w:eastAsia="Times New Roman" w:hAnsi="Times New Roman"/>
          <w:sz w:val="18"/>
          <w:szCs w:val="18"/>
          <w:color w:val="auto"/>
        </w:rPr>
        <w:t>– During 2018, 2017, and 2016, the Committee approved various grants under the 2016 Plan of shares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to certain executives and employees. Most of these shares vest at the end of each one-year period at the rate of one-third per year for three years while a portion of these grants vest 100% at the end of three years. The unvested restricted shares carry dividend and voting rights. Sales of these shares are restricted prior to the date of vesting. Pursuant to the terms of the underlying restricted stock agreements, unvested restricted shares will immediately vest upon the occurrence of a change in control (as defined by agreement), termination without cause or death. The unvested shares carry dividend and voting rights. Sales of these shares are restricted prior to the date of vesting.</w:t>
      </w:r>
    </w:p>
    <w:p>
      <w:pPr>
        <w:spacing w:after="0" w:line="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During 2016, four employees surrendered a total of 280,000 shares of stock options previously granted under the 2008 Plan. These employees were also granted shares of restricted stock. These transactions were accounted for as modifications of stock awards. The total incremental fair value of these modified awards (additional compensation cost) was approximately $1.5 million and will be recognized on a straight-line basis over the requisite service period of three years.</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2018, 2017 and 2016, the Committee approved the grant of shares of restricted stock units (“RSU”) to our non-employee directors for payment of a portion of their director fees under the 2016 Plan. Each RSU represents a right to receive one share of our common stock following the grant date and are non-forfeitable. Vesting occurs upon the earliest to occur: (i) the director’s separation from service, (ii) the third anniversary of the grant date, or (iii) the occurrence of a change of control as defined by the agreement. Based on terms of the RSU agreements, the grant date fair value was recognized as stock-based compensation expense (SG&amp;A) on the grant date in 2018, 2017 and 2016.</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30, 2018, the Committee approved the grant of 210,602 shares of performance-based restricted stock (“PBRS”) to certain executives. However, key information to finalize the performance targets and range of vesting shares are based on projections which required approval from the Board. As the approval was obtained in early January, the grant date for financial reporting purposes is January 2019. Therefore, these PBRS shares are not reflected in the information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activity during 2018 is presented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Restricted Stocks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gridSpan w:val="11"/>
          </w:tcPr>
          <w:p>
            <w:pPr>
              <w:ind w:left="7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vMerge w:val="restart"/>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right"/>
              <w:ind w:right="90"/>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412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6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5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outstanding at beginning of year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1,189,473</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7.51</w:t>
            </w:r>
          </w:p>
        </w:tc>
        <w:tc>
          <w:tcPr>
            <w:tcW w:w="60" w:type="dxa"/>
            <w:vAlign w:val="bottom"/>
            <w:shd w:val="clear" w:color="auto" w:fill="CFF0FC"/>
          </w:tcPr>
          <w:p>
            <w:pPr>
              <w:spacing w:after="0"/>
              <w:rPr>
                <w:sz w:val="20"/>
                <w:szCs w:val="20"/>
                <w:color w:val="auto"/>
              </w:rPr>
            </w:pPr>
          </w:p>
        </w:tc>
        <w:tc>
          <w:tcPr>
            <w:tcW w:w="14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43,764</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369,350</w:t>
            </w:r>
          </w:p>
        </w:tc>
        <w:tc>
          <w:tcPr>
            <w:tcW w:w="1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5.47</w:t>
            </w:r>
          </w:p>
        </w:tc>
        <w:tc>
          <w:tcPr>
            <w:tcW w:w="60" w:type="dxa"/>
            <w:vAlign w:val="bottom"/>
          </w:tcPr>
          <w:p>
            <w:pPr>
              <w:spacing w:after="0"/>
              <w:rPr>
                <w:sz w:val="21"/>
                <w:szCs w:val="21"/>
                <w:color w:val="auto"/>
              </w:rPr>
            </w:pPr>
          </w:p>
        </w:tc>
        <w:tc>
          <w:tcPr>
            <w:tcW w:w="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35,511</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4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(806,927)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9.11</w:t>
            </w:r>
          </w:p>
        </w:tc>
        <w:tc>
          <w:tcPr>
            <w:tcW w:w="60" w:type="dxa"/>
            <w:vAlign w:val="bottom"/>
            <w:shd w:val="clear" w:color="auto" w:fill="CFF0FC"/>
          </w:tcPr>
          <w:p>
            <w:pPr>
              <w:spacing w:after="0"/>
              <w:rPr>
                <w:sz w:val="21"/>
                <w:szCs w:val="21"/>
                <w:color w:val="auto"/>
              </w:rPr>
            </w:pPr>
          </w:p>
        </w:tc>
        <w:tc>
          <w:tcPr>
            <w:tcW w:w="1560" w:type="dxa"/>
            <w:vAlign w:val="bottom"/>
            <w:gridSpan w:val="6"/>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(10,941)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51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outstanding at end of year</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739,465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CFF0FC"/>
              <w:bottom w:val="single" w:sz="8" w:color="CFF0FC"/>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7.79</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68,334</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4120" w:type="dxa"/>
            <w:vAlign w:val="bottom"/>
            <w:tcBorders>
              <w:bottom w:val="single" w:sz="8" w:color="CFF0FC"/>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restricted stock granted</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369,350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469,465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850,771</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fair value of restricted stock granted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2,019,000</w:t>
            </w: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4,277,000</w:t>
            </w:r>
          </w:p>
        </w:tc>
        <w:tc>
          <w:tcPr>
            <w:tcW w:w="8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restricted stock granted during year</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 - Cost of sales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385,000</w:t>
            </w: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312,000</w:t>
            </w:r>
          </w:p>
        </w:tc>
        <w:tc>
          <w:tcPr>
            <w:tcW w:w="8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 SG&amp;A (1)</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7,574,000</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3,987,000</w:t>
            </w:r>
          </w:p>
        </w:tc>
        <w:tc>
          <w:tcPr>
            <w:tcW w:w="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2,773,000</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(398,000)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(1,659,000)</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(1,157,000)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weighted-average remaining vesting period in years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fair value of restricted stock vested during the year</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7,355,000</w:t>
            </w:r>
          </w:p>
        </w:tc>
        <w:tc>
          <w:tcPr>
            <w:tcW w:w="1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3,124,000</w:t>
            </w:r>
          </w:p>
        </w:tc>
        <w:tc>
          <w:tcPr>
            <w:tcW w:w="8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15-Related Party Transactions.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4120" w:type="dxa"/>
            <w:vAlign w:val="bottom"/>
            <w:tcBorders>
              <w:bottom w:val="single" w:sz="8" w:color="CFF0FC"/>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restricted stock units granted</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fair value of restricted stock unit granted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187,000</w:t>
            </w: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restricted stock unit granted during</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6"/>
              </w:rPr>
              <w:t>year</w:t>
            </w:r>
          </w:p>
        </w:tc>
        <w:tc>
          <w:tcPr>
            <w:tcW w:w="4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gridSpan w:val="2"/>
            <w:vMerge w:val="continue"/>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 - SG&amp;A</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187,000</w:t>
            </w: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(34,000)</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(115,000)</w:t>
            </w: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(144,000)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weighted-average remaining vesting period in years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restricted stock vested during the year</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No stock options have been granted under the 2016 Plan during 2018, 2017 or 2016. As it relates to stock options granted under the 2008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exercise price of the outstanding options granted were equal to the market value of our common stock at the date of grant and vest at the end of each one-year period at the rate of 16.5% per year for the first five years and the remaining unvested options will vest at the end of the sixth year. The fair value for of the stock options granted under the 2008 Plan were estimated, using an option pricing model, as of the date of the grant, which date was also the service inception date.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these granted stock options: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260" w:type="dxa"/>
            <w:vAlign w:val="bottom"/>
            <w:tcBorders>
              <w:bottom w:val="single" w:sz="8" w:color="CFF0FC"/>
            </w:tcBorders>
          </w:tcPr>
          <w:p>
            <w:pPr>
              <w:spacing w:after="0"/>
              <w:rPr>
                <w:sz w:val="15"/>
                <w:szCs w:val="15"/>
                <w:color w:val="auto"/>
              </w:rPr>
            </w:pPr>
          </w:p>
        </w:tc>
        <w:tc>
          <w:tcPr>
            <w:tcW w:w="1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c>
          <w:tcPr>
            <w:tcW w:w="1160" w:type="dxa"/>
            <w:vAlign w:val="bottom"/>
          </w:tcPr>
          <w:p>
            <w:pPr>
              <w:spacing w:after="0"/>
              <w:rPr>
                <w:sz w:val="15"/>
                <w:szCs w:val="15"/>
                <w:color w:val="auto"/>
              </w:rPr>
            </w:pPr>
          </w:p>
        </w:tc>
      </w:tr>
      <w:tr>
        <w:trPr>
          <w:trHeight w:val="223"/>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weighted-average remaining vesting period in years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 Cost of Sales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141,000</w:t>
            </w:r>
          </w:p>
        </w:tc>
        <w:tc>
          <w:tcPr>
            <w:tcW w:w="1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317,000</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 SG&amp;A</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71,000</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836,000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8"/>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(54,000)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(164,000)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(444,000)</w:t>
            </w:r>
          </w:p>
        </w:tc>
        <w:tc>
          <w:tcPr>
            <w:tcW w:w="1160" w:type="dxa"/>
            <w:vAlign w:val="bottom"/>
          </w:tcPr>
          <w:p>
            <w:pPr>
              <w:spacing w:after="0"/>
              <w:rPr>
                <w:sz w:val="20"/>
                <w:szCs w:val="20"/>
                <w:color w:val="auto"/>
              </w:rPr>
            </w:pPr>
          </w:p>
        </w:tc>
      </w:tr>
      <w:tr>
        <w:trPr>
          <w:trHeight w:val="545"/>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F-35</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 (continued)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2018, the total stock-based compensation expense not yet recognized is $3,228,000, relating to non-vested restricted stock and stock options, which we will be amortizing (subject to adjustments for actual forfeitures) through the respective remaining vesting periods through December 2021.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our stock options: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7"/>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7"/>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Borders>
              <w:top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206,210</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3"/>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(2,525)</w:t>
            </w:r>
          </w:p>
        </w:tc>
        <w:tc>
          <w:tcPr>
            <w:tcW w:w="620" w:type="dxa"/>
            <w:vAlign w:val="bottom"/>
            <w:gridSpan w:val="3"/>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7.86</w:t>
            </w:r>
          </w:p>
        </w:tc>
        <w:tc>
          <w:tcPr>
            <w:tcW w:w="80" w:type="dxa"/>
            <w:vAlign w:val="bottom"/>
            <w:tcBorders>
              <w:right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(79,685)</w:t>
            </w:r>
          </w:p>
        </w:tc>
        <w:tc>
          <w:tcPr>
            <w:tcW w:w="620" w:type="dxa"/>
            <w:vAlign w:val="bottom"/>
            <w:gridSpan w:val="3"/>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25.59</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gridSpan w:val="3"/>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33.86</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33.97</w:t>
            </w: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gridSpan w:val="6"/>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100,620</w:t>
            </w:r>
          </w:p>
        </w:tc>
        <w:tc>
          <w:tcPr>
            <w:tcW w:w="8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Total intrinsic value of options exercised during the year</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options vested during the year</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451,000</w:t>
            </w:r>
          </w:p>
        </w:tc>
        <w:tc>
          <w:tcPr>
            <w:tcW w:w="400" w:type="dxa"/>
            <w:vAlign w:val="bottom"/>
            <w:tcBorders>
              <w:right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Stock Options Outstanding At December 31, 2018</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6"/>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Intrinsic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vMerge w:val="restart"/>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vMerge w:val="restart"/>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88"/>
              </w:rPr>
              <w:t>Shares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5"/>
                <w:szCs w:val="15"/>
                <w:color w:val="auto"/>
              </w:rPr>
            </w:pPr>
          </w:p>
        </w:tc>
        <w:tc>
          <w:tcPr>
            <w:tcW w:w="13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3"/>
            <w:shd w:val="clear" w:color="auto" w:fill="CFF0FC"/>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9"/>
              </w:rPr>
              <w:t>$ 33.36</w:t>
            </w: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70,000</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3.34</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18.83</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9"/>
              </w:rPr>
              <w:t>$ 34.50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54,000</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33.36</w:t>
            </w:r>
          </w:p>
        </w:tc>
        <w:tc>
          <w:tcPr>
            <w:tcW w:w="620" w:type="dxa"/>
            <w:vAlign w:val="bottom"/>
            <w:tcBorders>
              <w:top w:val="single" w:sz="8" w:color="CFF0FC"/>
              <w:bottom w:val="single" w:sz="8" w:color="CFF0FC"/>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124,000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4.61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gridSpan w:val="12"/>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Stock Options Exercisable At December 31, 2018</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6"/>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Intrinsic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vMerge w:val="restart"/>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vMerge w:val="restart"/>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left="5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88"/>
              </w:rPr>
              <w:t>Shares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5"/>
                <w:szCs w:val="15"/>
                <w:color w:val="auto"/>
              </w:rPr>
            </w:pPr>
          </w:p>
        </w:tc>
        <w:tc>
          <w:tcPr>
            <w:tcW w:w="13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3"/>
            <w:shd w:val="clear" w:color="auto" w:fill="CFF0FC"/>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9"/>
              </w:rPr>
              <w:t>$ 33.36</w:t>
            </w: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46,620</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2.74</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9"/>
              </w:rPr>
              <w:t>$ 34.50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54,000</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33.36</w:t>
            </w:r>
          </w:p>
        </w:tc>
        <w:tc>
          <w:tcPr>
            <w:tcW w:w="620" w:type="dxa"/>
            <w:vAlign w:val="bottom"/>
            <w:tcBorders>
              <w:top w:val="single" w:sz="8" w:color="CFF0FC"/>
              <w:bottom w:val="single" w:sz="8" w:color="CFF0FC"/>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100,620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4.31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33.98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 </w:t>
      </w:r>
      <w:r>
        <w:rPr>
          <w:rFonts w:ascii="Times New Roman" w:cs="Times New Roman" w:eastAsia="Times New Roman" w:hAnsi="Times New Roman"/>
          <w:sz w:val="18"/>
          <w:szCs w:val="18"/>
          <w:color w:val="auto"/>
        </w:rPr>
        <w:t>As of December 31, 2018, we have reserved 1.4 million shares of common stock issuable upon potential conversion of preferred stocks and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pursuant to their respective terms.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Non-Redeemable Preferred Stock</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Series Non-Redeemable B Preferred </w:t>
      </w:r>
      <w:r>
        <w:rPr>
          <w:rFonts w:ascii="Times New Roman" w:cs="Times New Roman" w:eastAsia="Times New Roman" w:hAnsi="Times New Roman"/>
          <w:sz w:val="18"/>
          <w:szCs w:val="18"/>
          <w:color w:val="auto"/>
        </w:rPr>
        <w:t>– The 20,000 shares of Series B 12% cumulative, convertible preferred stock (“Series B Preferred”), $100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convertible, in whole or in part, into 666,666 shares of our common stock (33.3333 shares of common stock for each share of preferred stock) at any time at the option of the holder and entitle the holder to one vote per share. The Series B Preferred provides for annual cumulative dividends of 12% ($12.00 per share) from date of issue, payable when and as declared. All of the outstanding shares of the Series B Preferred are owned by the Golsen Holders.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Non-Redeemable Preferred Stock (continued)</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Series Non-Redeemable D Preferred </w:t>
      </w:r>
      <w:r>
        <w:rPr>
          <w:rFonts w:ascii="Times New Roman" w:cs="Times New Roman" w:eastAsia="Times New Roman" w:hAnsi="Times New Roman"/>
          <w:sz w:val="18"/>
          <w:szCs w:val="18"/>
          <w:color w:val="auto"/>
        </w:rPr>
        <w:t>– The 1,000,000 shares of Series D 6% cumulative, convertible Class C preferred stock (“Series D Preferred”) have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 value and are convertible, in whole or in part, into 250,000 shares of our common stock (1 share of common stock for 4 shares of preferred stock) at any time at the option of the holder. Dividends on the Series D Preferred are cumulative and payable annually in arrears at the rate of 6% per annum ($0.06 per share) of the liquidation preference of $1.00 per share. Each holder of the Series D Preferred shall be entitled to .875 votes per share. All of the outstanding shares of Series D Preferred are owned by the Golsen 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discussions concerning dividends on the Series B and D Preferred in Note 15 – Related Party Transactions.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 At December 31, 2018, we are authorized to issue an additional 230,000 shares of $100 par value preferred stock and an additional 3,860,000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no-par value preferred stock. Upon issuance, our Board will determine the specific terms and conditions of such preferred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Executive Benefit Agreement, Employee Savings Plans and Collective Bargaining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party to death benefit agreement (“2005 Agreement”) with Jack E. Golsen, who retired as discussed in Note 15-Related Party Transactions.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2005 Agreement provides that, upon Mr. Golsen’s death, we will pay to the designated beneficiary, a lump-sum payment of $2,500,000 to be funded from the net proceeds received by us under certain life insurance policies on his life that are owned by us. We are obligated to keep in existence life insurance policies with a total face amount of no less than $2,500,000 of the stated death benefit.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information about these agreements: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death benefit</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2,424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2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Total accrued death benefit</w:t>
            </w:r>
          </w:p>
        </w:tc>
        <w:tc>
          <w:tcPr>
            <w:tcW w:w="5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2,585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2,533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5"/>
                <w:szCs w:val="15"/>
                <w:color w:val="auto"/>
              </w:rPr>
            </w:pPr>
          </w:p>
        </w:tc>
        <w:tc>
          <w:tcPr>
            <w:tcW w:w="880" w:type="dxa"/>
            <w:vAlign w:val="bottom"/>
            <w:gridSpan w:val="3"/>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(recovery of costs) associated with executive benefit</w:t>
            </w:r>
          </w:p>
        </w:tc>
        <w:tc>
          <w:tcPr>
            <w:tcW w:w="1220" w:type="dxa"/>
            <w:vAlign w:val="bottom"/>
            <w:gridSpan w:val="2"/>
            <w:vMerge w:val="restart"/>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8"/>
                <w:szCs w:val="18"/>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included in SG&amp;A, net (1)</w:t>
            </w:r>
          </w:p>
        </w:tc>
        <w:tc>
          <w:tcPr>
            <w:tcW w:w="12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7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hanging="374"/>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2016, the employment of certain executives were terminated, resulting in the forfeiture of the respective benefits. As a result of this event, the accrual for this estimated benefit was derecognized resulting in a net recovery of costs associated with certain executive benefits.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accrued executive benefit under the 2005 Agreement is included in noncurrent accrued and other liabilities. We accrue for such liabilities when they become probable and discount the liabilities to their present value.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assist us in funding the 2005 Agreement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Executive Benefit Agreement, Employee Savings Plans and Collective Bargaining Agreements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about these life insurance policies.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face value of life insurance policies</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surrender values of life insurance policies</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Loans on cash surrender values</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(1,559)</w:t>
            </w:r>
          </w:p>
        </w:tc>
        <w:tc>
          <w:tcPr>
            <w:tcW w:w="4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surrender values</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24"/>
                <w:szCs w:val="24"/>
                <w:color w:val="auto"/>
              </w:rPr>
            </w:pPr>
          </w:p>
        </w:tc>
        <w:tc>
          <w:tcPr>
            <w:tcW w:w="128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life insurance premiums</w:t>
            </w:r>
          </w:p>
        </w:tc>
        <w:tc>
          <w:tcPr>
            <w:tcW w:w="1140" w:type="dxa"/>
            <w:vAlign w:val="bottom"/>
            <w:gridSpan w:val="2"/>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66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gridSpan w:val="2"/>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(increases) in cash surrender values</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cost of life insurance premiums included in SG&amp;A</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8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 Savings Plans - We sponsor a savings plan under Section 401(k) of the Internal Revenue Code under which participation is available to substantially all full-time employees. We do not presently contribute to this plan except for certain employees, which amounts were not material for each of the three years ended December 31, 2018. Beginning in January 2019, we will begin matching 50% of an employee’s contribution, up to 6%, for substantially all full-time employees.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Collective Bargaining Agreements - As of December 31, 2018, we employed 576 persons, 193 of whom are represented by unions under agreements, which will expire in July of 2019 through July of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2018, we sold $50.0 million and $0.5 million principal amount of notes to an affiliate of Security Benefit Corporation (“SBC”) and Daniel D. Greenwell, respectively, associated with the issuance and sale of the Senior Secured Notes discussed in footnote (B) of Note 7. As discussed in Note 11, we paid a fee of $2.7 million to an affiliate of SBC relating to the letter agreement amending the terms of the Series E Redeemable Preferred. As discussed in Note 11, all outstanding shares of the Series E and Series F Redeemable Preferred are held by this affiliate. Pursuant to the terms of the Board Representation and Standstill Agreement, our Board includes two directors that are employees of SBC and affiliates. During 2018, 2017 and 2016, we incurred director fees associated with these directors totaling approximately $0.3 million for each respective year.</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December 30, 2018, Daniel D. Greenwell elected not to enter into a new employment agreement and resigned from the Board and his roles as Chairman and our Chief Executive Officer. Subject to the execution of a release agreement, which was executed in January 2019, Mr. Greenwell was entitled to certain severance benefits pursuant to the terms of his employment agreement. At December 31, 2018, our accrued and other liabilities include approximately $2.8 million relating primarily to severance benefits owed to Mr. Greenwell. In addition, approximately $2.7 million of share-based compensation was incurred due to the accelerated vesting of 312,369 shares of restricted stock.</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dividends were declared during 2018, 2017 and 2016. At December 31, 2018, accumulated dividends on the Series B and Series D Preferred totaled approximately $978,000. The Series B Preferred and Series D Preferred are non-redeemable preferred stocks issued in 1986 and 2001, respectively, of which all outstanding shares are owned by the Golsen 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2018, 2017 and 2016, we incurred director fees associated with Barry H. Golsen totaling approximately $0.1 million for each respective year.</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E2E2E"/>
        </w:rPr>
        <w:t>As the result of Jack E. Golsen (“J. Golsen”) informing the Board of his election to retire as Executive Chairman effective December 31, 2017, we determined not to extend the employment agreement with J. Golsen beyond its current term expiring on December 31, 2017 (the “Retirement Date”) and, in accordance with the terms his employment agreement, delivered a notice of non-renewal to J. Golsen. J. Golsen will remain a member of the Board and, following the Retirement Date, will have the title of Chairman Emeritus.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 (continued)</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During </w:t>
      </w:r>
      <w:r>
        <w:rPr>
          <w:rFonts w:ascii="Times New Roman" w:cs="Times New Roman" w:eastAsia="Times New Roman" w:hAnsi="Times New Roman"/>
          <w:sz w:val="18"/>
          <w:szCs w:val="18"/>
          <w:color w:val="2E2E2E"/>
        </w:rPr>
        <w:t>2017, we entered into a transition agreement (the “Transition Agreement”) with J. Golsen that commenced on January 1, 2018 and end upon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earlier of his death or a change in control as defined in the Transition Agreement. During the term, J. Golsen will receive an annual cash retainer of $480,000 and an additional monthly amount of $4,400 to cover certain expenses. In accordance with the terms of the Transition Agreement, we will also reimburse J. Golsen for his cost of certain medical insurance coverage until his death. Effective as of the Retirement Date, our existing severance agreement with J. Golsen will terminate. In consideration for his services, including as Chairman Emeritus, we will pay J. Golsen a one-time payment equal to $2,320,000 upon the consummation of a change in control that occurs prior to his death.</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2017, a death benefit agreement with J. Golsen was terminated pursuant to the terms of the agreement that allowed us to terminate at any time and for any reason prior to the death of the employee. As a result, the liability of approximately $1.4 million for the estimated death benefit associated with this agreement was extinguished and derecognized with the offset classified as operating other income in 2017.</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2017, we sold our engineered products business (industrial machinery and related components) to Industrial Acquisitions LLC and Industrial Products LLC (both entities are owned by immediate family members of J. Golsen) for $3.5 million which sale resulted in a loss of approximately $0.8 million, classified as operating other expense.</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2016, we entered into a consulting agreement with Steven J. Golsen (“S. Golsen”), son of J. Golsen and former employee and President and Chief Operating Officer of the Climate Control Business. Pursuant to the terms of the agreement, S. Golsen provided services relating to the sale of the Climate Control Business and subsequent services to improve the transition process from LSB to NIBE. The total consulting fee was approximately $0.4 million and the term of the agreement was for 2 years through May 2018.</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2016, we executed agreements, sold and assigned our rights in certain life insurance policies owned by us as beneficiary. The purchase price of these policies was the cash surrender value at the time of purchase. These policies insured our two Board members, J. Golsen and Barry H. Golsen and a former employee, S. Golsen. We received approximately $1.7 million from the sale of these life insurance policies.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2016, we incurred consulting fees of approximately $0.1 million from one of our Board members, Mr. Richard Sanders. These fees relate to services performed by Mr. Sanders as an Interim Executive Vice President, Chemical Manufacturing, which involved the oversight of our chemical plant operations during this time period. On August 1, 2016, these consulting services ceased when we appointed Mr. John Diesch in this executive position.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relating to cash flow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5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(refunds) for:</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long-term debt and other, net of capitalized</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35,719</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13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34,274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 net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4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tax credit receivable associated with property,</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plant and equipment</w:t>
            </w:r>
          </w:p>
        </w:tc>
        <w:tc>
          <w:tcPr>
            <w:tcW w:w="13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8,125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Supplies and accounts payable associated with</w:t>
            </w: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16,484</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130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17,105</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accrued on redeemable preferred stock</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26,840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23,443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3,375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6,487</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F-39</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Discontinued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2016, LSB completed the sale of all the stock of Climate Control Group Inc. (an indirect subsidiary that conducted LSB’s Climate Control Business) pursuant to the terms of the stock purchase agreement. Additionally, pursuant to the stock purchase agreement, we agreed to have a certain portion of the purchase price proceeds deposited in an indemnity escrow account. In conjunction with the Climate Control Business sale, we entered into a transition services agreement (“TSA”), pursuant to which, among other things, we agreed to provide certain information technology, payroll, legal, tax and other general services, which services have been completed. At December 31, 2017 our accounts receivable included approximately $2.7 million relating to the sale of our Climate Control Business representing an indemnity escrow balance which balance was received in 2018.</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results of discontinued operations are as follows for: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3"/>
          </w:tcPr>
          <w:p>
            <w:pPr>
              <w:jc w:val="center"/>
              <w:ind w:left="35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Income from operations of discontinued operations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91,691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200,301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Summarized condensed cash flow information of discontinued operations is as follows:</w:t>
            </w: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3"/>
          </w:tcPr>
          <w:p>
            <w:pPr>
              <w:jc w:val="center"/>
              <w:ind w:left="35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6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property, plant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equipment</w:t>
            </w:r>
          </w:p>
        </w:tc>
        <w:tc>
          <w:tcPr>
            <w:tcW w:w="5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5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software development costs</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Supplementary Information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Quarterly Financial Data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unaudited quarterly financial data for 2018 and 2017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6"/>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(In Thousands, Except Per Share Amounts)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100,450</w:t>
            </w:r>
          </w:p>
        </w:tc>
        <w:tc>
          <w:tcPr>
            <w:tcW w:w="240" w:type="dxa"/>
            <w:vAlign w:val="bottom"/>
          </w:tcPr>
          <w:p>
            <w:pPr>
              <w:spacing w:after="0"/>
              <w:rPr>
                <w:sz w:val="23"/>
                <w:szCs w:val="23"/>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103,199</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79,781</w:t>
            </w:r>
          </w:p>
        </w:tc>
        <w:tc>
          <w:tcPr>
            <w:tcW w:w="16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 (1)</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(1) (2)</w:t>
            </w:r>
          </w:p>
        </w:tc>
        <w:tc>
          <w:tcPr>
            <w:tcW w:w="1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gridSpan w:val="2"/>
            <w:vMerge w:val="continue"/>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dilutive loss per common share:</w:t>
            </w:r>
          </w:p>
        </w:tc>
        <w:tc>
          <w:tcPr>
            <w:tcW w:w="1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123,344</w:t>
            </w:r>
          </w:p>
        </w:tc>
        <w:tc>
          <w:tcPr>
            <w:tcW w:w="240" w:type="dxa"/>
            <w:vAlign w:val="bottom"/>
          </w:tcPr>
          <w:p>
            <w:pPr>
              <w:spacing w:after="0"/>
              <w:rPr>
                <w:sz w:val="23"/>
                <w:szCs w:val="23"/>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122,853</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92,390</w:t>
            </w:r>
          </w:p>
        </w:tc>
        <w:tc>
          <w:tcPr>
            <w:tcW w:w="16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 (1)</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(1) (2)</w:t>
            </w:r>
          </w:p>
        </w:tc>
        <w:tc>
          <w:tcPr>
            <w:tcW w:w="1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gridSpan w:val="2"/>
            <w:vMerge w:val="continue"/>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dilutive:</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3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F-41</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Supplementary Financial Data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Financial Data (Unaudited)</w:t>
      </w:r>
    </w:p>
    <w:p>
      <w:pPr>
        <w:spacing w:after="0" w:line="2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income (expense) items impacted gross profit (loss) and net income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5"/>
          </w:tcPr>
          <w:p>
            <w:pPr>
              <w:jc w:val="right"/>
              <w:ind w:right="10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Recovery from a settlement with a vendor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Turnaround expense: (A)</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(7,939)</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Recovery of precious metals: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income (expense) items impacted net income (loss):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(5,951)</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(9,306)</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(11,693)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(11,009)</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(9,358)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(9,292)</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(9,291)</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 benefits and accelerated stock-based compensation</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(4,324)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Borders>
              <w:bottom w:val="single" w:sz="8" w:color="CFF0FC"/>
            </w:tcBorders>
            <w:shd w:val="clear" w:color="auto" w:fill="CFF0FC"/>
          </w:tcPr>
          <w:p>
            <w:pPr>
              <w:jc w:val="right"/>
              <w:ind w:right="5250"/>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expenses do not include the impact on operating results relating to lost absorption or reduced margins due to the associated plants being shut down.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2018, 2017, and 2016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Charges to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(Recovery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Write-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Description (1)</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offs/Costs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allowance for doubtful accounts: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Supplies-reserve for slow-moving items: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 allowance for doubtful accounts: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 valuation allowance: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4040" w:firstLine="8"/>
        <w:spacing w:after="0" w:line="407" w:lineRule="auto"/>
        <w:tabs>
          <w:tab w:leader="none" w:pos="5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Deducted in the consolidated balance sheet from the related assets to which the reserve applies. Other valuation and qualifying accounts are detailed in our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553"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PERIOD EXTENSION</w:t>
      </w:r>
    </w:p>
    <w:p>
      <w:pPr>
        <w:spacing w:after="0" w:line="210" w:lineRule="exact"/>
        <w:rPr>
          <w:sz w:val="20"/>
          <w:szCs w:val="20"/>
          <w:color w:val="auto"/>
        </w:rPr>
      </w:pPr>
    </w:p>
    <w:p>
      <w:pPr>
        <w:ind w:right="560"/>
        <w:spacing w:after="0" w:line="244" w:lineRule="auto"/>
        <w:rPr>
          <w:sz w:val="20"/>
          <w:szCs w:val="20"/>
          <w:color w:val="auto"/>
        </w:rPr>
      </w:pPr>
      <w:r>
        <w:rPr>
          <w:rFonts w:ascii="Times New Roman" w:cs="Times New Roman" w:eastAsia="Times New Roman" w:hAnsi="Times New Roman"/>
          <w:sz w:val="22"/>
          <w:szCs w:val="22"/>
          <w:color w:val="auto"/>
        </w:rPr>
        <w:t>Mark Behrman (“Executive”) and LSB Industries, Inc., a Delaware corporation (“Company”), entered into an employment agreement effective as of December 31, 2015 (“Employment Agreement”), the initial term of which is scheduled to expire on December 30, 2018.</w:t>
      </w:r>
    </w:p>
    <w:p>
      <w:pPr>
        <w:spacing w:after="0" w:line="17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21"/>
          <w:szCs w:val="21"/>
          <w:color w:val="auto"/>
        </w:rPr>
        <w:t>The term of the Employment Agreement automatically would be extended for another year through December 30, 2019 unless either party elects not to extend the Employment Agreement by giving written notice to the other party by July 4, 2018.</w:t>
      </w:r>
    </w:p>
    <w:p>
      <w:pPr>
        <w:spacing w:after="0" w:line="135"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Since Executive and the Company are discussing potential changes to the Employment Agreement and such discussions may impact their decision whether to provide notice of an election not to extend the Employment Agreement, both Executive and the Company previously agreed to an extension until December 7, 2018 to provide notice and now agree that Section 1 of the Employment Agreement is hereby further amended such that the deadline for providing notice to the other party of an election not to extend the Employment Agreement for another year commencing December 31, 2018 shall be December 30, 2018.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all other respects, the Employment Agreement shall continue in effect.</w:t>
      </w:r>
    </w:p>
    <w:p>
      <w:pPr>
        <w:spacing w:after="0" w:line="206"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duly executed and delivered this Notice Period Extension or have caused this Notice Period Extension to be duly executed and delivered on their behalf.</w:t>
      </w:r>
    </w:p>
    <w:p>
      <w:pPr>
        <w:spacing w:after="0" w:line="1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Mark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Mark Behrman</w:t>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LSB INDUSTRIES, INC.</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2"/>
          <w:szCs w:val="22"/>
          <w:color w:val="auto"/>
        </w:rPr>
        <w:t>By:</w:t>
        <w:tab/>
        <w:t>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11430</wp:posOffset>
            </wp:positionV>
            <wp:extent cx="32670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2"/>
          <w:szCs w:val="22"/>
          <w:color w:val="auto"/>
        </w:rPr>
        <w:t>Its:</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wp:posOffset>
            </wp:positionV>
            <wp:extent cx="32670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MJF-CLW/BOD Behrman Notice Period Extension – 20181127-</w:t>
      </w:r>
    </w:p>
    <w:p>
      <w:pPr>
        <w:sectPr>
          <w:pgSz w:w="11900" w:h="16838" w:orient="portrait"/>
          <w:cols w:equalWidth="0" w:num="1">
            <w:col w:w="11420"/>
          </w:cols>
          <w:pgMar w:left="240" w:top="108"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PERIOD EXTENSION</w:t>
      </w:r>
    </w:p>
    <w:p>
      <w:pPr>
        <w:spacing w:after="0" w:line="210"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Daniel D. Greenwell (“Executive”) and LSB Industries, Inc., a Delaware corporation (“Company”), entered into an employment agreement effective as of December 31, 2015 (“Employment Agreement”), the initial term of which is scheduled to expire on December 30, 2018.</w:t>
      </w:r>
    </w:p>
    <w:p>
      <w:pPr>
        <w:spacing w:after="0" w:line="17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21"/>
          <w:szCs w:val="21"/>
          <w:color w:val="auto"/>
        </w:rPr>
        <w:t>The term of the Employment Agreement automatically would be extended for another year through December 30, 2019 unless either party elects not to extend the Employment Agreement by giving written notice to the other party by July 4, 2018.</w:t>
      </w:r>
    </w:p>
    <w:p>
      <w:pPr>
        <w:spacing w:after="0" w:line="135"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Since Executive and the Company are discussing potential changes to the Employment Agreement and such discussions may impact their decision whether to provide notice of an election not to extend the Employment Agreement, both Executive and the Company previously agreed to an extension until December 7, 2018 to provide notice and now agree that Section 1 of the Employment Agreement is hereby further amended such that the deadline for providing notice to the other party of an election not to extend the Employment Agreement for another year commencing December 31, 2018 shall be December 30, 2018.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all other respects, the Employment Agreement shall continue in effect.</w:t>
      </w:r>
    </w:p>
    <w:p>
      <w:pPr>
        <w:spacing w:after="0" w:line="206"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duly executed and delivered this Notice Period Extension or have caused this Notice Period Extension to be duly executed and delivered on their behalf.</w:t>
      </w:r>
    </w:p>
    <w:p>
      <w:pPr>
        <w:spacing w:after="0" w:line="1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188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Daniel D. Greenwell</w:t>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LSB INDUSTRIES, INC.</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18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2"/>
          <w:szCs w:val="22"/>
          <w:color w:val="auto"/>
        </w:rPr>
        <w:t>By:</w:t>
        <w:tab/>
        <w:t>/s/ 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11430</wp:posOffset>
            </wp:positionV>
            <wp:extent cx="32588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2"/>
          <w:szCs w:val="22"/>
          <w:color w:val="auto"/>
        </w:rPr>
        <w:t>Its:</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wp:posOffset>
            </wp:positionV>
            <wp:extent cx="32588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w:t>
      </w:r>
    </w:p>
    <w:p>
      <w:pPr>
        <w:spacing w:after="0" w:line="210"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I, Daniel D. Greenwell, in consideration of and subject to the performance by LSB Industries, Inc. (together with its affiliated companies and subsidiaries and its successors and assigns,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of its obligations under Section 9 of the Employment Agreement, dated as of December 30, 2015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do hereby release and forever discharge as of the date hereof the Company and its respective affiliates and subsidiaries and all present, former and future directors, officers, agents, representatives, employees, successors and assigns of the Company and/or its respective affiliates and subsidiaries and direct or indirect owners (collectively,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to the extent provided herein (this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Terms used herein but not otherwise defined shall have the meanings given to them in the Agreement.</w:t>
      </w:r>
    </w:p>
    <w:p>
      <w:pPr>
        <w:spacing w:after="0" w:line="76" w:lineRule="exact"/>
        <w:rPr>
          <w:sz w:val="20"/>
          <w:szCs w:val="20"/>
          <w:color w:val="auto"/>
        </w:rPr>
      </w:pPr>
    </w:p>
    <w:p>
      <w:pPr>
        <w:jc w:val="both"/>
        <w:ind w:firstLine="885"/>
        <w:spacing w:after="0" w:line="236" w:lineRule="auto"/>
        <w:tabs>
          <w:tab w:leader="none" w:pos="168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other than the Accrued Benefits, the payments or benefits paid or granted to me under Section 9 of the Agreement represent, in part, consideration for signing this General Release and are not salary, wages or benefits to which I was already entitled. I understand and agree that I will not receive the payments and benefits specified in Section 9 of the Agreement, other than the Accrued Benefits,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 or its affiliates.</w:t>
      </w:r>
    </w:p>
    <w:p>
      <w:pPr>
        <w:spacing w:after="0" w:line="74" w:lineRule="exact"/>
        <w:rPr>
          <w:rFonts w:ascii="Times New Roman" w:cs="Times New Roman" w:eastAsia="Times New Roman" w:hAnsi="Times New Roman"/>
          <w:sz w:val="22"/>
          <w:szCs w:val="22"/>
          <w:color w:val="auto"/>
        </w:rPr>
      </w:pPr>
    </w:p>
    <w:p>
      <w:pPr>
        <w:jc w:val="both"/>
        <w:ind w:firstLine="885"/>
        <w:spacing w:after="0" w:line="232" w:lineRule="auto"/>
        <w:tabs>
          <w:tab w:leader="none" w:pos="168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paragraph 4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and/or any of the Released Parties which I, my spouse, or any of my heirs, executors, administrators or assigns, ever had, now have, or hereafter may have, by reason of any matter, cause, or thing whatsoever, from the beginning of my initial dealings with the Company to the date of this General Release, and particularly, but without limitation of the foregoing general terms, any claims arising from or relating in any way to my employment relationship with Company, the terms and conditions of that employment relationship, and the termination of that employment relationship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270510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4" w:name="page105"/>
    <w:bookmarkEnd w:id="104"/>
    <w:p>
      <w:pPr>
        <w:jc w:val="both"/>
        <w:spacing w:after="0" w:line="239" w:lineRule="auto"/>
        <w:rPr>
          <w:sz w:val="20"/>
          <w:szCs w:val="20"/>
          <w:color w:val="auto"/>
        </w:rPr>
      </w:pPr>
      <w:r>
        <w:rPr>
          <w:rFonts w:ascii="Times New Roman" w:cs="Times New Roman" w:eastAsia="Times New Roman" w:hAnsi="Times New Roman"/>
          <w:sz w:val="22"/>
          <w:szCs w:val="22"/>
          <w:color w:val="auto"/>
        </w:rPr>
        <w:t>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I understand and intend that this General Release constitutes a general release of all claims and that no reference herein to a specific form of claim, statute or type of relief is intended to limit the scope of this General Release.</w:t>
      </w:r>
    </w:p>
    <w:p>
      <w:pPr>
        <w:spacing w:after="0" w:line="73" w:lineRule="exact"/>
        <w:rPr>
          <w:sz w:val="20"/>
          <w:szCs w:val="20"/>
          <w:color w:val="auto"/>
        </w:rPr>
      </w:pPr>
    </w:p>
    <w:p>
      <w:pPr>
        <w:ind w:firstLine="885"/>
        <w:spacing w:after="0" w:line="258" w:lineRule="auto"/>
        <w:tabs>
          <w:tab w:leader="none" w:pos="16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that I have made no assignment or transfer of any right, claim, demand, cause of action, or other matter covered by paragraph 2 above.</w:t>
      </w:r>
    </w:p>
    <w:p>
      <w:pPr>
        <w:spacing w:after="0" w:line="50" w:lineRule="exact"/>
        <w:rPr>
          <w:rFonts w:ascii="Times New Roman" w:cs="Times New Roman" w:eastAsia="Times New Roman" w:hAnsi="Times New Roman"/>
          <w:sz w:val="22"/>
          <w:szCs w:val="22"/>
          <w:color w:val="auto"/>
        </w:rPr>
      </w:pPr>
    </w:p>
    <w:p>
      <w:pPr>
        <w:jc w:val="both"/>
        <w:ind w:firstLine="885"/>
        <w:spacing w:after="0" w:line="234" w:lineRule="auto"/>
        <w:tabs>
          <w:tab w:leader="none" w:pos="16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 Notwithstanding anything herein to the contrary, I am not waiving any of the following (and definition of “Claims” shall not include these claims or rights): (i) any claim or right to enforce the Agreement or this General Release; (ii) any claims which arise after the date of this General Release; (iii) my rights as a shareholder of the Company; and (iv) my rights to be indemnified and/or advanced expenses, including pursuant to the Company’s corporate governance documents or the Indemnification Agreements (as defined in the Agreement) or, if greater, applicable law and my rights to be covered under any applicable directors’ and officers’ insurance liability policies.</w:t>
      </w:r>
    </w:p>
    <w:p>
      <w:pPr>
        <w:spacing w:after="0" w:line="72" w:lineRule="exact"/>
        <w:rPr>
          <w:rFonts w:ascii="Times New Roman" w:cs="Times New Roman" w:eastAsia="Times New Roman" w:hAnsi="Times New Roman"/>
          <w:sz w:val="22"/>
          <w:szCs w:val="22"/>
          <w:color w:val="auto"/>
        </w:rPr>
      </w:pPr>
    </w:p>
    <w:p>
      <w:pPr>
        <w:jc w:val="both"/>
        <w:ind w:firstLine="885"/>
        <w:spacing w:after="0" w:line="249" w:lineRule="auto"/>
        <w:tabs>
          <w:tab w:leader="none" w:pos="168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agree that I hereby waive all rights to sue or obtain equitable, remedial or punitive relief from any or all Released Parties of any kind whatsoever with respect to claims released by me herein, including, without limitation, reinstatement, back pay, front pay, and any form of injunctive relief. Notwithstanding the foregoing, I acknowledge that I am not waiving and am not being required to waive any right that cannot be waived under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w:t>
      </w:r>
    </w:p>
    <w:p>
      <w:pPr>
        <w:spacing w:after="0" w:line="63" w:lineRule="exact"/>
        <w:rPr>
          <w:rFonts w:ascii="Times New Roman" w:cs="Times New Roman" w:eastAsia="Times New Roman" w:hAnsi="Times New Roman"/>
          <w:sz w:val="21"/>
          <w:szCs w:val="21"/>
          <w:color w:val="auto"/>
        </w:rPr>
      </w:pPr>
    </w:p>
    <w:p>
      <w:pPr>
        <w:jc w:val="both"/>
        <w:ind w:firstLine="885"/>
        <w:spacing w:after="0" w:line="234" w:lineRule="auto"/>
        <w:tabs>
          <w:tab w:leader="none" w:pos="168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that I should bring a Claim seeking damages against the Company, or in the event that I should seek to recover against the Company in any Claim brought by a governmental agency on my behalf, this General Release shall serve as a complete defense to such Claims to the maximum extent permitted by law. I further agree that I am not aware of any pending Claim, or of any facts that could give rise to a Claim, of the type described in paragraph 2 as of the execution of this General Release.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05" w:name="page106"/>
    <w:bookmarkEnd w:id="105"/>
    <w:p>
      <w:pPr>
        <w:jc w:val="both"/>
        <w:ind w:left="-20" w:firstLine="885"/>
        <w:spacing w:after="0" w:line="244" w:lineRule="auto"/>
        <w:tabs>
          <w:tab w:leader="none" w:pos="166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65" w:lineRule="exact"/>
        <w:rPr>
          <w:rFonts w:ascii="Times New Roman" w:cs="Times New Roman" w:eastAsia="Times New Roman" w:hAnsi="Times New Roman"/>
          <w:sz w:val="22"/>
          <w:szCs w:val="22"/>
          <w:color w:val="auto"/>
        </w:rPr>
      </w:pPr>
    </w:p>
    <w:p>
      <w:pPr>
        <w:jc w:val="both"/>
        <w:ind w:left="-20" w:firstLine="885"/>
        <w:spacing w:after="0" w:line="234" w:lineRule="auto"/>
        <w:tabs>
          <w:tab w:leader="none" w:pos="166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agree that I will forfeit all amounts payable by the Company pursuant to the Agreement if I challenge the validity of this General Release. I also agree that if I violate this General Release by suing the Company or the other Released Parties with respect to Claims released by me herein, I will pay all costs and expenses of defending against the suit incurred by the Released Parties, including reasonable attorneys’ fees, and return all payments received by me pursuant to the Agreement on or after the termination of my employment. I further agree that if I materially violate any of my post-employment obligations under Sections 6 or 7 of the Agreement, I will also forfeit any cash severance amounts payable by the Company pursuant to either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10(d) or Section 10(e)</w:t>
      </w:r>
      <w:r>
        <w:rPr>
          <w:rFonts w:ascii="Times New Roman" w:cs="Times New Roman" w:eastAsia="Times New Roman" w:hAnsi="Times New Roman"/>
          <w:sz w:val="22"/>
          <w:szCs w:val="22"/>
          <w:color w:val="auto"/>
        </w:rPr>
        <w:t xml:space="preserve"> of the Agreement, as applicable, other than the Accrued Benefits, and will return any such sums already paid, on an after-tax basis, to the Company; provided that no such payments shall be subject to forfeiture and/or repayment unless the Company has provided me with written notice of the events giving rise to such forfeiture and/or repayment and I have not ceased to engage in such activities within fifteen (15) days of my receipt of such written notice.</w:t>
      </w:r>
    </w:p>
    <w:p>
      <w:pPr>
        <w:spacing w:after="0" w:line="72" w:lineRule="exact"/>
        <w:rPr>
          <w:rFonts w:ascii="Times New Roman" w:cs="Times New Roman" w:eastAsia="Times New Roman" w:hAnsi="Times New Roman"/>
          <w:sz w:val="22"/>
          <w:szCs w:val="22"/>
          <w:color w:val="auto"/>
        </w:rPr>
      </w:pPr>
    </w:p>
    <w:p>
      <w:pPr>
        <w:jc w:val="both"/>
        <w:ind w:left="-20" w:right="20" w:firstLine="885"/>
        <w:spacing w:after="0" w:line="239" w:lineRule="auto"/>
        <w:tabs>
          <w:tab w:leader="none" w:pos="166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this General Release is confidential and agree not to disclose any information regarding the terms of this General Release, except to my immediate family and any tax, legal or other counsel that I have consulted regarding the meaning or effect hereof (and I will instruct each of the foregoing not to disclose the same to anyone) or as required by law or to the extent reasonably necessary in connection with any dispute between me and the Company regarding this General Release.</w:t>
      </w:r>
    </w:p>
    <w:p>
      <w:pPr>
        <w:spacing w:after="0" w:line="72" w:lineRule="exact"/>
        <w:rPr>
          <w:rFonts w:ascii="Times New Roman" w:cs="Times New Roman" w:eastAsia="Times New Roman" w:hAnsi="Times New Roman"/>
          <w:sz w:val="22"/>
          <w:szCs w:val="22"/>
          <w:color w:val="auto"/>
        </w:rPr>
      </w:pPr>
    </w:p>
    <w:p>
      <w:pPr>
        <w:jc w:val="both"/>
        <w:ind w:left="-20" w:firstLine="885"/>
        <w:spacing w:after="0" w:line="239" w:lineRule="auto"/>
        <w:tabs>
          <w:tab w:leader="none" w:pos="177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or any other self-regulatory organization or governmental entity.</w:t>
      </w:r>
    </w:p>
    <w:p>
      <w:pPr>
        <w:spacing w:after="0" w:line="72" w:lineRule="exact"/>
        <w:rPr>
          <w:rFonts w:ascii="Times New Roman" w:cs="Times New Roman" w:eastAsia="Times New Roman" w:hAnsi="Times New Roman"/>
          <w:sz w:val="22"/>
          <w:szCs w:val="22"/>
          <w:color w:val="auto"/>
        </w:rPr>
      </w:pPr>
    </w:p>
    <w:p>
      <w:pPr>
        <w:ind w:left="-20" w:right="20" w:firstLine="885"/>
        <w:spacing w:after="0" w:line="258" w:lineRule="auto"/>
        <w:tabs>
          <w:tab w:leader="none" w:pos="176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hereby acknowledge that </w:t>
      </w:r>
      <w:r>
        <w:rPr>
          <w:rFonts w:ascii="Times New Roman" w:cs="Times New Roman" w:eastAsia="Times New Roman" w:hAnsi="Times New Roman"/>
          <w:sz w:val="22"/>
          <w:szCs w:val="22"/>
          <w:u w:val="single" w:color="auto"/>
          <w:color w:val="auto"/>
        </w:rPr>
        <w:t>Sections 6, 7, 8, 10, 11, 12, 13, 15, 16, 17, 19, 20, 21, 23</w:t>
      </w:r>
      <w:r>
        <w:rPr>
          <w:rFonts w:ascii="Times New Roman" w:cs="Times New Roman" w:eastAsia="Times New Roman" w:hAnsi="Times New Roman"/>
          <w:sz w:val="22"/>
          <w:szCs w:val="22"/>
          <w:color w:val="auto"/>
        </w:rPr>
        <w:t xml:space="preserve">, 24 </w:t>
      </w:r>
      <w:r>
        <w:rPr>
          <w:rFonts w:ascii="Times New Roman" w:cs="Times New Roman" w:eastAsia="Times New Roman" w:hAnsi="Times New Roman"/>
          <w:sz w:val="22"/>
          <w:szCs w:val="22"/>
          <w:u w:val="single" w:color="auto"/>
          <w:color w:val="auto"/>
        </w:rPr>
        <w:t>and 25</w:t>
      </w:r>
      <w:r>
        <w:rPr>
          <w:rFonts w:ascii="Times New Roman" w:cs="Times New Roman" w:eastAsia="Times New Roman" w:hAnsi="Times New Roman"/>
          <w:sz w:val="22"/>
          <w:szCs w:val="22"/>
          <w:color w:val="auto"/>
        </w:rPr>
        <w:t xml:space="preserve"> of the Agreement shall survive my execution of this General Release. (need to make sure these match up pursuant to new numbering).</w:t>
      </w:r>
    </w:p>
    <w:p>
      <w:pPr>
        <w:spacing w:after="0" w:line="50" w:lineRule="exact"/>
        <w:rPr>
          <w:rFonts w:ascii="Times New Roman" w:cs="Times New Roman" w:eastAsia="Times New Roman" w:hAnsi="Times New Roman"/>
          <w:sz w:val="22"/>
          <w:szCs w:val="22"/>
          <w:color w:val="auto"/>
        </w:rPr>
      </w:pPr>
    </w:p>
    <w:p>
      <w:pPr>
        <w:jc w:val="both"/>
        <w:ind w:left="-20" w:firstLine="885"/>
        <w:spacing w:after="0" w:line="239" w:lineRule="auto"/>
        <w:tabs>
          <w:tab w:leader="none" w:pos="177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that I am not aware of any Claim by me, and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72" w:lineRule="exact"/>
        <w:rPr>
          <w:rFonts w:ascii="Times New Roman" w:cs="Times New Roman" w:eastAsia="Times New Roman" w:hAnsi="Times New Roman"/>
          <w:sz w:val="22"/>
          <w:szCs w:val="22"/>
          <w:color w:val="auto"/>
        </w:rPr>
      </w:pPr>
    </w:p>
    <w:p>
      <w:pPr>
        <w:jc w:val="both"/>
        <w:ind w:left="-20" w:firstLine="885"/>
        <w:spacing w:after="0" w:line="244" w:lineRule="auto"/>
        <w:tabs>
          <w:tab w:leader="none" w:pos="177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65" w:lineRule="exact"/>
        <w:rPr>
          <w:rFonts w:ascii="Times New Roman" w:cs="Times New Roman" w:eastAsia="Times New Roman" w:hAnsi="Times New Roman"/>
          <w:sz w:val="22"/>
          <w:szCs w:val="22"/>
          <w:color w:val="auto"/>
        </w:rPr>
      </w:pPr>
    </w:p>
    <w:p>
      <w:pPr>
        <w:jc w:val="both"/>
        <w:ind w:left="-20" w:firstLine="885"/>
        <w:spacing w:after="0" w:line="262" w:lineRule="auto"/>
        <w:tabs>
          <w:tab w:leader="none" w:pos="177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-1950720</wp:posOffset>
            </wp:positionV>
            <wp:extent cx="1885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2">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221615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44" w:right="239" w:bottom="1440" w:gutter="0" w:footer="0" w:header="0"/>
        </w:sectPr>
      </w:pPr>
    </w:p>
    <w:bookmarkStart w:id="106" w:name="page107"/>
    <w:bookmarkEnd w:id="106"/>
    <w:p>
      <w:pPr>
        <w:jc w:val="both"/>
        <w:spacing w:after="0" w:line="238" w:lineRule="auto"/>
        <w:rPr>
          <w:sz w:val="20"/>
          <w:szCs w:val="20"/>
          <w:color w:val="auto"/>
        </w:rPr>
      </w:pPr>
      <w:r>
        <w:rPr>
          <w:rFonts w:ascii="Times New Roman" w:cs="Times New Roman" w:eastAsia="Times New Roman" w:hAnsi="Times New Roman"/>
          <w:sz w:val="22"/>
          <w:szCs w:val="22"/>
          <w:color w:val="auto"/>
        </w:rPr>
        <w:t>affect any other provision or any other jurisdiction, but this General Release shall be reformed, construed and enforced in such jurisdiction as if such invalid, illegal or unenforceable provision had never been contained herein. This General Release constitutes the complete and entire agreement and understanding among the parties, and supersedes any and all prior or contemporaneous agreements, commitments, understandings or arrangements, whether written or oral, between or among any of the parties, in each case concerning the subject matter 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THIS GENERAL RELEASE, I REPRESENT AND AGREE THAT:</w:t>
      </w:r>
    </w:p>
    <w:p>
      <w:pPr>
        <w:spacing w:after="0" w:line="206" w:lineRule="exact"/>
        <w:rPr>
          <w:sz w:val="20"/>
          <w:szCs w:val="20"/>
          <w:color w:val="auto"/>
        </w:rPr>
      </w:pPr>
    </w:p>
    <w:p>
      <w:pPr>
        <w:ind w:left="1300" w:hanging="86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IT CAREFULLY;</w:t>
      </w:r>
    </w:p>
    <w:p>
      <w:pPr>
        <w:spacing w:after="0" w:line="206" w:lineRule="exact"/>
        <w:rPr>
          <w:rFonts w:ascii="Times New Roman" w:cs="Times New Roman" w:eastAsia="Times New Roman" w:hAnsi="Times New Roman"/>
          <w:sz w:val="22"/>
          <w:szCs w:val="22"/>
          <w:color w:val="auto"/>
        </w:rPr>
      </w:pPr>
    </w:p>
    <w:p>
      <w:pPr>
        <w:jc w:val="both"/>
        <w:ind w:left="1300" w:hanging="860"/>
        <w:spacing w:after="0" w:line="238" w:lineRule="auto"/>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77" w:lineRule="exact"/>
        <w:rPr>
          <w:rFonts w:ascii="Times New Roman" w:cs="Times New Roman" w:eastAsia="Times New Roman" w:hAnsi="Times New Roman"/>
          <w:sz w:val="22"/>
          <w:szCs w:val="22"/>
          <w:color w:val="auto"/>
        </w:rPr>
      </w:pPr>
    </w:p>
    <w:p>
      <w:pPr>
        <w:ind w:left="1300" w:hanging="860"/>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VOLUNTARILY CONSENT TO EVERYTHING IN IT;</w:t>
      </w:r>
    </w:p>
    <w:p>
      <w:pPr>
        <w:spacing w:after="0" w:line="206" w:lineRule="exact"/>
        <w:rPr>
          <w:rFonts w:ascii="Times New Roman" w:cs="Times New Roman" w:eastAsia="Times New Roman" w:hAnsi="Times New Roman"/>
          <w:sz w:val="22"/>
          <w:szCs w:val="22"/>
          <w:color w:val="auto"/>
        </w:rPr>
      </w:pPr>
    </w:p>
    <w:p>
      <w:pPr>
        <w:jc w:val="both"/>
        <w:ind w:left="1300" w:hanging="860"/>
        <w:spacing w:after="0" w:line="244" w:lineRule="auto"/>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TO CONSULT WITH AN ATTORNEY BEFORE EXECUTING IT AND I HAVE DONE SO OR AFTER CAREFUL READING AND CONSIDERATION, I HAVE CHOSEN NOT TO DO SO OF MY OWN VOLITION,</w:t>
      </w:r>
    </w:p>
    <w:p>
      <w:pPr>
        <w:spacing w:after="0" w:line="173" w:lineRule="exact"/>
        <w:rPr>
          <w:rFonts w:ascii="Times New Roman" w:cs="Times New Roman" w:eastAsia="Times New Roman" w:hAnsi="Times New Roman"/>
          <w:sz w:val="22"/>
          <w:szCs w:val="22"/>
          <w:color w:val="auto"/>
        </w:rPr>
      </w:pPr>
    </w:p>
    <w:p>
      <w:pPr>
        <w:jc w:val="both"/>
        <w:ind w:left="1300" w:hanging="860"/>
        <w:spacing w:after="0" w:line="262" w:lineRule="auto"/>
        <w:tabs>
          <w:tab w:leader="none" w:pos="13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HAD AT LEAST [21][45] DAYS FROM THE DATE OF MY RECEIPT OF THIS RELEASE TO CONSIDER IT AND THE CHANGES MADE SINCE MY RECEIPT OF THIS RELEASE ARE NOT MATERIAL OR WERE MADE AT MY REQUEST AND WILL NOT RESTART THE REQUIRED [21][45]-DAY PERIOD;</w:t>
      </w:r>
    </w:p>
    <w:p>
      <w:pPr>
        <w:spacing w:after="0" w:line="154" w:lineRule="exact"/>
        <w:rPr>
          <w:rFonts w:ascii="Times New Roman" w:cs="Times New Roman" w:eastAsia="Times New Roman" w:hAnsi="Times New Roman"/>
          <w:sz w:val="21"/>
          <w:szCs w:val="21"/>
          <w:color w:val="auto"/>
        </w:rPr>
      </w:pPr>
    </w:p>
    <w:p>
      <w:pPr>
        <w:jc w:val="both"/>
        <w:ind w:left="1300" w:hanging="860"/>
        <w:spacing w:after="0" w:line="244" w:lineRule="auto"/>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I HAVE SEVEN (7) DAYS AFTER THE EXECUTION OF THIS RELEASE TO REVOKE IT AND THAT THIS RELEASE SHALL NOT BECOME EFFECTIVE OR ENFORCEABLE UNTIL THE REVOCATION PERIOD HAS EXPIRED; AND</w:t>
      </w:r>
    </w:p>
    <w:p>
      <w:pPr>
        <w:spacing w:after="0" w:line="173" w:lineRule="exact"/>
        <w:rPr>
          <w:rFonts w:ascii="Times New Roman" w:cs="Times New Roman" w:eastAsia="Times New Roman" w:hAnsi="Times New Roman"/>
          <w:sz w:val="22"/>
          <w:szCs w:val="22"/>
          <w:color w:val="auto"/>
        </w:rPr>
      </w:pPr>
    </w:p>
    <w:p>
      <w:pPr>
        <w:ind w:left="1300" w:right="20" w:hanging="860"/>
        <w:spacing w:after="0" w:line="258" w:lineRule="auto"/>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SIGNED THIS GENERAL RELEASE KNOWINGLY AND VOLUNTARILY AND WITH THE ADVICE OF ANY COUNSEL RETAINED TO ADVISE ME WITH RESPECT TO IT.</w:t>
      </w:r>
    </w:p>
    <w:p>
      <w:pPr>
        <w:spacing w:after="0" w:line="185" w:lineRule="exact"/>
        <w:rPr>
          <w:sz w:val="20"/>
          <w:szCs w:val="20"/>
          <w:color w:val="auto"/>
        </w:rPr>
      </w:pPr>
    </w:p>
    <w:p>
      <w:pPr>
        <w:spacing w:after="0"/>
        <w:tabs>
          <w:tab w:leader="none" w:pos="1220" w:val="left"/>
          <w:tab w:leader="none" w:pos="7100" w:val="left"/>
          <w:tab w:leader="none" w:pos="7900" w:val="left"/>
        </w:tabs>
        <w:rPr>
          <w:sz w:val="20"/>
          <w:szCs w:val="20"/>
          <w:color w:val="auto"/>
        </w:rPr>
      </w:pPr>
      <w:r>
        <w:rPr>
          <w:rFonts w:ascii="Times New Roman" w:cs="Times New Roman" w:eastAsia="Times New Roman" w:hAnsi="Times New Roman"/>
          <w:sz w:val="22"/>
          <w:szCs w:val="22"/>
          <w:color w:val="auto"/>
        </w:rPr>
        <w:t>SIGNED:</w:t>
      </w:r>
      <w:r>
        <w:rPr>
          <w:sz w:val="20"/>
          <w:szCs w:val="20"/>
          <w:color w:val="auto"/>
        </w:rPr>
        <w:tab/>
      </w:r>
      <w:r>
        <w:rPr>
          <w:rFonts w:ascii="Times New Roman" w:cs="Times New Roman" w:eastAsia="Times New Roman" w:hAnsi="Times New Roman"/>
          <w:sz w:val="22"/>
          <w:szCs w:val="22"/>
          <w:color w:val="auto"/>
        </w:rPr>
        <w:t>/s/Daniel D. Greenwell</w:t>
      </w:r>
      <w:r>
        <w:rPr>
          <w:sz w:val="20"/>
          <w:szCs w:val="20"/>
          <w:color w:val="auto"/>
        </w:rPr>
        <w:tab/>
      </w: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11430</wp:posOffset>
            </wp:positionV>
            <wp:extent cx="22212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4">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11430</wp:posOffset>
            </wp:positionV>
            <wp:extent cx="21526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450"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PERIOD EXTENSION</w:t>
      </w:r>
    </w:p>
    <w:p>
      <w:pPr>
        <w:spacing w:after="0" w:line="21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Michael J. Foster (“Executive”) and LSB Industries, Inc., a Delaware corporation (“Company”), entered into an employment agreement effective as of January 5, 2016 (“Employment Agreement”), the initial term of which is scheduled to expire on January 4, 2019.</w:t>
      </w:r>
    </w:p>
    <w:p>
      <w:pPr>
        <w:spacing w:after="0" w:line="17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term of the Employment Agreement automatically would be extended for another year through January 4, 2020 unless either party elects not to extend the Employment Agreement by giving written notice to the other party by July 9, 2018.</w:t>
      </w:r>
    </w:p>
    <w:p>
      <w:pPr>
        <w:spacing w:after="0" w:line="158"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Since Executive and the Company are discussing potential changes to the Employment Agreement and such discussions may impact their decision whether to provide notice of an election not to extend the Employment Agreement, both Executive and the Company previously agreed to an extension until December 7, 2018 to provide notice and now agree that Section 1 of the Employment Agreement is hereby further amended such that the deadline for providing notice to the other party of an election not to extend the Employment Agreement for another year commencing January 5, 2019 shall be December 30, 2018.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all other respects, the Employment Agreement shall continue in effect.</w:t>
      </w:r>
    </w:p>
    <w:p>
      <w:pPr>
        <w:spacing w:after="0" w:line="206"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duly executed and delivered this Notice Period Extension or have caused this Notice Period Extension to be duly executed and delivered on their behalf.</w:t>
      </w:r>
    </w:p>
    <w:p>
      <w:pPr>
        <w:spacing w:after="0" w:line="1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188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Michael J. Foster</w:t>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b w:val="1"/>
          <w:bCs w:val="1"/>
          <w:color w:val="auto"/>
        </w:rPr>
        <w:t>LSB INDUSTRIES, INC.</w:t>
      </w: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188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2"/>
          <w:szCs w:val="22"/>
          <w:color w:val="auto"/>
        </w:rPr>
        <w:t>By:</w:t>
        <w:tab/>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11430</wp:posOffset>
            </wp:positionV>
            <wp:extent cx="32588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22"/>
          <w:szCs w:val="22"/>
          <w:color w:val="auto"/>
        </w:rPr>
        <w:t>Its:</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wp:posOffset>
            </wp:positionV>
            <wp:extent cx="32588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LSB INDUSTRIES,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SUBSIDIARY LISTING</w:t>
      </w: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 2018</w:t>
      </w:r>
    </w:p>
    <w:p>
      <w:pPr>
        <w:spacing w:after="0" w:line="182" w:lineRule="exact"/>
        <w:rPr>
          <w:sz w:val="20"/>
          <w:szCs w:val="20"/>
          <w:color w:val="auto"/>
        </w:rPr>
      </w:pPr>
    </w:p>
    <w:p>
      <w:pPr>
        <w:jc w:val="right"/>
        <w:ind w:right="6120"/>
        <w:spacing w:after="0"/>
        <w:rPr>
          <w:sz w:val="20"/>
          <w:szCs w:val="20"/>
          <w:color w:val="auto"/>
        </w:rPr>
      </w:pPr>
      <w:r>
        <w:rPr>
          <w:rFonts w:ascii="Times New Roman" w:cs="Times New Roman" w:eastAsia="Times New Roman" w:hAnsi="Times New Roman"/>
          <w:sz w:val="21"/>
          <w:szCs w:val="21"/>
          <w:color w:val="auto"/>
        </w:rPr>
        <w:t>LSB INDUSTRIES, INC. (Direct subsidiaries in bold italics)</w:t>
      </w:r>
    </w:p>
    <w:p>
      <w:pPr>
        <w:spacing w:after="0" w:line="212" w:lineRule="exact"/>
        <w:rPr>
          <w:sz w:val="20"/>
          <w:szCs w:val="20"/>
          <w:color w:val="auto"/>
        </w:rPr>
      </w:pPr>
    </w:p>
    <w:p>
      <w:pPr>
        <w:jc w:val="right"/>
        <w:ind w:right="6100"/>
        <w:spacing w:after="0"/>
        <w:rPr>
          <w:sz w:val="20"/>
          <w:szCs w:val="20"/>
          <w:color w:val="auto"/>
        </w:rPr>
      </w:pPr>
      <w:r>
        <w:rPr>
          <w:rFonts w:ascii="Times New Roman" w:cs="Times New Roman" w:eastAsia="Times New Roman" w:hAnsi="Times New Roman"/>
          <w:sz w:val="22"/>
          <w:szCs w:val="22"/>
          <w:b w:val="1"/>
          <w:bCs w:val="1"/>
          <w:i w:val="1"/>
          <w:iCs w:val="1"/>
          <w:color w:val="auto"/>
        </w:rPr>
        <w:t>LSB Chemical L.L.C. (f/k/a/ LSB Chemical Corp.)</w:t>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Cherokee Nitrogen L.L.C. (f/k/a Cherokee Nitrogen Company)</w:t>
      </w:r>
    </w:p>
    <w:p>
      <w:pPr>
        <w:ind w:left="1620"/>
        <w:spacing w:after="0" w:line="230" w:lineRule="auto"/>
        <w:rPr>
          <w:sz w:val="20"/>
          <w:szCs w:val="20"/>
          <w:color w:val="auto"/>
        </w:rPr>
      </w:pPr>
      <w:r>
        <w:rPr>
          <w:rFonts w:ascii="Times New Roman" w:cs="Times New Roman" w:eastAsia="Times New Roman" w:hAnsi="Times New Roman"/>
          <w:sz w:val="22"/>
          <w:szCs w:val="22"/>
          <w:color w:val="auto"/>
        </w:rPr>
        <w:t>El Dorado Chemical Company</w:t>
      </w:r>
    </w:p>
    <w:p>
      <w:pPr>
        <w:ind w:left="2420"/>
        <w:spacing w:after="0" w:line="231" w:lineRule="auto"/>
        <w:rPr>
          <w:sz w:val="20"/>
          <w:szCs w:val="20"/>
          <w:color w:val="auto"/>
        </w:rPr>
      </w:pPr>
      <w:r>
        <w:rPr>
          <w:rFonts w:ascii="Times New Roman" w:cs="Times New Roman" w:eastAsia="Times New Roman" w:hAnsi="Times New Roman"/>
          <w:sz w:val="22"/>
          <w:szCs w:val="22"/>
          <w:color w:val="auto"/>
        </w:rPr>
        <w:t>EDC Ag Products Company L.L.C.</w:t>
      </w:r>
    </w:p>
    <w:p>
      <w:pPr>
        <w:ind w:left="2420"/>
        <w:spacing w:after="0" w:line="230" w:lineRule="auto"/>
        <w:rPr>
          <w:sz w:val="20"/>
          <w:szCs w:val="20"/>
          <w:color w:val="auto"/>
        </w:rPr>
      </w:pPr>
      <w:r>
        <w:rPr>
          <w:rFonts w:ascii="Times New Roman" w:cs="Times New Roman" w:eastAsia="Times New Roman" w:hAnsi="Times New Roman"/>
          <w:sz w:val="22"/>
          <w:szCs w:val="22"/>
          <w:color w:val="auto"/>
        </w:rPr>
        <w:t>Chemex I Corp. (f/k/a Slurry Explosive Corporation)</w:t>
      </w:r>
    </w:p>
    <w:p>
      <w:pPr>
        <w:ind w:left="2420"/>
        <w:spacing w:after="0" w:line="231" w:lineRule="auto"/>
        <w:rPr>
          <w:sz w:val="20"/>
          <w:szCs w:val="20"/>
          <w:color w:val="auto"/>
        </w:rPr>
      </w:pPr>
      <w:r>
        <w:rPr>
          <w:rFonts w:ascii="Times New Roman" w:cs="Times New Roman" w:eastAsia="Times New Roman" w:hAnsi="Times New Roman"/>
          <w:sz w:val="22"/>
          <w:szCs w:val="22"/>
          <w:color w:val="auto"/>
        </w:rPr>
        <w:t>El Dorado Ammonia L.L.C.</w:t>
      </w:r>
    </w:p>
    <w:p>
      <w:pPr>
        <w:spacing w:after="0" w:line="1" w:lineRule="exact"/>
        <w:rPr>
          <w:sz w:val="20"/>
          <w:szCs w:val="20"/>
          <w:color w:val="auto"/>
        </w:rPr>
      </w:pPr>
    </w:p>
    <w:p>
      <w:pPr>
        <w:ind w:left="1620" w:right="460"/>
        <w:spacing w:after="0" w:line="230" w:lineRule="auto"/>
        <w:rPr>
          <w:sz w:val="20"/>
          <w:szCs w:val="20"/>
          <w:color w:val="auto"/>
        </w:rPr>
      </w:pPr>
      <w:r>
        <w:rPr>
          <w:rFonts w:ascii="Times New Roman" w:cs="Times New Roman" w:eastAsia="Times New Roman" w:hAnsi="Times New Roman"/>
          <w:sz w:val="22"/>
          <w:szCs w:val="22"/>
          <w:color w:val="auto"/>
        </w:rPr>
        <w:t>El Dorado Nitrogen L.L.C. (f/k/a El Dorado Nitric L.L.C., f/k/a El Dorado Nitric Company, f/k/a El Dorado Nitrogen Company, f/k/a LSB Nitrogen Corporation, f/k/a LSB Import Corp.)</w:t>
      </w:r>
    </w:p>
    <w:p>
      <w:pPr>
        <w:ind w:left="1620"/>
        <w:spacing w:after="0" w:line="231" w:lineRule="auto"/>
        <w:rPr>
          <w:sz w:val="20"/>
          <w:szCs w:val="20"/>
          <w:color w:val="auto"/>
        </w:rPr>
      </w:pPr>
      <w:r>
        <w:rPr>
          <w:rFonts w:ascii="Times New Roman" w:cs="Times New Roman" w:eastAsia="Times New Roman" w:hAnsi="Times New Roman"/>
          <w:sz w:val="22"/>
          <w:szCs w:val="22"/>
          <w:color w:val="auto"/>
        </w:rPr>
        <w:t>Pryor Chemical Company (f/k/a Pryor Plant Chemical Company, f/k/a LSB Financial Corp.)</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TRISON Construction, Inc.</w:t>
      </w:r>
    </w:p>
    <w:p>
      <w:pPr>
        <w:sectPr>
          <w:pgSz w:w="11900" w:h="16838" w:orient="portrait"/>
          <w:cols w:equalWidth="0" w:num="1">
            <w:col w:w="11420"/>
          </w:cols>
          <w:pgMar w:left="240" w:top="111"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200" w:right="40" w:hanging="598"/>
        <w:spacing w:after="0" w:line="282" w:lineRule="auto"/>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333-199864) pertaining to the LSB Industries, Inc. 2008 Incentive Stock Plan, as amended by the First Amendment;</w:t>
      </w:r>
    </w:p>
    <w:p>
      <w:pPr>
        <w:spacing w:after="0" w:line="161" w:lineRule="exact"/>
        <w:rPr>
          <w:rFonts w:ascii="Times New Roman" w:cs="Times New Roman" w:eastAsia="Times New Roman" w:hAnsi="Times New Roman"/>
          <w:sz w:val="18"/>
          <w:szCs w:val="18"/>
          <w:color w:val="auto"/>
        </w:rPr>
      </w:pPr>
    </w:p>
    <w:p>
      <w:pPr>
        <w:ind w:left="1200" w:right="200" w:hanging="598"/>
        <w:spacing w:after="0" w:line="282" w:lineRule="auto"/>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333-153103) pertaining to the LSB Industries, Inc. 2008 Incentive Stock Plan or any combination of the foregoing;</w:t>
      </w:r>
    </w:p>
    <w:p>
      <w:pPr>
        <w:spacing w:after="0" w:line="16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333-209838) pertaining to the LSB Industries, Inc. 2008 Incentive Plan, as amended;</w:t>
      </w:r>
    </w:p>
    <w:p>
      <w:pPr>
        <w:spacing w:after="0" w:line="225"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333-212281) pertaining to the LSB Industries, Inc. 2016 Long Term Incentive Plan;</w:t>
      </w:r>
    </w:p>
    <w:p>
      <w:pPr>
        <w:spacing w:after="0" w:line="225"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S-1 No. 333-212503) of LSB Industries, Inc., as amended; and</w:t>
      </w:r>
    </w:p>
    <w:p>
      <w:pPr>
        <w:spacing w:after="0" w:line="225"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333-228139) of LSB Industries,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26, 2019, with respect to the consolidated financial statements and schedule of LSB Industries, Inc. and the effectiveness of internal control over financial reporting of LSB Industries, Inc., included in this Annual Report (Form 10-K) of LSB Industries, Inc. for the year ended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ectPr>
          <w:pgSz w:w="11900" w:h="16838" w:orient="portrait"/>
          <w:cols w:equalWidth="0" w:num="1">
            <w:col w:w="11420"/>
          </w:cols>
          <w:pgMar w:left="240" w:top="347"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Behrman, certify that:</w:t>
      </w:r>
    </w:p>
    <w:p>
      <w:pPr>
        <w:spacing w:after="0" w:line="117" w:lineRule="exact"/>
        <w:rPr>
          <w:sz w:val="20"/>
          <w:szCs w:val="20"/>
          <w:color w:val="auto"/>
        </w:rPr>
      </w:pPr>
    </w:p>
    <w:p>
      <w:pPr>
        <w:ind w:left="600" w:hanging="592"/>
        <w:spacing w:after="0"/>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800" w:hanging="603"/>
        <w:spacing w:after="0" w:line="266" w:lineRule="auto"/>
        <w:tabs>
          <w:tab w:leader="none" w:pos="1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800" w:hanging="603"/>
        <w:spacing w:after="0" w:line="266" w:lineRule="auto"/>
        <w:tabs>
          <w:tab w:leader="none" w:pos="1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800" w:hanging="603"/>
        <w:spacing w:after="0" w:line="266" w:lineRule="auto"/>
        <w:tabs>
          <w:tab w:leader="none" w:pos="1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800" w:hanging="603"/>
        <w:spacing w:after="0" w:line="266" w:lineRule="auto"/>
        <w:tabs>
          <w:tab w:leader="none" w:pos="1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hanging="603"/>
        <w:spacing w:after="0" w:line="282" w:lineRule="auto"/>
        <w:tabs>
          <w:tab w:leader="none" w:pos="1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800" w:right="20" w:hanging="603"/>
        <w:spacing w:after="0" w:line="282" w:lineRule="auto"/>
        <w:tabs>
          <w:tab w:leader="none" w:pos="1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1">
            <w:col w:w="11420"/>
          </w:cols>
          <w:pgMar w:left="240" w:top="117"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Cheryl A. Maguire, certify that:</w:t>
      </w:r>
    </w:p>
    <w:p>
      <w:pPr>
        <w:spacing w:after="0" w:line="117" w:lineRule="exact"/>
        <w:rPr>
          <w:sz w:val="20"/>
          <w:szCs w:val="20"/>
          <w:color w:val="auto"/>
        </w:rPr>
      </w:pPr>
    </w:p>
    <w:p>
      <w:pPr>
        <w:ind w:left="600" w:hanging="592"/>
        <w:spacing w:after="0"/>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00" w:hanging="592"/>
        <w:spacing w:after="0" w:line="266"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800" w:hanging="603"/>
        <w:spacing w:after="0" w:line="266" w:lineRule="auto"/>
        <w:tabs>
          <w:tab w:leader="none" w:pos="18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800" w:hanging="603"/>
        <w:spacing w:after="0" w:line="266" w:lineRule="auto"/>
        <w:tabs>
          <w:tab w:leader="none" w:pos="18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800" w:hanging="603"/>
        <w:spacing w:after="0" w:line="266" w:lineRule="auto"/>
        <w:tabs>
          <w:tab w:leader="none" w:pos="18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800" w:hanging="603"/>
        <w:spacing w:after="0" w:line="266" w:lineRule="auto"/>
        <w:tabs>
          <w:tab w:leader="none" w:pos="18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00" w:hanging="592"/>
        <w:spacing w:after="0" w:line="282"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hanging="603"/>
        <w:spacing w:after="0" w:line="282" w:lineRule="auto"/>
        <w:tabs>
          <w:tab w:leader="none" w:pos="18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800" w:hanging="603"/>
        <w:spacing w:after="0" w:line="282" w:lineRule="auto"/>
        <w:tabs>
          <w:tab w:leader="none" w:pos="18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117"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LSB Industries, Inc. (“LSB”) on Form 10-K for the year ended December 31, 2018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68" w:lineRule="exact"/>
        <w:rPr>
          <w:sz w:val="20"/>
          <w:szCs w:val="20"/>
          <w:color w:val="auto"/>
        </w:rPr>
      </w:pPr>
    </w:p>
    <w:p>
      <w:pPr>
        <w:ind w:left="1200" w:hanging="598"/>
        <w:spacing w:after="0"/>
        <w:tabs>
          <w:tab w:leader="none" w:pos="1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17"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LSB Industries, Inc. (“LSB”) on Form 10-K for the year ended December 31, 2018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68" w:lineRule="exact"/>
        <w:rPr>
          <w:sz w:val="20"/>
          <w:szCs w:val="20"/>
          <w:color w:val="auto"/>
        </w:rPr>
      </w:pPr>
    </w:p>
    <w:p>
      <w:pPr>
        <w:ind w:left="1200" w:hanging="598"/>
        <w:spacing w:after="0"/>
        <w:tabs>
          <w:tab w:leader="none" w:pos="1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upperLetter"/>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2"/>
    </w:lvl>
  </w:abstractNum>
  <w:abstractNum w:abstractNumId="20">
    <w:nsid w:val="51EAD36B"/>
    <w:multiLevelType w:val="hybridMultilevel"/>
    <w:lvl w:ilvl="0">
      <w:lvlJc w:val="left"/>
      <w:lvlText w:val="•"/>
      <w:numFmt w:val="bullet"/>
      <w:start w:val="1"/>
    </w:lvl>
    <w:lvl w:ilvl="1">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upperLetter"/>
      <w:start w:val="1"/>
    </w:lvl>
  </w:abstractNum>
  <w:abstractNum w:abstractNumId="38">
    <w:nsid w:val="32FFF902"/>
    <w:multiLevelType w:val="hybridMultilevel"/>
    <w:lvl w:ilvl="0">
      <w:lvlJc w:val="left"/>
      <w:lvlText w:val="(%1)"/>
      <w:numFmt w:val="upperLetter"/>
      <w:start w:val="2"/>
    </w:lvl>
  </w:abstractNum>
  <w:abstractNum w:abstractNumId="39">
    <w:nsid w:val="684A481A"/>
    <w:multiLevelType w:val="hybridMultilevel"/>
    <w:lvl w:ilvl="0">
      <w:lvlJc w:val="left"/>
      <w:lvlText w:val="(%1)"/>
      <w:numFmt w:val="upperLetter"/>
      <w:start w:val="3"/>
    </w:lvl>
  </w:abstractNum>
  <w:abstractNum w:abstractNumId="40">
    <w:nsid w:val="579478FE"/>
    <w:multiLevelType w:val="hybridMultilevel"/>
    <w:lvl w:ilvl="0">
      <w:lvlJc w:val="left"/>
      <w:lvlText w:val="(%1)"/>
      <w:numFmt w:val="upperLetter"/>
      <w:start w:val="6"/>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2"/>
    </w:lvl>
  </w:abstractNum>
  <w:abstractNum w:abstractNumId="47">
    <w:nsid w:val="70C6A529"/>
    <w:multiLevelType w:val="hybridMultilevel"/>
    <w:lvl w:ilvl="0">
      <w:lvlJc w:val="left"/>
      <w:lvlText w:val="(%1)"/>
      <w:numFmt w:val="upperLetter"/>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3"/>
    </w:lvl>
  </w:abstractNum>
  <w:abstractNum w:abstractNumId="51">
    <w:nsid w:val="23F9C13C"/>
    <w:multiLevelType w:val="hybridMultilevel"/>
    <w:lvl w:ilvl="0">
      <w:lvlJc w:val="left"/>
      <w:lvlText w:val="%1."/>
      <w:numFmt w:val="decimal"/>
      <w:start w:val="7"/>
    </w:lvl>
  </w:abstractNum>
  <w:abstractNum w:abstractNumId="52">
    <w:nsid w:val="649BB77C"/>
    <w:multiLevelType w:val="hybridMultilevel"/>
    <w:lvl w:ilvl="0">
      <w:lvlJc w:val="left"/>
      <w:lvlText w:val="(%1)"/>
      <w:numFmt w:val="lowerRoman"/>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21" Type="http://schemas.openxmlformats.org/officeDocument/2006/relationships/image" Target="media/image66.png"/><Relationship Id="rId122" Type="http://schemas.openxmlformats.org/officeDocument/2006/relationships/image" Target="media/image67.png"/><Relationship Id="rId128" Type="http://schemas.openxmlformats.org/officeDocument/2006/relationships/image" Target="media/image68.png"/><Relationship Id="rId138" Type="http://schemas.openxmlformats.org/officeDocument/2006/relationships/image" Target="media/image69.png"/><Relationship Id="rId139" Type="http://schemas.openxmlformats.org/officeDocument/2006/relationships/image" Target="media/image70.png"/><Relationship Id="rId151" Type="http://schemas.openxmlformats.org/officeDocument/2006/relationships/image" Target="media/image71.png"/><Relationship Id="rId152" Type="http://schemas.openxmlformats.org/officeDocument/2006/relationships/image" Target="media/image72.png"/><Relationship Id="rId166" Type="http://schemas.openxmlformats.org/officeDocument/2006/relationships/image" Target="media/image73.png"/><Relationship Id="rId167" Type="http://schemas.openxmlformats.org/officeDocument/2006/relationships/image" Target="media/image74.png"/><Relationship Id="rId168" Type="http://schemas.openxmlformats.org/officeDocument/2006/relationships/image" Target="media/image75.png"/><Relationship Id="rId169" Type="http://schemas.openxmlformats.org/officeDocument/2006/relationships/image" Target="media/image76.png"/><Relationship Id="rId170" Type="http://schemas.openxmlformats.org/officeDocument/2006/relationships/image" Target="media/image77.png"/><Relationship Id="rId171" Type="http://schemas.openxmlformats.org/officeDocument/2006/relationships/image" Target="media/image78.png"/><Relationship Id="rId172" Type="http://schemas.openxmlformats.org/officeDocument/2006/relationships/image" Target="media/image79.png"/><Relationship Id="rId173" Type="http://schemas.openxmlformats.org/officeDocument/2006/relationships/image" Target="media/image80.png"/><Relationship Id="rId174" Type="http://schemas.openxmlformats.org/officeDocument/2006/relationships/image" Target="media/image81.png"/><Relationship Id="rId175" Type="http://schemas.openxmlformats.org/officeDocument/2006/relationships/image" Target="media/image82.png"/><Relationship Id="rId176" Type="http://schemas.openxmlformats.org/officeDocument/2006/relationships/image" Target="media/image83.png"/><Relationship Id="rId177" Type="http://schemas.openxmlformats.org/officeDocument/2006/relationships/image" Target="media/image84.png"/><Relationship Id="rId178" Type="http://schemas.openxmlformats.org/officeDocument/2006/relationships/image" Target="media/image85.png"/><Relationship Id="rId179" Type="http://schemas.openxmlformats.org/officeDocument/2006/relationships/image" Target="media/image86.png"/><Relationship Id="rId180" Type="http://schemas.openxmlformats.org/officeDocument/2006/relationships/image" Target="media/image87.png"/><Relationship Id="rId181" Type="http://schemas.openxmlformats.org/officeDocument/2006/relationships/image" Target="media/image88.png"/><Relationship Id="rId182" Type="http://schemas.openxmlformats.org/officeDocument/2006/relationships/image" Target="media/image89.png"/><Relationship Id="rId183" Type="http://schemas.openxmlformats.org/officeDocument/2006/relationships/image" Target="media/image90.png"/><Relationship Id="rId184" Type="http://schemas.openxmlformats.org/officeDocument/2006/relationships/image" Target="media/image91.png"/><Relationship Id="rId185" Type="http://schemas.openxmlformats.org/officeDocument/2006/relationships/image" Target="media/image92.png"/><Relationship Id="rId186" Type="http://schemas.openxmlformats.org/officeDocument/2006/relationships/image" Target="media/image93.png"/><Relationship Id="rId187" Type="http://schemas.openxmlformats.org/officeDocument/2006/relationships/image" Target="media/image94.png"/><Relationship Id="rId188" Type="http://schemas.openxmlformats.org/officeDocument/2006/relationships/image" Target="media/image95.png"/><Relationship Id="rId189" Type="http://schemas.openxmlformats.org/officeDocument/2006/relationships/image" Target="media/image96.png"/><Relationship Id="rId190" Type="http://schemas.openxmlformats.org/officeDocument/2006/relationships/image" Target="media/image97.png"/><Relationship Id="rId191" Type="http://schemas.openxmlformats.org/officeDocument/2006/relationships/image" Target="media/image98.png"/><Relationship Id="rId192" Type="http://schemas.openxmlformats.org/officeDocument/2006/relationships/image" Target="media/image99.png"/><Relationship Id="rId193" Type="http://schemas.openxmlformats.org/officeDocument/2006/relationships/image" Target="media/image100.png"/><Relationship Id="rId194" Type="http://schemas.openxmlformats.org/officeDocument/2006/relationships/image" Target="media/image101.png"/><Relationship Id="rId195" Type="http://schemas.openxmlformats.org/officeDocument/2006/relationships/image" Target="media/image102.png"/><Relationship Id="rId196" Type="http://schemas.openxmlformats.org/officeDocument/2006/relationships/image" Target="media/image103.png"/><Relationship Id="rId197" Type="http://schemas.openxmlformats.org/officeDocument/2006/relationships/image" Target="media/image104.png"/><Relationship Id="rId198" Type="http://schemas.openxmlformats.org/officeDocument/2006/relationships/image" Target="media/image105.png"/><Relationship Id="rId199" Type="http://schemas.openxmlformats.org/officeDocument/2006/relationships/image" Target="media/image106.png"/><Relationship Id="rId200" Type="http://schemas.openxmlformats.org/officeDocument/2006/relationships/image" Target="media/image107.png"/><Relationship Id="rId201" Type="http://schemas.openxmlformats.org/officeDocument/2006/relationships/image" Target="media/image108.png"/><Relationship Id="rId202" Type="http://schemas.openxmlformats.org/officeDocument/2006/relationships/image" Target="media/image109.png"/><Relationship Id="rId203" Type="http://schemas.openxmlformats.org/officeDocument/2006/relationships/image" Target="media/image110.png"/><Relationship Id="rId204" Type="http://schemas.openxmlformats.org/officeDocument/2006/relationships/image" Target="media/image111.png"/><Relationship Id="rId205" Type="http://schemas.openxmlformats.org/officeDocument/2006/relationships/image" Target="media/image112.png"/><Relationship Id="rId206" Type="http://schemas.openxmlformats.org/officeDocument/2006/relationships/image" Target="media/image113.png"/><Relationship Id="rId207" Type="http://schemas.openxmlformats.org/officeDocument/2006/relationships/image" Target="media/image114.png"/><Relationship Id="rId208" Type="http://schemas.openxmlformats.org/officeDocument/2006/relationships/image" Target="media/image115.png"/><Relationship Id="rId209" Type="http://schemas.openxmlformats.org/officeDocument/2006/relationships/image" Target="media/image116.png"/><Relationship Id="rId210" Type="http://schemas.openxmlformats.org/officeDocument/2006/relationships/image" Target="media/image117.png"/><Relationship Id="rId211" Type="http://schemas.openxmlformats.org/officeDocument/2006/relationships/image" Target="media/image118.png"/><Relationship Id="rId212" Type="http://schemas.openxmlformats.org/officeDocument/2006/relationships/image" Target="media/image119.png"/><Relationship Id="rId213" Type="http://schemas.openxmlformats.org/officeDocument/2006/relationships/image" Target="media/image120.png"/><Relationship Id="rId214" Type="http://schemas.openxmlformats.org/officeDocument/2006/relationships/image" Target="media/image121.png"/><Relationship Id="rId215" Type="http://schemas.openxmlformats.org/officeDocument/2006/relationships/image" Target="media/image122.png"/><Relationship Id="rId216" Type="http://schemas.openxmlformats.org/officeDocument/2006/relationships/image" Target="media/image123.png"/><Relationship Id="rId217" Type="http://schemas.openxmlformats.org/officeDocument/2006/relationships/image" Target="media/image124.png"/><Relationship Id="rId218" Type="http://schemas.openxmlformats.org/officeDocument/2006/relationships/image" Target="media/image125.png"/><Relationship Id="rId219" Type="http://schemas.openxmlformats.org/officeDocument/2006/relationships/image" Target="media/image126.png"/><Relationship Id="rId220" Type="http://schemas.openxmlformats.org/officeDocument/2006/relationships/image" Target="media/image127.png"/><Relationship Id="rId221" Type="http://schemas.openxmlformats.org/officeDocument/2006/relationships/image" Target="media/image128.png"/><Relationship Id="rId222" Type="http://schemas.openxmlformats.org/officeDocument/2006/relationships/image" Target="media/image129.png"/><Relationship Id="rId223" Type="http://schemas.openxmlformats.org/officeDocument/2006/relationships/image" Target="media/image130.png"/><Relationship Id="rId224" Type="http://schemas.openxmlformats.org/officeDocument/2006/relationships/image" Target="media/image131.png"/><Relationship Id="rId225" Type="http://schemas.openxmlformats.org/officeDocument/2006/relationships/image" Target="media/image132.png"/><Relationship Id="rId226" Type="http://schemas.openxmlformats.org/officeDocument/2006/relationships/image" Target="media/image133.png"/><Relationship Id="rId227" Type="http://schemas.openxmlformats.org/officeDocument/2006/relationships/image" Target="media/image134.png"/><Relationship Id="rId228" Type="http://schemas.openxmlformats.org/officeDocument/2006/relationships/image" Target="media/image135.png"/><Relationship Id="rId229" Type="http://schemas.openxmlformats.org/officeDocument/2006/relationships/image" Target="media/image136.png"/><Relationship Id="rId230" Type="http://schemas.openxmlformats.org/officeDocument/2006/relationships/image" Target="media/image137.png"/><Relationship Id="rId231" Type="http://schemas.openxmlformats.org/officeDocument/2006/relationships/image" Target="media/image138.png"/><Relationship Id="rId232" Type="http://schemas.openxmlformats.org/officeDocument/2006/relationships/image" Target="media/image139.png"/><Relationship Id="rId233" Type="http://schemas.openxmlformats.org/officeDocument/2006/relationships/image" Target="media/image140.png"/><Relationship Id="rId234" Type="http://schemas.openxmlformats.org/officeDocument/2006/relationships/image" Target="media/image141.png"/><Relationship Id="rId235" Type="http://schemas.openxmlformats.org/officeDocument/2006/relationships/image" Target="media/image142.png"/><Relationship Id="rId236" Type="http://schemas.openxmlformats.org/officeDocument/2006/relationships/image" Target="media/image143.png"/><Relationship Id="rId237" Type="http://schemas.openxmlformats.org/officeDocument/2006/relationships/image" Target="media/image144.png"/><Relationship Id="rId238" Type="http://schemas.openxmlformats.org/officeDocument/2006/relationships/image" Target="media/image145.png"/><Relationship Id="rId239" Type="http://schemas.openxmlformats.org/officeDocument/2006/relationships/image" Target="media/image146.png"/><Relationship Id="rId240" Type="http://schemas.openxmlformats.org/officeDocument/2006/relationships/image" Target="media/image147.png"/><Relationship Id="rId241" Type="http://schemas.openxmlformats.org/officeDocument/2006/relationships/image" Target="media/image148.png"/><Relationship Id="rId242" Type="http://schemas.openxmlformats.org/officeDocument/2006/relationships/image" Target="media/image149.png"/><Relationship Id="rId243" Type="http://schemas.openxmlformats.org/officeDocument/2006/relationships/image" Target="media/image150.png"/><Relationship Id="rId244" Type="http://schemas.openxmlformats.org/officeDocument/2006/relationships/image" Target="media/image151.png"/><Relationship Id="rId245" Type="http://schemas.openxmlformats.org/officeDocument/2006/relationships/image" Target="media/image152.png"/><Relationship Id="rId246" Type="http://schemas.openxmlformats.org/officeDocument/2006/relationships/image" Target="media/image153.png"/><Relationship Id="rId247" Type="http://schemas.openxmlformats.org/officeDocument/2006/relationships/image" Target="media/image154.png"/><Relationship Id="rId248" Type="http://schemas.openxmlformats.org/officeDocument/2006/relationships/image" Target="media/image155.png"/><Relationship Id="rId249" Type="http://schemas.openxmlformats.org/officeDocument/2006/relationships/image" Target="media/image156.png"/><Relationship Id="rId250" Type="http://schemas.openxmlformats.org/officeDocument/2006/relationships/image" Target="media/image157.png"/><Relationship Id="rId251" Type="http://schemas.openxmlformats.org/officeDocument/2006/relationships/image" Target="media/image158.png"/><Relationship Id="rId252" Type="http://schemas.openxmlformats.org/officeDocument/2006/relationships/image" Target="media/image159.png"/><Relationship Id="rId253" Type="http://schemas.openxmlformats.org/officeDocument/2006/relationships/image" Target="media/image160.png"/><Relationship Id="rId69" Type="http://schemas.openxmlformats.org/officeDocument/2006/relationships/hyperlink" Target="http://www.sec.gov/Archives/edgar/data/60714/000119312513084410/d447083dex3i1.htm" TargetMode="External"/><Relationship Id="rId70" Type="http://schemas.openxmlformats.org/officeDocument/2006/relationships/hyperlink" Target="http://www.sec.gov/Archives/edgar/data/60714/000119312514323405/d781455dex3ii.htm" TargetMode="External"/><Relationship Id="rId71" Type="http://schemas.openxmlformats.org/officeDocument/2006/relationships/hyperlink" Target="http://www.sec.gov/Archives/edgar/data/60714/000119312515161375/d918969dex3ii.htm" TargetMode="External"/><Relationship Id="rId72" Type="http://schemas.openxmlformats.org/officeDocument/2006/relationships/hyperlink" Target="http://www.sec.gov/Archives/edgar/data/60714/000119312515397856/d22963dex3ii.htm" TargetMode="External"/><Relationship Id="rId73" Type="http://schemas.openxmlformats.org/officeDocument/2006/relationships/hyperlink" Target="http://www.sec.gov/Archives/edgar/data/60714/000119312515415325/d102136dex3ii.htm" TargetMode="External"/><Relationship Id="rId74" Type="http://schemas.openxmlformats.org/officeDocument/2006/relationships/hyperlink" Target="http://www.sec.gov/Archives/edgar/data/60714/000006071411000006/ex43.htm" TargetMode="External"/><Relationship Id="rId75" Type="http://schemas.openxmlformats.org/officeDocument/2006/relationships/hyperlink" Target="http://www.sec.gov/Archives/edgar/data/60714/000119312512474073/d440760dex43.htm" TargetMode="External"/><Relationship Id="rId76" Type="http://schemas.openxmlformats.org/officeDocument/2006/relationships/hyperlink" Target="http://www.sec.gov/Archives/edgar/data/60714/000119312515397856/d22963dex41.htm" TargetMode="External"/><Relationship Id="rId77" Type="http://schemas.openxmlformats.org/officeDocument/2006/relationships/hyperlink" Target="http://www.sec.gov/Archives/edgar/data/60714/000119312518303142/d635267dex41.htm" TargetMode="External"/><Relationship Id="rId78" Type="http://schemas.openxmlformats.org/officeDocument/2006/relationships/hyperlink" Target="http://www.sec.gov/Archives/edgar/data/60714/000119312518316135/d602126dex41.htm" TargetMode="External"/><Relationship Id="rId79" Type="http://schemas.openxmlformats.org/officeDocument/2006/relationships/hyperlink" Target="http://www.sec.gov/Archives/edgar/data/60714/000119312515397856/d22963dex42.htm" TargetMode="External"/><Relationship Id="rId80" Type="http://schemas.openxmlformats.org/officeDocument/2006/relationships/hyperlink" Target="http://www.sec.gov/Archives/edgar/data/60714/000119312518303142/d635267dex42.htm" TargetMode="External"/><Relationship Id="rId81" Type="http://schemas.openxmlformats.org/officeDocument/2006/relationships/hyperlink" Target="http://www.sec.gov/Archives/edgar/data/60714/000006071408000063/ex_41.htm" TargetMode="External"/><Relationship Id="rId82" Type="http://schemas.openxmlformats.org/officeDocument/2006/relationships/hyperlink" Target="http://www.sec.gov/Archives/edgar/data/60714/000006071408000063/ex_43.htm" TargetMode="External"/><Relationship Id="rId83" Type="http://schemas.openxmlformats.org/officeDocument/2006/relationships/hyperlink" Target="http://www.sec.gov/Archives/edgar/data/60714/000119312515397856/d22963dex43.htm" TargetMode="External"/><Relationship Id="rId84" Type="http://schemas.openxmlformats.org/officeDocument/2006/relationships/hyperlink" Target="http://www.sec.gov/Archives/edgar/data/60714/000119312513332936/d583332dex41.htm" TargetMode="External"/><Relationship Id="rId87" Type="http://schemas.openxmlformats.org/officeDocument/2006/relationships/hyperlink" Target="http://www.sec.gov/Archives/edgar/data/60714/000119312516730637/d169793dex41.htm" TargetMode="External"/><Relationship Id="rId88" Type="http://schemas.openxmlformats.org/officeDocument/2006/relationships/hyperlink" Target="http://www.sec.gov/Archives/edgar/data/60714/000119312513332936/d583332dex991.htm" TargetMode="External"/><Relationship Id="rId89" Type="http://schemas.openxmlformats.org/officeDocument/2006/relationships/hyperlink" Target="http://www.sec.gov/Archives/edgar/data/60714/000119312518131457/d576542dex41.htm" TargetMode="External"/><Relationship Id="rId90" Type="http://schemas.openxmlformats.org/officeDocument/2006/relationships/hyperlink" Target="http://www.sec.gov/Archives/edgar/data/60714/000119312506070789/dex102.htm" TargetMode="External"/><Relationship Id="rId91" Type="http://schemas.openxmlformats.org/officeDocument/2006/relationships/hyperlink" Target="http://www.sec.gov/Archives/edgar/data/60714/000119312514380305/d808481dex992.htm" TargetMode="External"/><Relationship Id="rId92" Type="http://schemas.openxmlformats.org/officeDocument/2006/relationships/hyperlink" Target="http://www.sec.gov/Archives/edgar/data/60714/000119312514233234/d743642dex993.htm" TargetMode="External"/><Relationship Id="rId93" Type="http://schemas.openxmlformats.org/officeDocument/2006/relationships/hyperlink" Target="http://www.sec.gov/Archives/edgar/data/60714/000119312516423656/d108521dex103.htm" TargetMode="External"/><Relationship Id="rId94" Type="http://schemas.openxmlformats.org/officeDocument/2006/relationships/hyperlink" Target="http://www.sec.gov/Archives/edgar/data/60714/000156459016013735/lxu-ex108_1305.htm" TargetMode="External"/><Relationship Id="rId95" Type="http://schemas.openxmlformats.org/officeDocument/2006/relationships/hyperlink" Target="http://www.sec.gov/Archives/edgar/data/60714/000119312516634750/d218339dex48.htm" TargetMode="External"/><Relationship Id="rId96" Type="http://schemas.openxmlformats.org/officeDocument/2006/relationships/hyperlink" Target="http://www.sec.gov/Archives/edgar/data/60714/000119312516634750/d218339dex49.htm" TargetMode="External"/><Relationship Id="rId97" Type="http://schemas.openxmlformats.org/officeDocument/2006/relationships/hyperlink" Target="http://www.sec.gov/Archives/edgar/data/60714/000119312516634750/d218339dex410.htm" TargetMode="External"/><Relationship Id="rId98" Type="http://schemas.openxmlformats.org/officeDocument/2006/relationships/hyperlink" Target="http://www.sec.gov/Archives/edgar/data/60714/000119312516634750/d218339dex411.htm" TargetMode="External"/><Relationship Id="rId99" Type="http://schemas.openxmlformats.org/officeDocument/2006/relationships/hyperlink" Target="http://www.sec.gov/Archives/edgar/data/60714/000119312519000948/d684802dex104.htm" TargetMode="External"/><Relationship Id="rId100" Type="http://schemas.openxmlformats.org/officeDocument/2006/relationships/hyperlink" Target="http://www.sec.gov/Archives/edgar/data/60714/000119312519000948/d684802dex105.htm" TargetMode="External"/><Relationship Id="rId101" Type="http://schemas.openxmlformats.org/officeDocument/2006/relationships/hyperlink" Target="http://www.sec.gov/Archives/edgar/data/60714/000156459018024898/lxu-ex104_465.htm" TargetMode="External"/><Relationship Id="rId102" Type="http://schemas.openxmlformats.org/officeDocument/2006/relationships/hyperlink" Target="http://www.sec.gov/Archives/edgar/data/60714/000119312519000948/d684802dex101.htm" TargetMode="External"/><Relationship Id="rId103" Type="http://schemas.openxmlformats.org/officeDocument/2006/relationships/hyperlink" Target="http://www.sec.gov/Archives/edgar/data/60714/000156459016013735/lxu-ex1017_1306.htm" TargetMode="External"/><Relationship Id="rId104" Type="http://schemas.openxmlformats.org/officeDocument/2006/relationships/hyperlink" Target="http://www.sec.gov/Archives/edgar/data/60714/000119312516423587/d114611dex101.htm" TargetMode="External"/><Relationship Id="rId107" Type="http://schemas.openxmlformats.org/officeDocument/2006/relationships/hyperlink" Target="http://www.sec.gov/Archives/edgar/data/60714/000156459018024898/lxu-ex103_466.htm" TargetMode="External"/><Relationship Id="rId108" Type="http://schemas.openxmlformats.org/officeDocument/2006/relationships/hyperlink" Target="http://www.sec.gov/Archives/edgar/data/60714/000119312516423587/d114611dex102.htm" TargetMode="External"/><Relationship Id="rId109" Type="http://schemas.openxmlformats.org/officeDocument/2006/relationships/hyperlink" Target="http://www.sec.gov/Archives/edgar/data/60714/000156459016013735/lxu-ex1025_1714.htm" TargetMode="External"/><Relationship Id="rId110" Type="http://schemas.openxmlformats.org/officeDocument/2006/relationships/hyperlink" Target="http://www.sec.gov/Archives/edgar/data/60714/000156459018024898/lxu-ex105_464.htm" TargetMode="External"/><Relationship Id="rId111" Type="http://schemas.openxmlformats.org/officeDocument/2006/relationships/hyperlink" Target="http://www.sec.gov/Archives/edgar/data/60714/000119312519000948/d684802dex103.htm" TargetMode="External"/><Relationship Id="rId112" Type="http://schemas.openxmlformats.org/officeDocument/2006/relationships/hyperlink" Target="http://www.sec.gov/Archives/edgar/data/60714/000156459016013735/lxu-ex1026_1304.htm" TargetMode="External"/><Relationship Id="rId113" Type="http://schemas.openxmlformats.org/officeDocument/2006/relationships/hyperlink" Target="http://www.sec.gov/Archives/edgar/data/60714/000119312516478483/d150144dex101.htm" TargetMode="External"/><Relationship Id="rId114" Type="http://schemas.openxmlformats.org/officeDocument/2006/relationships/hyperlink" Target="http://www.sec.gov/Archives/edgar/data/60714/000119312516668250/d235105dex101.htm" TargetMode="External"/><Relationship Id="rId115" Type="http://schemas.openxmlformats.org/officeDocument/2006/relationships/hyperlink" Target="http://www.sec.gov/Archives/edgar/data/60714/000119312519036251/d683551dex101.htm" TargetMode="External"/><Relationship Id="rId116" Type="http://schemas.openxmlformats.org/officeDocument/2006/relationships/hyperlink" Target="http://www.sec.gov/Archives/edgar/data/60714/000119312519000948/d684802dex102.htm" TargetMode="External"/><Relationship Id="rId117" Type="http://schemas.openxmlformats.org/officeDocument/2006/relationships/hyperlink" Target="http://www.sec.gov/Archives/edgar/data/60714/000156459016013735/lxu-ex1028_2726.htm" TargetMode="External"/><Relationship Id="rId118" Type="http://schemas.openxmlformats.org/officeDocument/2006/relationships/hyperlink" Target="http://www.sec.gov/Archives/edgar/data/60714/000119312515346822/d84269dex101.htm" TargetMode="External"/><Relationship Id="rId119" Type="http://schemas.openxmlformats.org/officeDocument/2006/relationships/hyperlink" Target="http://www.sec.gov/Archives/edgar/data/60714/000119312515346822/d84269dex102.htm" TargetMode="External"/><Relationship Id="rId120" Type="http://schemas.openxmlformats.org/officeDocument/2006/relationships/hyperlink" Target="http://www.sec.gov/Archives/edgar/data/60714/000119312515397856/d22963dex105.htm" TargetMode="External"/><Relationship Id="rId123" Type="http://schemas.openxmlformats.org/officeDocument/2006/relationships/hyperlink" Target="http://www.sec.gov/Archives/edgar/data/60714/000006071408000052/ex_101.htm" TargetMode="External"/><Relationship Id="rId124" Type="http://schemas.openxmlformats.org/officeDocument/2006/relationships/hyperlink" Target="http://www.sec.gov/Archives/edgar/data/60714/000006071410000017/ex_102.htm" TargetMode="External"/><Relationship Id="rId125" Type="http://schemas.openxmlformats.org/officeDocument/2006/relationships/hyperlink" Target="http://www.sec.gov/Archives/edgar/data/60714/000119312513327258/d537679dex103.htm" TargetMode="External"/><Relationship Id="rId126" Type="http://schemas.openxmlformats.org/officeDocument/2006/relationships/hyperlink" Target="http://www.sec.gov/Archives/edgar/data/60714/000006071402000055/lsb8kex21.htm" TargetMode="External"/><Relationship Id="rId127" Type="http://schemas.openxmlformats.org/officeDocument/2006/relationships/hyperlink" Target="http://www.sec.gov/Archives/edgar/data/60714/000006071410000017/ex_101b.htm" TargetMode="External"/><Relationship Id="rId129" Type="http://schemas.openxmlformats.org/officeDocument/2006/relationships/hyperlink" Target="http://www.sec.gov/Archives/edgar/data/60714/000156459016013735/lxu-ex1049_2728.htm" TargetMode="External"/><Relationship Id="rId130" Type="http://schemas.openxmlformats.org/officeDocument/2006/relationships/hyperlink" Target="http://www.sec.gov/Archives/edgar/data/60714/000156459016023298/lxu-ex101_952.htm" TargetMode="External"/><Relationship Id="rId131" Type="http://schemas.openxmlformats.org/officeDocument/2006/relationships/hyperlink" Target="http://www.sec.gov/Archives/edgar/data/60714/000119312516589507/d158530dex101.htm" TargetMode="External"/><Relationship Id="rId132" Type="http://schemas.openxmlformats.org/officeDocument/2006/relationships/hyperlink" Target="http://www.sec.gov/Archives/edgar/data/60714/000119312512493957/d450320dex992.htm" TargetMode="External"/><Relationship Id="rId133" Type="http://schemas.openxmlformats.org/officeDocument/2006/relationships/hyperlink" Target="http://www.sec.gov/Archives/edgar/data/60714/000119312513336457/d584968dex101.htm" TargetMode="External"/><Relationship Id="rId134" Type="http://schemas.openxmlformats.org/officeDocument/2006/relationships/hyperlink" Target="http://www.sec.gov/Archives/edgar/data/60714/000119312513437582/d624909dex991.htm" TargetMode="External"/><Relationship Id="rId135" Type="http://schemas.openxmlformats.org/officeDocument/2006/relationships/hyperlink" Target="http://www.sec.gov/Archives/edgar/data/60714/000119312513437582/d624909dex992.htm" TargetMode="External"/><Relationship Id="rId136" Type="http://schemas.openxmlformats.org/officeDocument/2006/relationships/hyperlink" Target="http://www.sec.gov/Archives/edgar/data/60714/000119312514003788/d654209dex991.htm" TargetMode="External"/><Relationship Id="rId137" Type="http://schemas.openxmlformats.org/officeDocument/2006/relationships/hyperlink" Target="http://www.sec.gov/Archives/edgar/data/60714/000119312515352882/d70894dex101.htm" TargetMode="External"/><Relationship Id="rId140" Type="http://schemas.openxmlformats.org/officeDocument/2006/relationships/hyperlink" Target="http://www.sec.gov/Archives/edgar/data/60714/000119312515161375/d918969dex991.htm" TargetMode="External"/><Relationship Id="rId141" Type="http://schemas.openxmlformats.org/officeDocument/2006/relationships/hyperlink" Target="http://www.sec.gov/Archives/edgar/data/60714/000119312514223976/d737274dex991.htm" TargetMode="External"/><Relationship Id="rId142" Type="http://schemas.openxmlformats.org/officeDocument/2006/relationships/hyperlink" Target="http://www.sec.gov/Archives/edgar/data/60714/000119312514070134/d635174dex49.htm" TargetMode="External"/><Relationship Id="rId143" Type="http://schemas.openxmlformats.org/officeDocument/2006/relationships/hyperlink" Target="http://www.sec.gov/Archives/edgar/data/60714/000119312515225851/d943984dex991.htm" TargetMode="External"/><Relationship Id="rId144" Type="http://schemas.openxmlformats.org/officeDocument/2006/relationships/hyperlink" Target="http://www.sec.gov/Archives/edgar/data/60714/000119312515377933/d95941dex103.htm" TargetMode="External"/><Relationship Id="rId145" Type="http://schemas.openxmlformats.org/officeDocument/2006/relationships/hyperlink" Target="http://www.sec.gov/Archives/edgar/data/60714/000119312517014226/d331616dex101.htm" TargetMode="External"/><Relationship Id="rId146" Type="http://schemas.openxmlformats.org/officeDocument/2006/relationships/hyperlink" Target="http://www.sec.gov/Archives/edgar/data/60714/000119312518123715/d572977dex101.htm" TargetMode="External"/><Relationship Id="rId147" Type="http://schemas.openxmlformats.org/officeDocument/2006/relationships/hyperlink" Target="http://www.sec.gov/Archives/edgar/data/60714/000156459016013735/lxu-ex1072_2228.htm" TargetMode="External"/><Relationship Id="rId148" Type="http://schemas.openxmlformats.org/officeDocument/2006/relationships/hyperlink" Target="http://www.sec.gov/Archives/edgar/data/60714/000156459016013735/lxu-ex1073_2229.htm" TargetMode="External"/><Relationship Id="rId149" Type="http://schemas.openxmlformats.org/officeDocument/2006/relationships/hyperlink" Target="http://www.sec.gov/Archives/edgar/data/60714/000119312515377933/d95941dex101.htm" TargetMode="External"/><Relationship Id="rId150" Type="http://schemas.openxmlformats.org/officeDocument/2006/relationships/hyperlink" Target="http://www.sec.gov/Archives/edgar/data/60714/000119312515377933/d95941dex102.htm" TargetMode="External"/><Relationship Id="rId153" Type="http://schemas.openxmlformats.org/officeDocument/2006/relationships/hyperlink" Target="http://www.sec.gov/Archives/edgar/data/60714/000119312515377933/d95941dex104.htm" TargetMode="External"/><Relationship Id="rId154" Type="http://schemas.openxmlformats.org/officeDocument/2006/relationships/hyperlink" Target="http://www.sec.gov/Archives/edgar/data/60714/000119312518131457/d576542dex101.htm" TargetMode="External"/><Relationship Id="rId155" Type="http://schemas.openxmlformats.org/officeDocument/2006/relationships/hyperlink" Target="http://www.sec.gov/Archives/edgar/data/60714/000119312515377933/d95941dex105.htm" TargetMode="External"/><Relationship Id="rId156" Type="http://schemas.openxmlformats.org/officeDocument/2006/relationships/hyperlink" Target="http://www.sec.gov/Archives/edgar/data/60714/000119312515397856/d22963dex101.htm" TargetMode="External"/><Relationship Id="rId157" Type="http://schemas.openxmlformats.org/officeDocument/2006/relationships/hyperlink" Target="http://www.sec.gov/Archives/edgar/data/60714/000119312515397856/d22963dex102.htm" TargetMode="External"/><Relationship Id="rId158" Type="http://schemas.openxmlformats.org/officeDocument/2006/relationships/hyperlink" Target="http://www.sec.gov/Archives/edgar/data/60714/000119312515397856/d22963dex103.htm" TargetMode="External"/><Relationship Id="rId159" Type="http://schemas.openxmlformats.org/officeDocument/2006/relationships/hyperlink" Target="http://www.sec.gov/Archives/edgar/data/60714/000119312515397856/d22963dex104.htm" TargetMode="External"/><Relationship Id="rId160" Type="http://schemas.openxmlformats.org/officeDocument/2006/relationships/hyperlink" Target="http://www.sec.gov/Archives/edgar/data/60714/000119312516680812/d242514dex101.htm" TargetMode="External"/><Relationship Id="rId161" Type="http://schemas.openxmlformats.org/officeDocument/2006/relationships/hyperlink" Target="http://www.sec.gov/Archives/edgar/data/60714/000119312518303142/d635267dex101.htm" TargetMode="External"/><Relationship Id="rId162" Type="http://schemas.openxmlformats.org/officeDocument/2006/relationships/hyperlink" Target="http://www.sec.gov/Archives/edgar/data/60714/000119312517170269/d384507dex101.htm" TargetMode="External"/><Relationship Id="rId163" Type="http://schemas.openxmlformats.org/officeDocument/2006/relationships/hyperlink" Target="http://www.sec.gov/Archives/edgar/data/60714/000119312517220264/d421413dex101.htm" TargetMode="External"/><Relationship Id="rId164" Type="http://schemas.openxmlformats.org/officeDocument/2006/relationships/hyperlink" Target="http://www.sec.gov/Archives/edgar/data/60714/000119312517325152/d458883dex101.htm" TargetMode="External"/><Relationship Id="rId165" Type="http://schemas.openxmlformats.org/officeDocument/2006/relationships/hyperlink" Target="http://www.sec.gov/Archives/edgar/data/60714/000119312518303142/d63526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2019-12-28T16:15:54Z</dcterms:created>
  <dcterms:modified xsi:type="dcterms:W3CDTF">2019-12-28T16:15:54Z</dcterms:modified>
</cp:coreProperties>
</file>