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48"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18"/>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-213995</wp:posOffset>
            </wp:positionV>
            <wp:extent cx="457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7400" w:type="dxa"/>
            <w:vAlign w:val="bottom"/>
          </w:tcPr>
          <w:p>
            <w:pPr>
              <w:jc w:val="center"/>
              <w:ind w:right="2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00" w:type="dxa"/>
            <w:vAlign w:val="bottom"/>
          </w:tcPr>
          <w:p>
            <w:pPr>
              <w:ind w:left="294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4" w:lineRule="exact"/>
        <w:rPr>
          <w:sz w:val="24"/>
          <w:szCs w:val="24"/>
          <w:color w:val="auto"/>
        </w:rPr>
      </w:pPr>
    </w:p>
    <w:p>
      <w:pPr>
        <w:jc w:val="both"/>
        <w:spacing w:after="0" w:line="28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30,300,571 shares as of July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3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Risk Factors</w:t>
              </w:r>
            </w:hyperlink>
          </w:p>
        </w:tc>
        <w:tc>
          <w:tcPr>
            <w:tcW w:w="87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Unregistered Sales of Equity Securities and Use of Proceeds</w:t>
              </w:r>
            </w:hyperlink>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Mining Safety Disclosures</w:t>
              </w:r>
            </w:hyperlink>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Other Information</w:t>
              </w:r>
            </w:hyperlink>
          </w:p>
        </w:tc>
        <w:tc>
          <w:tcPr>
            <w:tcW w:w="600" w:type="dxa"/>
            <w:vAlign w:val="bottom"/>
            <w:tcBorders>
              <w:top w:val="single" w:sz="8" w:color="0000EE"/>
            </w:tcBorders>
            <w:gridSpan w:val="4"/>
          </w:tcPr>
          <w:p>
            <w:pPr>
              <w:spacing w:after="0"/>
              <w:rPr>
                <w:sz w:val="24"/>
                <w:szCs w:val="24"/>
                <w:color w:val="auto"/>
              </w:rPr>
            </w:pPr>
          </w:p>
        </w:tc>
        <w:tc>
          <w:tcPr>
            <w:tcW w:w="77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84"/>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June 30, 2021 is unaudited)</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2"/>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17,625</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42,929</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w:t>
            </w:r>
          </w:p>
        </w:tc>
      </w:tr>
      <w:tr>
        <w:trPr>
          <w:trHeight w:val="223"/>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42,551</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17,778</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25,288</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51,192</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129,580</w:t>
            </w:r>
          </w:p>
        </w:tc>
        <w:tc>
          <w:tcPr>
            <w:tcW w:w="120" w:type="dxa"/>
            <w:vAlign w:val="bottom"/>
            <w:shd w:val="clear" w:color="auto" w:fill="CFF0FC"/>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891,198</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26,403</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6,121</w:t>
            </w: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32,524</w:t>
            </w:r>
          </w:p>
        </w:tc>
        <w:tc>
          <w:tcPr>
            <w:tcW w:w="1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1,053,302</w:t>
            </w:r>
          </w:p>
        </w:tc>
        <w:tc>
          <w:tcPr>
            <w:tcW w:w="12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2021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31,</w:t>
            </w:r>
          </w:p>
        </w:tc>
      </w:tr>
      <w:tr>
        <w:trPr>
          <w:trHeight w:val="230"/>
        </w:trPr>
        <w:tc>
          <w:tcPr>
            <w:tcW w:w="7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right"/>
              <w:ind w:right="1380"/>
              <w:spacing w:after="0"/>
              <w:rPr>
                <w:sz w:val="20"/>
                <w:szCs w:val="20"/>
                <w:color w:val="auto"/>
              </w:rPr>
            </w:pPr>
            <w:r>
              <w:rPr>
                <w:rFonts w:ascii="Arial" w:cs="Arial" w:eastAsia="Arial" w:hAnsi="Arial"/>
                <w:sz w:val="16"/>
                <w:szCs w:val="16"/>
                <w:color w:val="auto"/>
              </w:rPr>
              <w:t>(In Thousands)</w:t>
            </w:r>
          </w:p>
        </w:tc>
      </w:tr>
      <w:tr>
        <w:trPr>
          <w:trHeight w:val="23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13,576</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107,295</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461,459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467,389</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$297,706,000 ($277,982,000 at December 31, 2020)</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292,849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272,101</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aggregate liquidation preference of $100</w:t>
            </w:r>
          </w:p>
        </w:tc>
        <w:tc>
          <w:tcPr>
            <w:tcW w:w="3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shares issued and outstanding; aggregate liquidation preference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$3,385,000 ($3,265,000 at December 31, 2020)</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$1,342,000 ($1,312,000 at December 31, 2020)</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Common stock, $.10 par value; 75,000,000 shares authorized,</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31,283,210 shares issued</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192,980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198,215</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(51,844)</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(41,487)</w:t>
            </w:r>
          </w:p>
        </w:tc>
      </w:tr>
      <w:tr>
        <w:trPr>
          <w:trHeight w:val="223"/>
        </w:trPr>
        <w:tc>
          <w:tcPr>
            <w:tcW w:w="7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147,264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982,639 shares (2,074,565 shares at December 31, 2020)</w:t>
            </w: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141,015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149,643</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1,049,485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7"/>
          </w:tcPr>
          <w:p>
            <w:pPr>
              <w:jc w:val="right"/>
              <w:ind w:right="60"/>
              <w:spacing w:after="0"/>
              <w:rPr>
                <w:sz w:val="20"/>
                <w:szCs w:val="20"/>
                <w:color w:val="auto"/>
              </w:rPr>
            </w:pPr>
            <w:r>
              <w:rPr>
                <w:rFonts w:ascii="Arial" w:cs="Arial" w:eastAsia="Arial" w:hAnsi="Arial"/>
                <w:sz w:val="16"/>
                <w:szCs w:val="16"/>
                <w:color w:val="auto"/>
                <w:w w:val="90"/>
              </w:rPr>
              <w:t>(In Thousands, Except Per Share Amounts)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140,696</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105,033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238,812</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188,444</w:t>
            </w:r>
          </w:p>
        </w:tc>
        <w:tc>
          <w:tcPr>
            <w:tcW w:w="100" w:type="dxa"/>
            <w:vAlign w:val="bottom"/>
            <w:shd w:val="clear" w:color="auto" w:fill="CFF0FC"/>
          </w:tcPr>
          <w:p>
            <w:pPr>
              <w:spacing w:after="0"/>
              <w:rPr>
                <w:sz w:val="20"/>
                <w:szCs w:val="20"/>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195,744</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166,872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25,987</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25,955</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(803)</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(loss) before benefit for income taxes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(1,638)</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Dividends on Series E redeemable preferred stock</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Accretion of Series E redeemable preferred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participating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(37,972)</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3"/>
                <w:szCs w:val="23"/>
                <w:color w:val="auto"/>
              </w:rPr>
            </w:pP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(0.37)</w:t>
            </w: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41"/>
              <w:spacing w:after="0"/>
              <w:rPr>
                <w:sz w:val="20"/>
                <w:szCs w:val="20"/>
                <w:color w:val="auto"/>
              </w:rPr>
            </w:pPr>
            <w:r>
              <w:rPr>
                <w:rFonts w:ascii="Arial" w:cs="Arial" w:eastAsia="Arial" w:hAnsi="Arial"/>
                <w:sz w:val="18"/>
                <w:szCs w:val="18"/>
                <w:color w:val="auto"/>
                <w:w w:val="90"/>
              </w:rPr>
              <w:t>Treasury</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Non-</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3"/>
              </w:rPr>
              <w:t>Common</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3"/>
              </w:rPr>
              <w:t>Capital in</w:t>
            </w: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940" w:type="dxa"/>
            <w:vAlign w:val="bottom"/>
            <w:gridSpan w:val="2"/>
          </w:tcPr>
          <w:p>
            <w:pPr>
              <w:jc w:val="center"/>
              <w:ind w:right="141"/>
              <w:spacing w:after="0"/>
              <w:rPr>
                <w:sz w:val="20"/>
                <w:szCs w:val="20"/>
                <w:color w:val="auto"/>
              </w:rPr>
            </w:pPr>
            <w:r>
              <w:rPr>
                <w:rFonts w:ascii="Arial" w:cs="Arial" w:eastAsia="Arial" w:hAnsi="Arial"/>
                <w:sz w:val="18"/>
                <w:szCs w:val="18"/>
                <w:color w:val="auto"/>
                <w:w w:val="93"/>
              </w:rPr>
              <w:t>Stock-</w:t>
            </w:r>
          </w:p>
        </w:tc>
        <w:tc>
          <w:tcPr>
            <w:tcW w:w="1100" w:type="dxa"/>
            <w:vAlign w:val="bottom"/>
            <w:gridSpan w:val="3"/>
          </w:tcPr>
          <w:p>
            <w:pPr>
              <w:spacing w:after="0"/>
              <w:rPr>
                <w:sz w:val="20"/>
                <w:szCs w:val="20"/>
                <w:color w:val="auto"/>
              </w:rPr>
            </w:pPr>
            <w:r>
              <w:rPr>
                <w:rFonts w:ascii="Arial" w:cs="Arial" w:eastAsia="Arial" w:hAnsi="Arial"/>
                <w:sz w:val="18"/>
                <w:szCs w:val="18"/>
                <w:color w:val="auto"/>
              </w:rPr>
              <w:t>Redeemable</w:t>
            </w:r>
          </w:p>
        </w:tc>
        <w:tc>
          <w:tcPr>
            <w:tcW w:w="120" w:type="dxa"/>
            <w:vAlign w:val="bottom"/>
          </w:tcPr>
          <w:p>
            <w:pPr>
              <w:spacing w:after="0"/>
              <w:rPr>
                <w:sz w:val="18"/>
                <w:szCs w:val="18"/>
                <w:color w:val="auto"/>
              </w:rPr>
            </w:pPr>
          </w:p>
        </w:tc>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Stock</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Excess of</w:t>
            </w: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Earnings</w:t>
            </w: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Treasury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940" w:type="dxa"/>
            <w:vAlign w:val="bottom"/>
            <w:gridSpan w:val="2"/>
          </w:tcPr>
          <w:p>
            <w:pPr>
              <w:jc w:val="center"/>
              <w:ind w:right="141"/>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Preferred</w:t>
            </w:r>
          </w:p>
        </w:tc>
        <w:tc>
          <w:tcPr>
            <w:tcW w:w="120" w:type="dxa"/>
            <w:vAlign w:val="bottom"/>
          </w:tcPr>
          <w:p>
            <w:pPr>
              <w:spacing w:after="0"/>
              <w:rPr>
                <w:sz w:val="18"/>
                <w:szCs w:val="18"/>
                <w:color w:val="auto"/>
              </w:rPr>
            </w:pPr>
          </w:p>
        </w:tc>
        <w:tc>
          <w:tcPr>
            <w:tcW w:w="600" w:type="dxa"/>
            <w:vAlign w:val="bottom"/>
          </w:tcPr>
          <w:p>
            <w:pPr>
              <w:jc w:val="center"/>
              <w:ind w:right="31"/>
              <w:spacing w:after="0"/>
              <w:rPr>
                <w:sz w:val="20"/>
                <w:szCs w:val="20"/>
                <w:color w:val="auto"/>
              </w:rPr>
            </w:pPr>
            <w:r>
              <w:rPr>
                <w:rFonts w:ascii="Arial" w:cs="Arial" w:eastAsia="Arial" w:hAnsi="Arial"/>
                <w:sz w:val="18"/>
                <w:szCs w:val="18"/>
                <w:color w:val="auto"/>
                <w:w w:val="85"/>
              </w:rPr>
              <w:t>Par</w:t>
            </w:r>
          </w:p>
        </w:tc>
        <w:tc>
          <w:tcPr>
            <w:tcW w:w="2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Par</w:t>
            </w: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w w:val="90"/>
              </w:rPr>
              <w:t>Stock-</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940" w:type="dxa"/>
            <w:vAlign w:val="bottom"/>
            <w:gridSpan w:val="2"/>
          </w:tcPr>
          <w:p>
            <w:pPr>
              <w:jc w:val="center"/>
              <w:ind w:right="141"/>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20"/>
                <w:szCs w:val="20"/>
                <w:color w:val="auto"/>
              </w:rPr>
            </w:pPr>
          </w:p>
        </w:tc>
        <w:tc>
          <w:tcPr>
            <w:tcW w:w="600" w:type="dxa"/>
            <w:vAlign w:val="bottom"/>
          </w:tcPr>
          <w:p>
            <w:pPr>
              <w:jc w:val="center"/>
              <w:ind w:right="31"/>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Deficit)</w:t>
            </w:r>
          </w:p>
        </w:tc>
        <w:tc>
          <w:tcPr>
            <w:tcW w:w="840" w:type="dxa"/>
            <w:vAlign w:val="bottom"/>
            <w:gridSpan w:val="3"/>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207"/>
        </w:trPr>
        <w:tc>
          <w:tcPr>
            <w:tcW w:w="34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right"/>
              <w:ind w:right="480"/>
              <w:spacing w:after="0"/>
              <w:rPr>
                <w:sz w:val="20"/>
                <w:szCs w:val="20"/>
                <w:color w:val="auto"/>
              </w:rPr>
            </w:pPr>
            <w:r>
              <w:rPr>
                <w:rFonts w:ascii="Arial" w:cs="Arial" w:eastAsia="Arial" w:hAnsi="Arial"/>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$ 198,215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(41,487)</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w w:val="95"/>
              </w:rPr>
              <w:t>(13,213)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$ 149,643</w:t>
            </w:r>
          </w:p>
        </w:tc>
        <w:tc>
          <w:tcPr>
            <w:tcW w:w="80" w:type="dxa"/>
            <w:vAlign w:val="bottom"/>
            <w:shd w:val="clear" w:color="auto" w:fill="CFF0FC"/>
          </w:tcPr>
          <w:p>
            <w:pPr>
              <w:spacing w:after="0"/>
              <w:rPr>
                <w:sz w:val="20"/>
                <w:szCs w:val="20"/>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(13,279)</w:t>
            </w: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(9,511)</w:t>
            </w: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(511)</w:t>
            </w: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(18)</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$ 193,618</w:t>
            </w:r>
          </w:p>
        </w:tc>
        <w:tc>
          <w:tcPr>
            <w:tcW w:w="2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(64,788)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$ 127,037</w:t>
            </w:r>
          </w:p>
        </w:tc>
        <w:tc>
          <w:tcPr>
            <w:tcW w:w="80" w:type="dxa"/>
            <w:vAlign w:val="bottom"/>
          </w:tcPr>
          <w:p>
            <w:pPr>
              <w:spacing w:after="0"/>
              <w:rPr>
                <w:sz w:val="19"/>
                <w:szCs w:val="19"/>
                <w:color w:val="auto"/>
              </w:rPr>
            </w:pPr>
          </w:p>
        </w:tc>
      </w:tr>
      <w:tr>
        <w:trPr>
          <w:trHeight w:val="229"/>
        </w:trPr>
        <w:tc>
          <w:tcPr>
            <w:tcW w:w="3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23,670</w:t>
            </w:r>
          </w:p>
        </w:tc>
        <w:tc>
          <w:tcPr>
            <w:tcW w:w="80" w:type="dxa"/>
            <w:vAlign w:val="bottom"/>
          </w:tcPr>
          <w:p>
            <w:pPr>
              <w:spacing w:after="0"/>
              <w:rPr>
                <w:sz w:val="19"/>
                <w:szCs w:val="19"/>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(10,213)</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(10,213)</w:t>
            </w: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Issuance of unrestricted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(28)</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63"/>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$ 192,980</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(51,844)</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$ 141,015</w:t>
            </w:r>
          </w:p>
        </w:tc>
        <w:tc>
          <w:tcPr>
            <w:tcW w:w="80" w:type="dxa"/>
            <w:vAlign w:val="bottom"/>
            <w:tcBorders>
              <w:bottom w:val="single" w:sz="8" w:color="CFF0FC"/>
            </w:tcBorders>
          </w:tcPr>
          <w:p>
            <w:pPr>
              <w:spacing w:after="0"/>
              <w:rPr>
                <w:sz w:val="22"/>
                <w:szCs w:val="22"/>
                <w:color w:val="auto"/>
              </w:rPr>
            </w:pPr>
          </w:p>
        </w:tc>
      </w:tr>
      <w:tr>
        <w:trPr>
          <w:trHeight w:val="210"/>
        </w:trPr>
        <w:tc>
          <w:tcPr>
            <w:tcW w:w="34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$ 196,833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w w:val="95"/>
              </w:rPr>
              <w:t>(13,266)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$ 247,327</w:t>
            </w:r>
          </w:p>
        </w:tc>
        <w:tc>
          <w:tcPr>
            <w:tcW w:w="80" w:type="dxa"/>
            <w:vAlign w:val="bottom"/>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(19,452)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(19,452)</w:t>
            </w: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(8,307)</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(8,307)</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(504)</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$ 196,972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(12,974)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$ 219,495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(365)</w:t>
            </w: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(8,689)</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(8,689)</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(505)</w:t>
            </w: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$ 197,566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(12,884</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$ 210,620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000" w:type="dxa"/>
            <w:vAlign w:val="bottom"/>
            <w:vMerge w:val="restart"/>
          </w:tcPr>
          <w:p>
            <w:pPr>
              <w:jc w:val="right"/>
              <w:ind w:right="510"/>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color w:val="auto"/>
                <w:w w:val="92"/>
              </w:rPr>
              <w:t>(In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10,391</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extinguishment of debt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(10,000)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33,725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(23,369)</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insurance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Precious metals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 and other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30,581</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(14,849)</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(14,549)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debt facility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12,000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revolving debt facility</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(12,000)</w:t>
            </w: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other long-term debt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other long-term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(5,520)</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short-term financing</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(9,060)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(14,671)</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16,264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17,625</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2020 (“2020 Form 10-K”), filed with the Securities and Exchange Commission (“SEC”) on February 25, 2021.</w:t>
      </w:r>
    </w:p>
    <w:p>
      <w:pPr>
        <w:spacing w:after="0" w:line="1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our opinion, the unaudited condensed consolidated financial statements of the Company as of June 30, 2021 and for the three and six months ended June 30, 2021 and 2020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2020 Form 10-K.</w:t>
      </w:r>
    </w:p>
    <w:p>
      <w:pPr>
        <w:spacing w:after="0" w:line="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reduce income tax expense for investment tax credits in the period the credit arises and is earned.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Redeemable Preferred Stocks </w:t>
      </w:r>
      <w:r>
        <w:rPr>
          <w:rFonts w:ascii="Arial" w:cs="Arial" w:eastAsia="Arial" w:hAnsi="Arial"/>
          <w:sz w:val="18"/>
          <w:szCs w:val="18"/>
          <w:color w:val="auto"/>
        </w:rPr>
        <w:t>– Our redeemable preferred stocks that are redeemable outside of our control are classified as temporary/mezzanine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 Also, see discussion in Note 12 – Subsequent Events.</w:t>
      </w:r>
    </w:p>
    <w:p>
      <w:pPr>
        <w:spacing w:after="0" w:line="81"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and December 31, 2020,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2021, the compensation committee of our Board of Directors approved the grant of 614,999 shares of time-based restricted stock and 219,084 shares of performance-based restricted stock to certain executives under our 2016 Long Term Incentive Plan. The time-based restricted stock shares will vest at the end of each one-year period at the rate of one-third per year for three years, vesting 100% at the end of three years. The performance-based restricted stock will vest at the end of three years, subject to achievement of certain performance metrics. The unvested restricted shares carry dividend and voting rights contingent upon the vesting and lapsing of restriction. Sales of these shares are restricted prior to the date of vesting. Pursuant to the terms of the underlying restricted stock agreements, unvested restricted shares will immediately vest upon the occurrence of a change in control (as defined by agreement), termination without cause or death.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3"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5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(Loss) per Common Share </w:t>
      </w:r>
      <w:r>
        <w:rPr>
          <w:rFonts w:ascii="Arial" w:cs="Arial" w:eastAsia="Arial" w:hAnsi="Arial"/>
          <w:sz w:val="16"/>
          <w:szCs w:val="16"/>
          <w:color w:val="auto"/>
        </w:rPr>
        <w:t>– Net income (loss) attributable to common stockholders is computed by adjusting net income (loss) by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issuable common shares (unvested restricted stock), if applicable. For periods we earn net income, a proportional share of net income is allocated to participating securities, if applicable and dilutive,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ASU 2019-12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2019, the FASB issued ASU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On January 1, 2021, we adopted ASU 2019-12, which did not have a material impact on our condensed consolidated financial statements or related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2020-06 </w:t>
      </w:r>
      <w:r>
        <w:rPr>
          <w:rFonts w:ascii="Arial" w:cs="Arial" w:eastAsia="Arial" w:hAnsi="Arial"/>
          <w:sz w:val="18"/>
          <w:szCs w:val="18"/>
          <w:color w:val="auto"/>
        </w:rPr>
        <w:t>- In August 2020, the FASB issued ASU 2020-06,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Debt-Debt with Conversion and other Options (Subtopic 470-20) and Derivatives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Hedging – Contracts in Entity’s own Equity (Subtopic 815-40)</w:t>
      </w:r>
      <w:r>
        <w:rPr>
          <w:rFonts w:ascii="Arial" w:cs="Arial" w:eastAsia="Arial" w:hAnsi="Arial"/>
          <w:sz w:val="18"/>
          <w:szCs w:val="18"/>
          <w:color w:val="252525"/>
        </w:rPr>
        <w:t>. This ASU</w:t>
      </w:r>
      <w:r>
        <w:rPr>
          <w:rFonts w:ascii="Arial" w:cs="Arial" w:eastAsia="Arial" w:hAnsi="Arial"/>
          <w:sz w:val="18"/>
          <w:szCs w:val="18"/>
          <w:i w:val="1"/>
          <w:iCs w:val="1"/>
          <w:color w:val="252525"/>
        </w:rPr>
        <w:t xml:space="preserve"> </w:t>
      </w:r>
      <w:r>
        <w:rPr>
          <w:rFonts w:ascii="Arial" w:cs="Arial" w:eastAsia="Arial" w:hAnsi="Arial"/>
          <w:sz w:val="18"/>
          <w:szCs w:val="18"/>
          <w:color w:val="000000"/>
        </w:rPr>
        <w:t>addresses the complexity associated with applying GAAP to certain financial</w:t>
      </w:r>
      <w:r>
        <w:rPr>
          <w:rFonts w:ascii="Arial" w:cs="Arial" w:eastAsia="Arial" w:hAnsi="Arial"/>
          <w:sz w:val="18"/>
          <w:szCs w:val="18"/>
          <w:i w:val="1"/>
          <w:iCs w:val="1"/>
          <w:color w:val="252525"/>
        </w:rPr>
        <w:t xml:space="preserve"> </w:t>
      </w:r>
      <w:r>
        <w:rPr>
          <w:rFonts w:ascii="Arial" w:cs="Arial" w:eastAsia="Arial" w:hAnsi="Arial"/>
          <w:sz w:val="18"/>
          <w:szCs w:val="18"/>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is permitted beginning January 1, 2021. We are evaluating the timing and the effect of our pending adoption of this ASU on our consolidated financial statements and related disclosures at this time.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Income (loss) Per Common Share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24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11"/>
          </w:tcPr>
          <w:p>
            <w:pPr>
              <w:jc w:val="right"/>
              <w:ind w:right="820"/>
              <w:spacing w:after="0"/>
              <w:rPr>
                <w:sz w:val="20"/>
                <w:szCs w:val="20"/>
                <w:color w:val="auto"/>
              </w:rPr>
            </w:pPr>
            <w:r>
              <w:rPr>
                <w:rFonts w:ascii="Arial" w:cs="Arial" w:eastAsia="Arial" w:hAnsi="Arial"/>
                <w:sz w:val="16"/>
                <w:szCs w:val="16"/>
                <w:color w:val="auto"/>
              </w:rPr>
              <w:t>(Dollars In Thousands, Except Per Share Amounts)</w:t>
            </w:r>
          </w:p>
        </w:tc>
      </w:tr>
      <w:tr>
        <w:trPr>
          <w:trHeight w:val="233"/>
        </w:trPr>
        <w:tc>
          <w:tcPr>
            <w:tcW w:w="580" w:type="dxa"/>
            <w:vAlign w:val="bottom"/>
          </w:tcPr>
          <w:p>
            <w:pPr>
              <w:spacing w:after="0"/>
              <w:rPr>
                <w:sz w:val="20"/>
                <w:szCs w:val="20"/>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23,670</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(19,817)</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income (loss) per common share: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(10,213)</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(8,689)</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(19,724)</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(16,996)</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30"/>
        </w:trPr>
        <w:tc>
          <w:tcPr>
            <w:tcW w:w="58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(1,009)</w:t>
            </w:r>
          </w:p>
        </w:tc>
      </w:tr>
      <w:tr>
        <w:trPr>
          <w:trHeight w:val="230"/>
        </w:trPr>
        <w:tc>
          <w:tcPr>
            <w:tcW w:w="58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Net income attributable to participating securities</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(9,634)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(10,507)</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(37,972)</w:t>
            </w:r>
          </w:p>
        </w:tc>
      </w:tr>
      <w:tr>
        <w:trPr>
          <w:trHeight w:val="215"/>
        </w:trPr>
        <w:tc>
          <w:tcPr>
            <w:tcW w:w="5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Dividends on Series B and Series D Preferred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assumed to be converted, if dilutive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(9,634)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(10,507)</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(37,972)</w:t>
            </w:r>
          </w:p>
        </w:tc>
      </w:tr>
      <w:tr>
        <w:trPr>
          <w:trHeight w:val="20"/>
        </w:trPr>
        <w:tc>
          <w:tcPr>
            <w:tcW w:w="58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share - weighted- average shares (1)</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28,485,251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28,198,963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28,414,863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28,187,584</w:t>
            </w:r>
          </w:p>
        </w:tc>
        <w:tc>
          <w:tcPr>
            <w:tcW w:w="10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ind w:left="740"/>
              <w:spacing w:after="0"/>
              <w:rPr>
                <w:sz w:val="20"/>
                <w:szCs w:val="20"/>
                <w:color w:val="auto"/>
              </w:rPr>
            </w:pPr>
            <w:r>
              <w:rPr>
                <w:rFonts w:ascii="Arial" w:cs="Arial" w:eastAsia="Arial" w:hAnsi="Arial"/>
                <w:sz w:val="18"/>
                <w:szCs w:val="18"/>
                <w:color w:val="auto"/>
              </w:rPr>
              <w:t>Convertible preferred stocks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Unvested restricted stock and stock units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Dilutive potential common shares</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1,658,450</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Denominator for diluted net income (loss) per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80" w:type="dxa"/>
            <w:vAlign w:val="bottom"/>
          </w:tcPr>
          <w:p>
            <w:pPr>
              <w:spacing w:after="0"/>
              <w:rPr>
                <w:sz w:val="23"/>
                <w:szCs w:val="23"/>
                <w:color w:val="auto"/>
              </w:rPr>
            </w:pPr>
          </w:p>
        </w:tc>
        <w:tc>
          <w:tcPr>
            <w:tcW w:w="52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30,143,701</w:t>
            </w:r>
          </w:p>
        </w:tc>
        <w:tc>
          <w:tcPr>
            <w:tcW w:w="2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28,198,963</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28,414,863</w:t>
            </w: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28,187,584</w:t>
            </w:r>
          </w:p>
        </w:tc>
        <w:tc>
          <w:tcPr>
            <w:tcW w:w="100" w:type="dxa"/>
            <w:vAlign w:val="bottom"/>
            <w:tcBorders>
              <w:bottom w:val="single" w:sz="8" w:color="CFF0FC"/>
            </w:tcBorders>
          </w:tcPr>
          <w:p>
            <w:pPr>
              <w:spacing w:after="0"/>
              <w:rPr>
                <w:sz w:val="23"/>
                <w:szCs w:val="23"/>
                <w:color w:val="auto"/>
              </w:rPr>
            </w:pPr>
          </w:p>
        </w:tc>
      </w:tr>
      <w:tr>
        <w:trPr>
          <w:trHeight w:val="210"/>
        </w:trPr>
        <w:tc>
          <w:tcPr>
            <w:tcW w:w="580" w:type="dxa"/>
            <w:vAlign w:val="bottom"/>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8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0"/>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36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Six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60" w:type="dxa"/>
            <w:vAlign w:val="bottom"/>
            <w:gridSpan w:val="2"/>
          </w:tcPr>
          <w:p>
            <w:pPr>
              <w:jc w:val="right"/>
              <w:ind w:right="2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8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1,308,881</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1,662,514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1,257,869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840" w:type="dxa"/>
            <w:vAlign w:val="bottom"/>
          </w:tcPr>
          <w:p>
            <w:pPr>
              <w:spacing w:after="0"/>
              <w:rPr>
                <w:sz w:val="19"/>
                <w:szCs w:val="19"/>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 options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66,431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2,653,193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2,962,373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2,602,181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7"/>
          </w:tcPr>
          <w:p>
            <w:pPr>
              <w:jc w:val="right"/>
              <w:ind w:right="92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18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revenue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37,913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noncurrent portion</w:t>
            </w: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700"/>
              <w:spacing w:after="0"/>
              <w:rPr>
                <w:sz w:val="20"/>
                <w:szCs w:val="20"/>
                <w:color w:val="auto"/>
              </w:rPr>
            </w:pPr>
            <w:r>
              <w:rPr>
                <w:rFonts w:ascii="Arial" w:cs="Arial" w:eastAsia="Arial" w:hAnsi="Arial"/>
                <w:sz w:val="18"/>
                <w:szCs w:val="18"/>
                <w:color w:val="auto"/>
              </w:rPr>
              <w:t>Current portion of accrued and other liabilities</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30,541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June 30,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7"/>
          </w:tcPr>
          <w:p>
            <w:pPr>
              <w:jc w:val="right"/>
              <w:ind w:right="94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3.75% (A)</w:t>
            </w:r>
          </w:p>
        </w:tc>
        <w:tc>
          <w:tcPr>
            <w:tcW w:w="220" w:type="dxa"/>
            <w:vAlign w:val="bottom"/>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Secured Loan Agreement due 2025, with an interest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2025, with an interest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(E)</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Unsecured Loan Agreement due 2022 (F)</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costs</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(6,810)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470,508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484,190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700"/>
              <w:spacing w:after="0"/>
              <w:rPr>
                <w:sz w:val="20"/>
                <w:szCs w:val="20"/>
                <w:color w:val="auto"/>
              </w:rPr>
            </w:pPr>
            <w:r>
              <w:rPr>
                <w:rFonts w:ascii="Arial" w:cs="Arial" w:eastAsia="Arial" w:hAnsi="Arial"/>
                <w:sz w:val="18"/>
                <w:szCs w:val="18"/>
                <w:color w:val="auto"/>
              </w:rPr>
              <w:t>Long-term debt due after one year, net</w:t>
            </w:r>
          </w:p>
        </w:tc>
        <w:tc>
          <w:tcPr>
            <w:tcW w:w="2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8"/>
        <w:spacing w:after="0" w:line="270" w:lineRule="auto"/>
        <w:tabs>
          <w:tab w:leader="none" w:pos="307"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of which reduces the available for borrowing under the Working Capital Revolver Loan. At June 30, 2021, our available borrowings under our Working Capital Revolver Loan were approximately $50.3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ind w:right="20" w:firstLine="8"/>
        <w:spacing w:after="0" w:line="342" w:lineRule="auto"/>
        <w:tabs>
          <w:tab w:leader="none" w:pos="285"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On April 25, 2018, LSB completed the issuance and sale of $400 million aggregate principal amount of its 9.625% Senior Secured Notes due 2023 (the “Notes”), pursuant to an indenture (the “Indenture”), dated as of April 25, 2018. The Notes were issued at a price equal to 99.509% of their face value.</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May 1, 2023</w:t>
      </w:r>
      <w:r>
        <w:rPr>
          <w:rFonts w:ascii="Arial" w:cs="Arial" w:eastAsia="Arial" w:hAnsi="Arial"/>
          <w:sz w:val="18"/>
          <w:szCs w:val="18"/>
          <w:color w:val="0000FF"/>
        </w:rPr>
        <w:t>.</w:t>
      </w:r>
      <w:r>
        <w:rPr>
          <w:rFonts w:ascii="Arial" w:cs="Arial" w:eastAsia="Arial" w:hAnsi="Arial"/>
          <w:sz w:val="18"/>
          <w:szCs w:val="18"/>
          <w:color w:val="auto"/>
        </w:rPr>
        <w:t xml:space="preserve"> Interest is to be paid semiannually in arrears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jc w:val="both"/>
        <w:ind w:firstLine="8"/>
        <w:spacing w:after="0" w:line="263" w:lineRule="auto"/>
        <w:tabs>
          <w:tab w:leader="none" w:pos="303"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financing arrangement with an affiliate of LSB Funding L.L.C. (“LSB Funding”). Principal and interest are payable in 48 equal monthly installments with a final balloon payment of approximately $3 million due in June 2023.</w:t>
      </w:r>
    </w:p>
    <w:p>
      <w:pPr>
        <w:spacing w:after="0" w:line="75" w:lineRule="exact"/>
        <w:rPr>
          <w:rFonts w:ascii="Arial" w:cs="Arial" w:eastAsia="Arial" w:hAnsi="Arial"/>
          <w:sz w:val="18"/>
          <w:szCs w:val="18"/>
          <w:b w:val="1"/>
          <w:bCs w:val="1"/>
          <w:color w:val="auto"/>
        </w:rPr>
      </w:pPr>
    </w:p>
    <w:p>
      <w:pPr>
        <w:ind w:right="20" w:firstLine="8"/>
        <w:spacing w:after="0" w:line="277" w:lineRule="auto"/>
        <w:tabs>
          <w:tab w:leader="none" w:pos="29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EDC is party to a secured loan agreement with an affiliate of LSB Funding. Principal and interest are payable in 60 equal monthly installments through March 2025.</w:t>
      </w:r>
    </w:p>
    <w:p>
      <w:pPr>
        <w:spacing w:after="0" w:line="62" w:lineRule="exact"/>
        <w:rPr>
          <w:rFonts w:ascii="Arial" w:cs="Arial" w:eastAsia="Arial" w:hAnsi="Arial"/>
          <w:sz w:val="18"/>
          <w:szCs w:val="18"/>
          <w:b w:val="1"/>
          <w:bCs w:val="1"/>
          <w:color w:val="auto"/>
        </w:rPr>
      </w:pPr>
    </w:p>
    <w:p>
      <w:pPr>
        <w:jc w:val="both"/>
        <w:ind w:firstLine="8"/>
        <w:spacing w:after="0" w:line="311" w:lineRule="auto"/>
        <w:tabs>
          <w:tab w:leader="none" w:pos="307"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40" w:lineRule="exact"/>
        <w:rPr>
          <w:rFonts w:ascii="Arial" w:cs="Arial" w:eastAsia="Arial" w:hAnsi="Arial"/>
          <w:sz w:val="16"/>
          <w:szCs w:val="16"/>
          <w:b w:val="1"/>
          <w:bCs w:val="1"/>
          <w:color w:val="auto"/>
        </w:rPr>
      </w:pPr>
    </w:p>
    <w:p>
      <w:pPr>
        <w:jc w:val="both"/>
        <w:ind w:firstLine="8"/>
        <w:spacing w:after="0" w:line="273" w:lineRule="auto"/>
        <w:tabs>
          <w:tab w:leader="none" w:pos="288"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account for the PPP loan. We have used all of the proceeds from the PPP loan for payroll, rent, utilities, and other specified costs that qualify for loan forgiveness. In April 2021, we submitted the PPP loan forgiveness application to the lender. In June 2021, the PPP loan was fully forgiven by the SBA and lender. As a result, we recognized a gain on extinguishment of debt of $10 million for the three months ended June 30,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Settlements and Outstanding 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several days in February 2021, the Pryor Facility was taken out of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El Dorado Facility asserted a claim of force majeure and materially restricted the supply of gas to the facility. 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the first quarter of 2021, as a result of the extreme conditions previously described, we settled all of our natural gas forward contracts and certain volume purchase commitments and recognized a realized gain of approximately $6.8 million, which includes the realized gain discussed under “Natural Gas Contracts” in Note 6 and is classified as a reduction to cost of sales.</w:t>
      </w:r>
    </w:p>
    <w:p>
      <w:pPr>
        <w:spacing w:after="0" w:line="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At June 30, 2021, certain of our natural gas contracts qualify as normal purchases under GAAP and thus are not mark-to-market, which contracts included volume purchase commitments with fixed costs of approximately 4.7 million MMBtus of natural gas. These contracts extend through December 2021 at a weighted-average cost of $2.75 per MMBtu ($13.1 million) and a weighted-average market value of $3.40 per MMBtu ($16.1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Settlements of Gain Contingencies - </w:t>
      </w:r>
      <w:r>
        <w:rPr>
          <w:rFonts w:ascii="Arial" w:cs="Arial" w:eastAsia="Arial" w:hAnsi="Arial"/>
          <w:sz w:val="18"/>
          <w:szCs w:val="18"/>
          <w:color w:val="auto"/>
        </w:rPr>
        <w:t>In June 2020, EDC and certain vendors mediated settlements for EDC to recover certain costs associated with a nitric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acid plant at our El Dorado Facility. The construction of this plant was completed, and the plant began production in 2016. As a result, the recovery from these settlements recognized during the three months ended June 30, 2020, includes approximately $5.7 million classified as a reduction to cost of sales and approximately $1.9 million classified as a reduction to PP&amp;E.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our accrued liabilities for environmental matters totaled $467,000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During 2017, ADEQ issued a final NPDES permit with new dissolved mineral limits; however, EDC filed an appeal, and a Permit Appeal Resolution (“PAR”) was signed in 2018. EDC is in compliance with the revised permit limits agreed upon in the PAR.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 assessment was submitted in 2007. In 2015, the ADEQ stated that El Dorado Chemical was meeting the requirements of the CAO and should continue semi-annual monitoring. Subsequent to the PAR mentioned previously, a new CAO was signed in 2018, which required an Evaluation Report of the data and effectiveness of the groundwater remedy for nitrate contamination. During 2019, the Evaluation Report was submitted to the ADEQ and the ADEQ approved the report. No liability has been established at June 30, 2021, in connection with this ADEQ matter.</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final remedy, including the EUC, the finalization of the cost estimates and any required financial assurances remains under discussion with the KDHE, but continues to be delayed due to the impact from the COVID-19 pandemic.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w:t>
      </w:r>
    </w:p>
    <w:p>
      <w:pPr>
        <w:spacing w:after="0" w:line="63" w:lineRule="exact"/>
        <w:rPr>
          <w:sz w:val="20"/>
          <w:szCs w:val="20"/>
          <w:color w:val="auto"/>
        </w:rPr>
      </w:pPr>
    </w:p>
    <w:p>
      <w:pPr>
        <w:ind w:right="220"/>
        <w:spacing w:after="0" w:line="375" w:lineRule="auto"/>
        <w:rPr>
          <w:sz w:val="20"/>
          <w:szCs w:val="20"/>
          <w:color w:val="auto"/>
        </w:rPr>
      </w:pPr>
      <w:r>
        <w:rPr>
          <w:rFonts w:ascii="Arial" w:cs="Arial" w:eastAsia="Arial" w:hAnsi="Arial"/>
          <w:sz w:val="18"/>
          <w:szCs w:val="18"/>
          <w:color w:val="auto"/>
        </w:rPr>
        <w:t xml:space="preserve">The estimated amount is not discounted to its present value. As more information becomes available, our estimated accrual will be refined, as necessary. </w:t>
      </w:r>
      <w:r>
        <w:rPr>
          <w:rFonts w:ascii="Arial" w:cs="Arial" w:eastAsia="Arial" w:hAnsi="Arial"/>
          <w:sz w:val="18"/>
          <w:szCs w:val="18"/>
          <w:b w:val="1"/>
          <w:bCs w:val="1"/>
          <w:color w:val="auto"/>
        </w:rPr>
        <w:t>B. Other Pending, Threatened or Settled Litigation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to EDC. As of June 30, 2021, no liability reserve has been established in connection with this matter, except for the unpaid portion of the settlement agreements discussed above.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During the first six months of 2020, this judgment impacted our condensed consolidated statement of operations as follows:</w:t>
      </w:r>
    </w:p>
    <w:p>
      <w:pPr>
        <w:spacing w:after="0" w:line="192"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depreciation expense of $0.5 million classified as cost of sales; and</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prejudgment and post-judgment interest expense totaling $1.4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liability was established at June 30, 2021, or December 31, 2020, in connection with the cross-claims in Part (2) of the matter, except for certain invoices held in accounts payable.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Periodically, we entered into certain forward natural gas contracts (“natural gas contracts”), which are accounted for on a mark-to-market basis. We are utilizing these natural gas contracts as economic hedges for risk management purposes but are not designated as hedging instruments. At December 31, 2020, our natural gas contracts included 7.3 million MMBtu of natural gas, that extended through December 2021, but these contracts were settled during the first quarter of 2021, primarily due to the weather event discussed in Note 5. At June 30, 2021, we had no outstanding natural gas contracts. The valuations of the natural gas contracts are classified as Level 2. At December 31, 2020, the valuation inputs included the contractual weighted-average cost of $2.65 per MMBtu and the weighted-average market value of $2.49 per MMBtu.</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we recognized a gain of $2.7 million (including a realized gain of $1.5 million), all of which was recognized in the first quarter. For the three and six months ended June 30, 2020, we recognized a minimal gain and a loss of $0.7, respectively. The gain is classified as a reduction of cost of sales and the loss is classified as cost of sales.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Embedded Derivative</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8, 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June 30, 2021, and December 31, 2020, we estimate that the contingent redemption features have fair value since we estimate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estimated redemptions during the same period and applying the effective dividend rate of the Series E Redeemable Preferred. In addition, at June 30, 2021, and December 31, 2020, the fair value of the embedded derivative included the valuation of the participation rights, which was based on the equivalent of 303,646 shares of our common stock at $6.05 and $3.39 per share, respectively.</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June 30, 2021, and 2020, we recognized an unrealized loss of approximately $0.7 million and an unrealized gain of approximately $0.1 million, respectively, due to the change in fair value of the embedded derivative. For the six months ended June 30, 2021, and 2020, we recognized an unrealized loss of approximately $1.2 million and an unrealized gain of approximately $0.8 million, respectively, due to the change in fair value of the embedded derivative. The unrealized gain and loss are included in non-operating other income and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June 30, 2021, and December 31, 2020:</w:t>
      </w:r>
    </w:p>
    <w:p>
      <w:pPr>
        <w:spacing w:after="0" w:line="198"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Fair Value Measurements at</w:t>
      </w:r>
    </w:p>
    <w:p>
      <w:pPr>
        <w:spacing w:after="0" w:line="23"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June 30, 2021 Using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88"/>
              </w:rPr>
              <w:t>Quoted Prices</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in Active</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4"/>
              </w:rPr>
              <w:t>Significant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Total Fair</w:t>
            </w: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Identical</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1"/>
              </w:rPr>
              <w:t>Unobservable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Value at</w:t>
            </w:r>
          </w:p>
        </w:tc>
      </w:tr>
      <w:tr>
        <w:trPr>
          <w:trHeight w:val="199"/>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color w:val="auto"/>
                <w:w w:val="87"/>
              </w:rPr>
              <w:t>June 30,</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6"/>
              </w:rPr>
              <w:t>Inputs</w:t>
            </w:r>
          </w:p>
        </w:tc>
        <w:tc>
          <w:tcPr>
            <w:tcW w:w="2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December 31,</w:t>
            </w:r>
          </w:p>
        </w:tc>
      </w:tr>
      <w:tr>
        <w:trPr>
          <w:trHeight w:val="216"/>
        </w:trPr>
        <w:tc>
          <w:tcPr>
            <w:tcW w:w="466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color w:val="auto"/>
                <w:w w:val="89"/>
              </w:rPr>
              <w:t>2021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3"/>
              </w:rPr>
              <w:t>(Level 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5"/>
              <w:spacing w:after="0" w:line="216" w:lineRule="exact"/>
              <w:rPr>
                <w:sz w:val="20"/>
                <w:szCs w:val="20"/>
                <w:color w:val="auto"/>
              </w:rPr>
            </w:pPr>
            <w:r>
              <w:rPr>
                <w:rFonts w:ascii="Arial" w:cs="Arial" w:eastAsia="Arial" w:hAnsi="Arial"/>
                <w:sz w:val="15"/>
                <w:szCs w:val="15"/>
                <w:color w:val="auto"/>
                <w:w w:val="96"/>
              </w:rPr>
              <w:t>(Level 3)</w:t>
            </w:r>
            <w:r>
              <w:rPr>
                <w:rFonts w:ascii="Arial" w:cs="Arial" w:eastAsia="Arial" w:hAnsi="Arial"/>
                <w:sz w:val="25"/>
                <w:szCs w:val="25"/>
                <w:color w:val="auto"/>
                <w:w w:val="96"/>
                <w:vertAlign w:val="superscript"/>
              </w:rPr>
              <w:t>(1)</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8"/>
                <w:szCs w:val="18"/>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23"/>
        </w:trPr>
        <w:tc>
          <w:tcPr>
            <w:tcW w:w="46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380" w:type="dxa"/>
            <w:vAlign w:val="bottom"/>
            <w:gridSpan w:val="2"/>
            <w:shd w:val="clear" w:color="auto" w:fill="CFF0FC"/>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FF0FC"/>
          </w:tcPr>
          <w:p>
            <w:pPr>
              <w:spacing w:after="0"/>
              <w:rPr>
                <w:sz w:val="19"/>
                <w:szCs w:val="19"/>
                <w:color w:val="auto"/>
              </w:rPr>
            </w:pPr>
          </w:p>
        </w:tc>
      </w:tr>
      <w:tr>
        <w:trPr>
          <w:trHeight w:val="224"/>
        </w:trPr>
        <w:tc>
          <w:tcPr>
            <w:tcW w:w="466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0</wp:posOffset>
            </wp:positionV>
            <wp:extent cx="40373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5" w:lineRule="exact"/>
        <w:rPr>
          <w:sz w:val="20"/>
          <w:szCs w:val="20"/>
          <w:color w:val="auto"/>
        </w:rPr>
      </w:pPr>
    </w:p>
    <w:p>
      <w:pPr>
        <w:ind w:left="740" w:hanging="368"/>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was no Level 3 transfer activity for the six months ended June 30, 2021.</w:t>
      </w:r>
    </w:p>
    <w:p>
      <w:pPr>
        <w:spacing w:after="0" w:line="113"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-333375</wp:posOffset>
            </wp:positionV>
            <wp:extent cx="4037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Benefit for income taxes is as follows:</w:t>
            </w: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6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3"/>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w w:val="84"/>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(In Thousands)</w:t>
            </w: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6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6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(175)</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168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(175)</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4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(1,138)</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State</w:t>
            </w: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16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740"/>
              <w:spacing w:after="0"/>
              <w:rPr>
                <w:sz w:val="20"/>
                <w:szCs w:val="20"/>
                <w:color w:val="auto"/>
              </w:rPr>
            </w:pPr>
            <w:r>
              <w:rPr>
                <w:rFonts w:ascii="Arial" w:cs="Arial" w:eastAsia="Arial" w:hAnsi="Arial"/>
                <w:sz w:val="18"/>
                <w:szCs w:val="18"/>
                <w:color w:val="auto"/>
              </w:rPr>
              <w:t>Benefit for income taxes</w:t>
            </w:r>
          </w:p>
        </w:tc>
        <w:tc>
          <w:tcPr>
            <w:tcW w:w="168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(248)</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80" w:type="dxa"/>
            <w:vAlign w:val="bottom"/>
            <w:vMerge w:val="restart"/>
          </w:tcPr>
          <w:p>
            <w:pPr>
              <w:jc w:val="right"/>
              <w:ind w:right="3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months ended June 30, 2021, and 2020, the current provision (benefit) for state income taxes shown above includes regular state income tax, provisions for uncertain state income tax positions, the impact of state tax law changes and other similar adjustments.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tax rate for 2021 includes the impact of permanent tax differences including but not limited to PPP loan forgiveness, limits on deductible compensation, state tax law changes, and valuation allowances.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that a portion of our federal deferred tax assets will not be able to be utilized and we estimate the valuation allowance to be recorded during 2021 to be approximately $3.0 million. We have also determined it is more-likely-than-not that a portion of our state deferred tax assets will not be able to be utilized. However, we estimate a reduction in the related valuation allowance associated with these state deferred tax assets to be recorded during 2021 will be approximately $4.4 million.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benefit for the six months ended June 30, 2021 was $0.2 million (2% benefit on pre-tax income) and the tax benefit for the six months ended June 30, 2020, was $1.6 million (8% benefit on pre-tax loss). For both periods, the effective tax rate is less than the statutory tax rate primarily due to the impact of the valuation allowances.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2017-2020 years remain open for all purposes of examination by the U.S. Internal Revenue Service and other major tax jurisdictions. Additionally, the 2013-2016 years remain subject to examination for determining the amount of net operating loss and other carryforwards.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the Series E Redeemable Preferred had a 14.5% annual dividend rate and a participating right in dividends and liquidating distributions equal to 303,646 shares of common stock (participation rights value). Dividends accrue semi-annually in arrears and are compounded. Pursuant to the terms of the Series E Redeemable Preferred, the annual dividend rate will increase (a) by an additional 0.50% in April 2022 and (b) by an additional 1.0% in April 2023. The Series E Redeemable Preferred contains redemption features and a participation rights value that are being accounted for as derivative instruments and have been bifurcated from the Series E Redeemable Preferred as discussed in Note 6. Also, see discussion in Note 12 – Subsequent Events.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Series F Redeemable Preferred has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8"/>
                <w:szCs w:val="18"/>
                <w:color w:val="auto"/>
                <w:w w:val="87"/>
              </w:rPr>
              <w:t>Series E Redeemable Preferred</w:t>
            </w:r>
          </w:p>
        </w:tc>
      </w:tr>
      <w:tr>
        <w:trPr>
          <w:trHeight w:val="223"/>
        </w:trPr>
        <w:tc>
          <w:tcPr>
            <w:tcW w:w="54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4"/>
        </w:trPr>
        <w:tc>
          <w:tcPr>
            <w:tcW w:w="5420" w:type="dxa"/>
            <w:vAlign w:val="bottom"/>
          </w:tcPr>
          <w:p>
            <w:pPr>
              <w:spacing w:after="0"/>
              <w:rPr>
                <w:sz w:val="17"/>
                <w:szCs w:val="17"/>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6"/>
                <w:szCs w:val="16"/>
                <w:color w:val="auto"/>
                <w:w w:val="92"/>
              </w:rPr>
              <w:t>(Dollars In Thousands)</w:t>
            </w:r>
          </w:p>
        </w:tc>
      </w:tr>
      <w:tr>
        <w:trPr>
          <w:trHeight w:val="23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272,101</w:t>
            </w:r>
          </w:p>
        </w:tc>
        <w:tc>
          <w:tcPr>
            <w:tcW w:w="80" w:type="dxa"/>
            <w:vAlign w:val="bottom"/>
            <w:shd w:val="clear" w:color="auto" w:fill="CFF0FC"/>
          </w:tcPr>
          <w:p>
            <w:pPr>
              <w:spacing w:after="0"/>
              <w:rPr>
                <w:sz w:val="20"/>
                <w:szCs w:val="20"/>
                <w:color w:val="auto"/>
              </w:rPr>
            </w:pPr>
          </w:p>
        </w:tc>
      </w:tr>
      <w:tr>
        <w:trPr>
          <w:trHeight w:val="215"/>
        </w:trPr>
        <w:tc>
          <w:tcPr>
            <w:tcW w:w="542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jc w:val="center"/>
              <w:ind w:right="3490"/>
              <w:spacing w:after="0"/>
              <w:rPr>
                <w:sz w:val="20"/>
                <w:szCs w:val="20"/>
                <w:color w:val="auto"/>
              </w:rPr>
            </w:pPr>
            <w:r>
              <w:rPr>
                <w:rFonts w:ascii="Arial" w:cs="Arial" w:eastAsia="Arial" w:hAnsi="Arial"/>
                <w:sz w:val="18"/>
                <w:szCs w:val="18"/>
                <w:color w:val="auto"/>
                <w:w w:val="89"/>
              </w:rPr>
              <w:t>preferred stock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0"/>
                <w:szCs w:val="20"/>
                <w:color w:val="auto"/>
              </w:rPr>
            </w:pPr>
          </w:p>
        </w:tc>
      </w:tr>
      <w:tr>
        <w:trPr>
          <w:trHeight w:val="21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jc w:val="center"/>
              <w:ind w:right="3490"/>
              <w:spacing w:after="0"/>
              <w:rPr>
                <w:sz w:val="20"/>
                <w:szCs w:val="20"/>
                <w:color w:val="auto"/>
              </w:rPr>
            </w:pPr>
            <w:r>
              <w:rPr>
                <w:rFonts w:ascii="Arial" w:cs="Arial" w:eastAsia="Arial" w:hAnsi="Arial"/>
                <w:sz w:val="18"/>
                <w:szCs w:val="18"/>
                <w:color w:val="auto"/>
                <w:w w:val="89"/>
              </w:rPr>
              <w:t>preferred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FF0FC"/>
          </w:tcPr>
          <w:p>
            <w:pPr>
              <w:spacing w:after="0"/>
              <w:rPr>
                <w:sz w:val="20"/>
                <w:szCs w:val="20"/>
                <w:color w:val="auto"/>
              </w:rPr>
            </w:pP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19,724</w:t>
            </w:r>
          </w:p>
        </w:tc>
        <w:tc>
          <w:tcPr>
            <w:tcW w:w="80" w:type="dxa"/>
            <w:vAlign w:val="bottom"/>
          </w:tcPr>
          <w:p>
            <w:pPr>
              <w:spacing w:after="0"/>
              <w:rPr>
                <w:sz w:val="19"/>
                <w:szCs w:val="19"/>
                <w:color w:val="auto"/>
              </w:rPr>
            </w:pPr>
          </w:p>
        </w:tc>
      </w:tr>
      <w:tr>
        <w:trPr>
          <w:trHeight w:val="223"/>
        </w:trPr>
        <w:tc>
          <w:tcPr>
            <w:tcW w:w="5420" w:type="dxa"/>
            <w:vAlign w:val="bottom"/>
            <w:tcBorders>
              <w:top w:val="single" w:sz="8" w:color="CFF0FC"/>
              <w:bottom w:val="single" w:sz="8" w:color="CFF0FC"/>
            </w:tcBorders>
            <w:shd w:val="clear" w:color="auto" w:fill="CFF0FC"/>
          </w:tcPr>
          <w:p>
            <w:pPr>
              <w:jc w:val="center"/>
              <w:ind w:right="3530"/>
              <w:spacing w:after="0"/>
              <w:rPr>
                <w:sz w:val="20"/>
                <w:szCs w:val="20"/>
                <w:color w:val="auto"/>
              </w:rPr>
            </w:pPr>
            <w:r>
              <w:rPr>
                <w:rFonts w:ascii="Arial" w:cs="Arial" w:eastAsia="Arial" w:hAnsi="Arial"/>
                <w:sz w:val="18"/>
                <w:szCs w:val="18"/>
                <w:color w:val="auto"/>
                <w:w w:val="88"/>
              </w:rPr>
              <w:t>Balance at June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9. Net Sales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condensed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432"/>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5"/>
          </w:tcPr>
          <w:p>
            <w:pPr>
              <w:ind w:left="220"/>
              <w:spacing w:after="0"/>
              <w:rPr>
                <w:sz w:val="20"/>
                <w:szCs w:val="20"/>
                <w:color w:val="auto"/>
              </w:rPr>
            </w:pPr>
            <w:r>
              <w:rPr>
                <w:rFonts w:ascii="Arial" w:cs="Arial" w:eastAsia="Arial" w:hAnsi="Arial"/>
                <w:sz w:val="18"/>
                <w:szCs w:val="18"/>
                <w:color w:val="auto"/>
              </w:rPr>
              <w:t>Six Months Ended</w:t>
            </w:r>
          </w:p>
        </w:tc>
      </w:t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3"/>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2021</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Agricultural products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66,508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64,997</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111,421</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106,455</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acids and other chemical products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100,883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64,765</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Mining products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140,696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105,033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238,812</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15 months at June 30, 2021.</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$1.2 million and $2.5 million of contract liabilities as of June 30, 2021 and December 31, 2020, respectively. For the three and six months ended June 30, 2021, revenues of $1.0 million and $1.6 million, respectively, were recognized and included in the balance at the beginning of the respective period. For the three and six months ended June 30, 2020, revenues of $1.5 million and $1.0 million, respectively, were recognized and included in the balance at the beginning of the respective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we have three separate outstanding financing arrangements with an affiliate of LSB Funding as discussed in footnotes (D), (E) and (F) of Note 4. Also, an affiliate of LSB Funding holds $50 million of our Senior Secured Notes discussed in footnote (B) of Note 4. In addition, LSB Funding holds all outstanding shares of the Series E and Series F Redeemable Preferred discussed in Note 8. Also, see discussion in Note 12 – Subsequent Events.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Golsen Holders and an immediate family member hold all outstanding shares of the Series B Preferred and Series D Preferred, which accumulated dividends on such shares totaled approximately $1.7 million at June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center"/>
              <w:ind w:left="551"/>
              <w:spacing w:after="0"/>
              <w:rPr>
                <w:sz w:val="20"/>
                <w:szCs w:val="20"/>
                <w:color w:val="auto"/>
              </w:rPr>
            </w:pPr>
            <w:r>
              <w:rPr>
                <w:rFonts w:ascii="Arial" w:cs="Arial" w:eastAsia="Arial" w:hAnsi="Arial"/>
                <w:sz w:val="18"/>
                <w:szCs w:val="18"/>
                <w:color w:val="auto"/>
                <w:w w:val="86"/>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6"/>
        </w:trPr>
        <w:tc>
          <w:tcPr>
            <w:tcW w:w="5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left="571"/>
              <w:spacing w:after="0"/>
              <w:rPr>
                <w:sz w:val="20"/>
                <w:szCs w:val="20"/>
                <w:color w:val="auto"/>
              </w:rPr>
            </w:pPr>
            <w:r>
              <w:rPr>
                <w:rFonts w:ascii="Arial" w:cs="Arial" w:eastAsia="Arial" w:hAnsi="Arial"/>
                <w:sz w:val="16"/>
                <w:szCs w:val="16"/>
                <w:color w:val="auto"/>
                <w:w w:val="91"/>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780" w:type="dxa"/>
            <w:vAlign w:val="bottom"/>
          </w:tcPr>
          <w:p>
            <w:pPr>
              <w:ind w:left="240"/>
              <w:spacing w:after="0"/>
              <w:rPr>
                <w:sz w:val="20"/>
                <w:szCs w:val="20"/>
                <w:color w:val="auto"/>
              </w:rPr>
            </w:pPr>
            <w:r>
              <w:rPr>
                <w:rFonts w:ascii="Arial" w:cs="Arial" w:eastAsia="Arial" w:hAnsi="Arial"/>
                <w:sz w:val="18"/>
                <w:szCs w:val="18"/>
                <w:color w:val="auto"/>
              </w:rPr>
              <w:t>Accounts receivable, supplies, other assets, accounts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tcPr>
          <w:p>
            <w:pPr>
              <w:ind w:left="420"/>
              <w:spacing w:after="0"/>
              <w:rPr>
                <w:sz w:val="20"/>
                <w:szCs w:val="20"/>
                <w:color w:val="auto"/>
              </w:rPr>
            </w:pPr>
            <w:r>
              <w:rPr>
                <w:rFonts w:ascii="Arial" w:cs="Arial" w:eastAsia="Arial" w:hAnsi="Arial"/>
                <w:sz w:val="18"/>
                <w:szCs w:val="18"/>
                <w:color w:val="auto"/>
              </w:rPr>
              <w:t>payable and accrued liabilities associated with additions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tcPr>
          <w:p>
            <w:pPr>
              <w:ind w:left="420"/>
              <w:spacing w:after="0"/>
              <w:rPr>
                <w:sz w:val="20"/>
                <w:szCs w:val="20"/>
                <w:color w:val="auto"/>
              </w:rPr>
            </w:pPr>
            <w:r>
              <w:rPr>
                <w:rFonts w:ascii="Arial" w:cs="Arial" w:eastAsia="Arial" w:hAnsi="Arial"/>
                <w:sz w:val="18"/>
                <w:szCs w:val="18"/>
                <w:color w:val="auto"/>
              </w:rPr>
              <w:t>of property, plant and equipment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15,484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20"/>
                <w:szCs w:val="20"/>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19,724</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16,996</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Accounts payable associated with financing professional fees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1,916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1,024</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Extinguishment of PPP loan</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19, 2021, we entered into a Securities Exchange Agreement (the “Exchange Agreement”) with LSB Funding LLC (the “Holder”), an affiliate of Eldridge. Pursuant to the terms of the Exchange Agreement, the Holder has agreed with us to exchange all of the shares of our Series E and Series F Redeemable Preferred Stock held by it for shares of our common stock. Under the terms of the Exchange Agreement, LSB would exchange, at the closing, approximately $300 million of preferred stock held by Eldridge into an equivalent value of our common stock based on an exchange price of $6.16, which is equal to the 30-day volume weighted average price as of the date of the Exchange Agreement. In connection with the transaction, our common stockholders will receive a special dividend in the form of 0.30 shares of our common stock for every share owned as of the record date and any such amount received by the Holder will reduce the exchange consideration otherwise payable under the Exchange Agreement. Completion of the exchange transaction is subject to a number of customary closing conditions, including receipt of stockholder approval from the holders of a majority of the shares of our outstanding common stock not held by Eldridge or any of its affiliates. This summary description of the Exchange Agreement does not purport to be complete and is qualified in its entirety by reference to the Exchange Agreement included as exhibit 10.2 in this Form 10-Q.</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June 30, 2021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a global chemical company in Baytown, Texas. Our products are sold through distributors and directly to end customers primarily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2021</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hanging="357"/>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Continue Focusing on Becoming a “Best in Class” Chemical Plant Operator with Respect to Safe, Reliable Operations that Produce the Highest Quality Products.</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have implemented and are currently managing enhanced safety programs at our facilities that focus on improving our safety culture, which will reduce risks and improve our safety performance.</w:t>
      </w:r>
    </w:p>
    <w:p>
      <w:pPr>
        <w:spacing w:after="0" w:line="75" w:lineRule="exact"/>
        <w:rPr>
          <w:rFonts w:ascii="Arial" w:cs="Arial" w:eastAsia="Arial" w:hAnsi="Arial"/>
          <w:sz w:val="18"/>
          <w:szCs w:val="18"/>
          <w:color w:val="auto"/>
        </w:rPr>
      </w:pPr>
    </w:p>
    <w:p>
      <w:pPr>
        <w:jc w:val="both"/>
        <w:ind w:left="1260" w:hanging="375"/>
        <w:spacing w:after="0" w:line="279" w:lineRule="auto"/>
        <w:tabs>
          <w:tab w:leader="none" w:pos="12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have several initiatives underway that we believe will improve the overall reliability of our plants and allow us to produce more products for sale while lowering our cost of production. Those initiatives are focused on, operations excellence through enhancements in the operating procedure program, asset health monitoring optimization and asset care excellence maintenance programs, and product quality programs focused on providing products to the customer that meet the highest quality standards.</w:t>
      </w:r>
    </w:p>
    <w:p>
      <w:pPr>
        <w:spacing w:after="0" w:line="63" w:lineRule="exact"/>
        <w:rPr>
          <w:rFonts w:ascii="Arial" w:cs="Arial" w:eastAsia="Arial" w:hAnsi="Arial"/>
          <w:sz w:val="17"/>
          <w:szCs w:val="17"/>
          <w:color w:val="auto"/>
        </w:rPr>
      </w:pPr>
    </w:p>
    <w:p>
      <w:pPr>
        <w:jc w:val="both"/>
        <w:ind w:left="540" w:hanging="357"/>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of our Products. </w:t>
      </w:r>
      <w:r>
        <w:rPr>
          <w:rFonts w:ascii="Arial" w:cs="Arial" w:eastAsia="Arial" w:hAnsi="Arial"/>
          <w:sz w:val="18"/>
          <w:szCs w:val="18"/>
          <w:color w:val="auto"/>
        </w:rPr>
        <w:t>To further leverage our plants current production capacity, we are continuing to expand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our industrial and mining products by partnering with customers to take product into different markets both within and outside the U.S.</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October 2020, we announced a new long-term nitric acid supply contract with a customer. Under the agreement, we agreed to supply between 70,000 to 100,000 tons of nitric acid per year, with sales beginning in January 2021. This contract advances our focus to leverage underutilized nitric acid production capacity at our El Dorado Facility.</w:t>
      </w:r>
    </w:p>
    <w:p>
      <w:pPr>
        <w:spacing w:after="0" w:line="75" w:lineRule="exact"/>
        <w:rPr>
          <w:rFonts w:ascii="Arial" w:cs="Arial" w:eastAsia="Arial" w:hAnsi="Arial"/>
          <w:sz w:val="18"/>
          <w:szCs w:val="18"/>
          <w:color w:val="auto"/>
        </w:rPr>
      </w:pPr>
    </w:p>
    <w:p>
      <w:pPr>
        <w:ind w:left="1260" w:hanging="375"/>
        <w:spacing w:after="0" w:line="277"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also executed a new contract to capture and sell carbon dioxide out of our El Dorado Facility, where our customer is building a guest plant. We expect to begin sales under this agreement in the fourth quarter of 2021.</w:t>
      </w:r>
    </w:p>
    <w:p>
      <w:pPr>
        <w:spacing w:after="0" w:line="62"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Additionally, early in the second quarter of 2020, we completed a key storage project that is allowing us to further maximize our production of HDAN at our El Dorado Facility, which has, and we expect will continue to enable us to achieve higher production, a lower cost per ton and increased sales of that product during periods of more attractive pricing.</w:t>
      </w:r>
    </w:p>
    <w:p>
      <w:pPr>
        <w:spacing w:after="0" w:line="71" w:lineRule="exact"/>
        <w:rPr>
          <w:rFonts w:ascii="Arial" w:cs="Arial" w:eastAsia="Arial" w:hAnsi="Arial"/>
          <w:sz w:val="18"/>
          <w:szCs w:val="18"/>
          <w:color w:val="auto"/>
        </w:rPr>
      </w:pPr>
    </w:p>
    <w:p>
      <w:pPr>
        <w:jc w:val="both"/>
        <w:ind w:left="540" w:hanging="357"/>
        <w:spacing w:after="0" w:line="29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Development of a Strategy to Capitalize on Ammonia Opportunities in a Renewable Energy Focused Economy</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there is a heightened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focus on significantly increasing the use of renewable energy to reduce carbon emissions, we are currently developing a strategy to enter the market for low-carbon or no carbon ammonia, a rapidly emerging trend referred to as “blue-green ammonia.” Many studies have shown that ammonia is the best carrier for hydrogen, given higher energy content and relative ease of storage via hydrogen gas. Ammonia can also be used as zero carbon fuel in the maritime sector, a carbon free fertilizer and as a coal substitute in energy constrained countries. If ammonia were to be used for energy consumption globally, this would equate to five times the amount of current global annual production of ammonia, or approximately 50 times the current seaborne trade. We believe we are well-placed to partake in this opportunity given our ability to retrofit our existing plants rather than investing in greenfield projects, thereby reducing the time to market and the upfront capital expenditures, which will help the overall economics.</w:t>
      </w:r>
    </w:p>
    <w:p>
      <w:pPr>
        <w:spacing w:after="0" w:line="55" w:lineRule="exact"/>
        <w:rPr>
          <w:rFonts w:ascii="Arial" w:cs="Arial" w:eastAsia="Arial" w:hAnsi="Arial"/>
          <w:sz w:val="16"/>
          <w:szCs w:val="16"/>
          <w:color w:val="auto"/>
        </w:rPr>
      </w:pPr>
    </w:p>
    <w:p>
      <w:pPr>
        <w:jc w:val="both"/>
        <w:ind w:left="540" w:hanging="357"/>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In July 2021, we signed a definitive agreement with LSB Funding (the “Holder”),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Eldridge, to exchange the shares of LSB Series E and Series F Redeemable Preferred Stock held by the Holder for shares of LSB common stock. We believe the exchange will relieve the Company and our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left="540"/>
        <w:spacing w:after="0" w:line="257" w:lineRule="auto"/>
        <w:rPr>
          <w:sz w:val="20"/>
          <w:szCs w:val="20"/>
          <w:color w:val="auto"/>
        </w:rPr>
      </w:pPr>
      <w:r>
        <w:rPr>
          <w:rFonts w:ascii="Arial" w:cs="Arial" w:eastAsia="Arial" w:hAnsi="Arial"/>
          <w:sz w:val="18"/>
          <w:szCs w:val="18"/>
          <w:color w:val="auto"/>
        </w:rPr>
        <w:t>stockholders from the expensive, compounding burden of the preferred stock dividend, improving the current capital structure and, when combined with favorable credit markets, may enable us to refinance our senior secured notes on more favorable terms than our current senior secured notes. Additionally, we believe that consummation of the exchange transaction would provide us with the financial flexibility needed to grow our business organically and through strategic mergers and acquisitions, while maintaining our significant federal net operating losses. Please refer to “Recent Business Developments” below for further information.</w:t>
      </w:r>
    </w:p>
    <w:p>
      <w:pPr>
        <w:spacing w:after="0" w:line="80" w:lineRule="exact"/>
        <w:rPr>
          <w:sz w:val="20"/>
          <w:szCs w:val="20"/>
          <w:color w:val="auto"/>
        </w:rPr>
      </w:pPr>
    </w:p>
    <w:p>
      <w:pPr>
        <w:jc w:val="both"/>
        <w:ind w:left="540" w:hanging="357"/>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Evaluate Acquisitions of Strategic Assets or Companies. </w:t>
      </w:r>
      <w:r>
        <w:rPr>
          <w:rFonts w:ascii="Arial" w:cs="Arial" w:eastAsia="Arial" w:hAnsi="Arial"/>
          <w:sz w:val="18"/>
          <w:szCs w:val="18"/>
          <w:color w:val="auto"/>
        </w:rPr>
        <w:t>We are evaluating opportunities to acquire strategic assets or companies, mergers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and investment in additional production capacity where we believe those acquisitions, mergers or expansion of production capacity will enhance the value of the Company and provide appropriate returns.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Driven by several supply and demand factors, selling prices for all of our major products improved during the second quarter of 2021 compared to the same quarter of 2020. As for our agricultural business, corn prices reached an eight-year during the first half of 2021 and we are benefiting from strong farmer economics. Chinese demand for corn continues to be strong as China continues to rebuild their swine population following the swine flu, which decimated the swine population several years ago. This demand for feed is expected to remain robust as China has moved to large institutional hog farms for which the demand for feed is significant. In addition, domestic corn demand to produce ethanol continues to rebound since the second quarter of 2020 as vaccines are rolled out, stay-at-home orders are lifted and demand for gasoline continues to improve. As corn prices increased, pricing for fertilizers followed suit as growers sought to apply more fertilizer to increase yields. Also entering into the second quarter of 2021, the supply of nitrogen products in the U.S. was tight due to winter storm Uri and the resultant severe cold weather experienced in many areas of the U.S. that caused many nitrogen producers to idle their plants during February 2021. Additionally, wet weather across the Midwest and Southern Plains regions in May has resulted in the spring planting season extending into July and that combined with other factors discussed above has led to continued strong pricing thus far in July that is expected to continue throughout 2021 and into 2022. However, improvements in fertilizer demand and pricing are being somewhat tempered by higher natural gas costs thus far in 2021 as compared to 2020.</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for our industrial and mining products, selling prices continued to improve as the supply of ammonia remained tight due to strong global demand, curtailed regional supply from the winter storm Uri, numerous global unplanned outages and lower than expected product imports. As a result, the Tampa Ammonia benchmark price increased, which in turn, increased our selling prices as many of our industrial contracts are indexed to this benchmark price. In addition, sales of nitric acid increased pursuant to the new long-term nitric acid supply contract discussed above. Also, demand for our mining products continued to improve due to increased mining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PPP Loan Forgiven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we entered into a federally guaranteed PPP loan for $10 million with a lender pursuant to a new loan program through the SBA as the result of the PPP established by the CARES Act and amended by the PPP Flexibility Act of 2020. We have used all of the proceeds from the PPP loan for payroll, rent, utilities, and other specified costs that qualify for loan forgiveness. In April 2021, we submitted the PPP loan forgiveness application to the lender. In June 2021, the PPP loan was fully forgiven by the SBA and lender. As a result, we recognized a gain on extinguishment of debt of $10 million for the second quarter of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Planned Exchange Transaction and Special Common Stock Dividend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2021, we entered into a Securities Exchange Agreement (the “Exchange Agreement”) with LSB Funding LLC (the “Holder”), an affiliate of Eldridge, to exchange the shares of Series E and Series F Redeemable Preferred Stock held by it for shares of our common stock. Under the terms of the Exchange Agreement, LSB would exchange, at the closing, approximately $300 million of preferred stock held by Eldridge into an equivalent value of our common stock based on an exchange price of $6.16, which is equal to the 30-day volume weighted average price as of the date of the Exchange Agreement. In connection with the transaction, our common stockholders will receive a special dividend in the form of 0.30 shares of our common stock for every share owned as of the record date and any such amount received by the Holder will reduce the exchange consideration otherwise payable under the Exchange Agreement.</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of the exchange transaction is subject to a number of customary closing conditions, including receipt of stockholder approval from the holders of a majority of the shares of our outstanding common stock not held by Eldridge or any of its affiliates. We expect to file a preliminary proxy for a special meeting of stockholders and deliver additional information related to the special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meeting to stockholders in the near term. Results of the stockholder vote will be tabulated at the special meeting of stockholders expected to be held in the third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Agricultural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Sales of our agricultural products were approximately 47% of our total net sales for the second quarter of 2021. The </w:t>
      </w:r>
      <w:r>
        <w:rPr>
          <w:rFonts w:ascii="Arial" w:cs="Arial" w:eastAsia="Arial" w:hAnsi="Arial"/>
          <w:sz w:val="18"/>
          <w:szCs w:val="18"/>
          <w:color w:val="2E2E2E"/>
        </w:rPr>
        <w:t>price at which our agricultural</w:t>
      </w:r>
      <w:r>
        <w:rPr>
          <w:rFonts w:ascii="Arial" w:cs="Arial" w:eastAsia="Arial" w:hAnsi="Arial"/>
          <w:sz w:val="18"/>
          <w:szCs w:val="18"/>
          <w:color w:val="auto"/>
        </w:rPr>
        <w:t xml:space="preserve"> </w:t>
      </w:r>
      <w:r>
        <w:rPr>
          <w:rFonts w:ascii="Arial" w:cs="Arial" w:eastAsia="Arial" w:hAnsi="Arial"/>
          <w:sz w:val="18"/>
          <w:szCs w:val="18"/>
          <w:color w:val="2E2E2E"/>
        </w:rPr>
        <w:t>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June 2021 USDA annual Acreage Report, farmers intend to plant 93 million acres of corn in 2021, up 2 percent compared to the 2020 planting season. As it relates to the 2022 Crop as noted in the table below, the USDA estimates the U.S. ending stocks will be approximately 36 million metric tons, a 32% increase from the current estimate for the 2021 Crop. The UDSA also is estimating a record yield for the 2022 Crop up approximately 4% from a year ago.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July 2021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2022 Crop</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2021 Crop</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(2021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(2020 Harvest)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(2019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4"/>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July Report (1)</w:t>
            </w:r>
          </w:p>
        </w:tc>
        <w:tc>
          <w:tcPr>
            <w:tcW w:w="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92.7</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42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00" w:type="dxa"/>
            <w:vAlign w:val="bottom"/>
          </w:tcPr>
          <w:p>
            <w:pPr>
              <w:jc w:val="right"/>
              <w:spacing w:after="0"/>
              <w:rPr>
                <w:sz w:val="20"/>
                <w:szCs w:val="20"/>
                <w:color w:val="auto"/>
              </w:rPr>
            </w:pPr>
            <w:r>
              <w:rPr>
                <w:rFonts w:ascii="Arial" w:cs="Arial" w:eastAsia="Arial" w:hAnsi="Arial"/>
                <w:sz w:val="18"/>
                <w:szCs w:val="18"/>
                <w:color w:val="auto"/>
              </w:rPr>
              <w:t>15,165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14,182</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420" w:type="dxa"/>
            <w:vAlign w:val="bottom"/>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00" w:type="dxa"/>
            <w:vAlign w:val="bottom"/>
          </w:tcPr>
          <w:p>
            <w:pPr>
              <w:jc w:val="right"/>
              <w:spacing w:after="0"/>
              <w:rPr>
                <w:sz w:val="20"/>
                <w:szCs w:val="20"/>
                <w:color w:val="auto"/>
              </w:rPr>
            </w:pPr>
            <w:r>
              <w:rPr>
                <w:rFonts w:ascii="Arial" w:cs="Arial" w:eastAsia="Arial" w:hAnsi="Arial"/>
                <w:sz w:val="18"/>
                <w:szCs w:val="18"/>
                <w:color w:val="auto"/>
              </w:rPr>
              <w:t>291.2</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420" w:type="dxa"/>
            <w:vAlign w:val="bottom"/>
          </w:tcPr>
          <w:p>
            <w:pPr>
              <w:jc w:val="right"/>
              <w:spacing w:after="0"/>
              <w:rPr>
                <w:sz w:val="20"/>
                <w:szCs w:val="20"/>
                <w:color w:val="auto"/>
              </w:rPr>
            </w:pPr>
            <w:r>
              <w:rPr>
                <w:rFonts w:ascii="Arial" w:cs="Arial" w:eastAsia="Arial" w:hAnsi="Arial"/>
                <w:sz w:val="18"/>
                <w:szCs w:val="18"/>
                <w:color w:val="auto"/>
              </w:rPr>
              <w:t>305.5</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obtained from WASDE reports dated July 12, 2021 (“July Report”) for the 2021/2022 (“2022 Crop”), 2020/2021 (“2021 Crop”) and 2019/2020 (“2020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2021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2020 Crop amounts.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a demand perspective for 2021, since the USDA has significantly decreased ending corn stocks for the 2021 Crop and only slightly increased the number corn acres to be planted, coupled with increasing export volumes primarily to China, drought conditions for certain areas in South America and the western U.S., ethanol use returning to pre-pandemic levels and favorable 2020 grower income, corn prices during the second quarter elevated to prices not seen in eight years and projected corn prices for the remainder of 2021 continue to be strong compared to the second half of 2020, which has had a positive impact on fertilizer demand and prices.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gasoline has 10% ethanol content. Ethanol is commonly made from corn and ethanol production is the largest user of U.S. corn, currently representing roughly 35% of total U.S. corn demand.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available U.S. supply of ammonia and other nitrogen products has tightened in 2021 to date, primarily as the result of higher demand for such products, in addition to the idling of many nitrogen plants in February 2021 due to the severe cold weather and ongoing industry downtime increases cause by “hard” plant shutdowns and the lingering problems of that event.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factors discussed above, we have experienced a price rally for fertilizers over the last several months, which we expect will continue for the remainder of 2021, compared to the same period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Industrial and Mining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of our industrial products were approximately 43% of our total net sales for the second quarter of 2021. 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our mining products were approximately 10% of our total net sales for the second quarter of 2021. Our mining products are LDAN and AN solution, which are primary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Metals prices continue to improve in 2021 as producers continue to extract as much as possible. This improvement includes an increase in copper mining, driven primarily by demand for electric vehicles. We believe our plants are well located to support the more stable quarry and construction industries and the metals mining industries.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gridSpan w:val="5"/>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gridSpan w:val="4"/>
          </w:tcPr>
          <w:p>
            <w:pPr>
              <w:jc w:val="center"/>
              <w:ind w:right="347"/>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Since the Magellan ammonia pipeline was permanently shut down in 2020, certain Oklahoma and Texas producers that relied on the pipeline to transport their ammonia are relying on other transportation modes, primarily trucks, but also rail and barge transport. As a result of increases in demand for trucks to transport ammonia, primarily during the spring and fall planting seasons, higher transportation costs have and could continue to impact our margins, if we were unable to fully pass through these costs to our customers. As a result, we continue to evaluate supply chain efficiencies to reduce or counter the impact of higher logistics costs.</w:t>
      </w:r>
    </w:p>
    <w:p>
      <w:pPr>
        <w:spacing w:after="0" w:line="69"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with the next ammonia plant Turnaround planned in the third quarter of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currently on a three-year ammonia plant Turnaround cycle with both currently scheduled for their next ammonia plant Turnarounds in the third quarter of 2022.</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2021, we are targeting total ammonia production of approximately 810,000 tons to 830,000 tons despite a 30-day Turnaround at our Cherokee Facility, which will lower ammonia production during the third quarter by approximately 15,000 tons.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2021.</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2021</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second quarter of 2021 were $140.7 million compared to $105.0 million for the same period in 2020. Our consolidated operating income was $26.5 million compared to $10.7 million for the same period in 2020.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2021, average agricultural selling prices for our ammonia, UAN and HDAN increased 60%, 50% and 20%, respectively, compared to the second quarter of 2020. As discussed above under “Recent Business Developments,” increased demand, higher corn prices and tighter supplies of nitrogen products contributed to the improved pricing.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2021, average industrial selling prices for most of our products were higher compared to the same period of 2020, primarily driven by the $311 per metric ton increase in the Tampa Ammonia benchmark price, as many of our industrial contracts are indexed to the Tampa Ammonia benchmark price.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Gain on Extinguishment of Debt – PPP Loan Forgiven (2021 only)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above under “Recent Business Developments,” in June 2021, the PPP loan was fully forgiven by the SBA and lender. As a result, we recognized a gain on extinguishment of debt of $10 million during the second quarter of 2021.</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Settlements with Certain Vendors (2020 only)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2020, EDC and certain vendors mediated settlements for EDC to recover certain costs associated with a nitric acid plant at our El Dorado Facility. The construction of this plant was completed and began production in 2016. As a result, a recovery from these settlements was recognized, which included approximately $5.7 million classified as a reduction to cost of sales.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and six months ended June 30, 2021 and 2020 and accompanying notes and the discussions under “Overview” and “Liquidity and Capital Resources” included in this MD&amp;A.</w:t>
      </w:r>
    </w:p>
    <w:p>
      <w:pPr>
        <w:sectPr>
          <w:pgSz w:w="11900" w:h="16838" w:orient="portrait"/>
          <w:cols w:equalWidth="0" w:num="1">
            <w:col w:w="11240"/>
          </w:cols>
          <w:pgMar w:left="320" w:top="449" w:right="3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We present the following information about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gross profit represents net sales less cost of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br w:type="column"/>
      </w:r>
    </w:p>
    <w:p>
      <w:pPr>
        <w:jc w:val="right"/>
        <w:spacing w:after="0" w:line="342" w:lineRule="auto"/>
        <w:rPr>
          <w:sz w:val="20"/>
          <w:szCs w:val="20"/>
          <w:color w:val="auto"/>
        </w:rPr>
      </w:pPr>
      <w:r>
        <w:rPr>
          <w:rFonts w:ascii="Arial" w:cs="Arial" w:eastAsia="Arial" w:hAnsi="Arial"/>
          <w:sz w:val="16"/>
          <w:szCs w:val="16"/>
          <w:color w:val="auto"/>
        </w:rPr>
        <w:t>Net sales to unaffiliated customers are reported in the condensed consolidated Net sales are reported on a gross basis with the cost of freight being recorded in</w:t>
      </w:r>
    </w:p>
    <w:p>
      <w:pPr>
        <w:spacing w:after="0" w:line="328" w:lineRule="exact"/>
        <w:rPr>
          <w:sz w:val="20"/>
          <w:szCs w:val="20"/>
          <w:color w:val="auto"/>
        </w:rPr>
      </w:pPr>
    </w:p>
    <w:p>
      <w:pPr>
        <w:sectPr>
          <w:pgSz w:w="11900" w:h="16838" w:orient="portrait"/>
          <w:cols w:equalWidth="0" w:num="2">
            <w:col w:w="5360" w:space="20"/>
            <w:col w:w="5860"/>
          </w:cols>
          <w:pgMar w:left="320" w:top="449" w:right="33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6580" w:type="dxa"/>
            <w:vAlign w:val="bottom"/>
            <w:gridSpan w:val="10"/>
          </w:tcPr>
          <w:p>
            <w:pPr>
              <w:spacing w:after="0"/>
              <w:rPr>
                <w:sz w:val="20"/>
                <w:szCs w:val="20"/>
                <w:color w:val="auto"/>
              </w:rPr>
            </w:pPr>
            <w:r>
              <w:rPr>
                <w:rFonts w:ascii="Arial" w:cs="Arial" w:eastAsia="Arial" w:hAnsi="Arial"/>
                <w:sz w:val="18"/>
                <w:szCs w:val="18"/>
                <w:b w:val="1"/>
                <w:bCs w:val="1"/>
                <w:color w:val="auto"/>
                <w:w w:val="90"/>
              </w:rPr>
              <w:t>Three Months Ended June 30, 2021 Compared to Three Months Ended June 30, 2020</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6"/>
                <w:szCs w:val="16"/>
                <w:color w:val="auto"/>
                <w:w w:val="96"/>
              </w:rPr>
              <w:t>(Dollars In Thousands)</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66,508</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64,997</w:t>
            </w:r>
          </w:p>
        </w:tc>
        <w:tc>
          <w:tcPr>
            <w:tcW w:w="3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1,511</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40,036</w:t>
            </w: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34,152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140,696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105,033</w:t>
            </w:r>
          </w:p>
        </w:tc>
        <w:tc>
          <w:tcPr>
            <w:tcW w:w="3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35,663</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34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22,328</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(16,941)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(16,960)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(696)</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11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(5,664)</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19,021</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15,987</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10,684</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15,773</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(4)</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(4)</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amortization, Turnaround expenses and a recovery from settlements.</w:t>
      </w:r>
    </w:p>
    <w:p>
      <w:pPr>
        <w:spacing w:after="0" w:line="33" w:lineRule="exact"/>
        <w:rPr>
          <w:rFonts w:ascii="Arial" w:cs="Arial" w:eastAsia="Arial" w:hAnsi="Arial"/>
          <w:sz w:val="15"/>
          <w:szCs w:val="15"/>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discussion above under “Items Affecting Comparability of Results of the Second Quarter.”</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Percentage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Change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2660" w:type="dxa"/>
            <w:vAlign w:val="bottom"/>
            <w:gridSpan w:val="2"/>
            <w:vMerge w:val="restart"/>
            <w:shd w:val="clear" w:color="auto" w:fill="CFF0FC"/>
          </w:tcPr>
          <w:p>
            <w:pPr>
              <w:spacing w:after="0" w:line="20" w:lineRule="exact"/>
              <w:rPr>
                <w:sz w:val="1"/>
                <w:szCs w:val="1"/>
                <w:color w:val="auto"/>
              </w:rPr>
            </w:pPr>
          </w:p>
        </w:tc>
        <w:tc>
          <w:tcPr>
            <w:tcW w:w="144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660" w:type="dxa"/>
            <w:vAlign w:val="bottom"/>
            <w:gridSpan w:val="2"/>
            <w:vMerge w:val="continue"/>
            <w:shd w:val="clear" w:color="auto" w:fill="CFF0FC"/>
          </w:tcPr>
          <w:p>
            <w:pPr>
              <w:spacing w:after="0"/>
              <w:rPr>
                <w:sz w:val="18"/>
                <w:szCs w:val="18"/>
                <w:color w:val="auto"/>
              </w:rPr>
            </w:pPr>
          </w:p>
        </w:tc>
        <w:tc>
          <w:tcPr>
            <w:tcW w:w="1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121,995</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111,860</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10,135</w:t>
            </w:r>
          </w:p>
        </w:tc>
        <w:tc>
          <w:tcPr>
            <w:tcW w:w="220" w:type="dxa"/>
            <w:vAlign w:val="bottom"/>
            <w:tcBorders>
              <w:right w:val="single" w:sz="8" w:color="CFF0FC"/>
            </w:tcBorders>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(51,479)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4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17,038</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28,383</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(11,345)</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(2,629)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222,200</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277,518</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(55,318)</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6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Percentage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Change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gridSpan w:val="3"/>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44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gridSpan w:val="3"/>
            <w:vMerge w:val="continue"/>
            <w:shd w:val="clear" w:color="auto" w:fill="CFF0FC"/>
          </w:tcPr>
          <w:p>
            <w:pPr>
              <w:spacing w:after="0"/>
              <w:rPr>
                <w:sz w:val="18"/>
                <w:szCs w:val="18"/>
                <w:color w:val="auto"/>
              </w:rPr>
            </w:pPr>
          </w:p>
        </w:tc>
        <w:tc>
          <w:tcPr>
            <w:tcW w:w="144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With respect to sales of industrial and mining products, the following table indicates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17"/>
        </w:trPr>
        <w:tc>
          <w:tcPr>
            <w:tcW w:w="518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w w:val="95"/>
              </w:rPr>
              <w:t>Change</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100" w:type="dxa"/>
            <w:vAlign w:val="bottom"/>
            <w:gridSpan w:val="2"/>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1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5,395</w:t>
            </w:r>
          </w:p>
        </w:tc>
        <w:tc>
          <w:tcPr>
            <w:tcW w:w="220" w:type="dxa"/>
            <w:vAlign w:val="bottom"/>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AN, Nitric Acid and Other</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118,327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45,337</w:t>
            </w:r>
          </w:p>
        </w:tc>
        <w:tc>
          <w:tcPr>
            <w:tcW w:w="142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185,830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135,098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50,732</w:t>
            </w:r>
          </w:p>
        </w:tc>
        <w:tc>
          <w:tcPr>
            <w:tcW w:w="14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8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Tampa Ammonia Benchmark (price per metric ton)</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545</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311</w:t>
            </w:r>
          </w:p>
        </w:tc>
        <w:tc>
          <w:tcPr>
            <w:tcW w:w="1420" w:type="dxa"/>
            <w:vAlign w:val="bottom"/>
            <w:gridSpan w:val="3"/>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
        </w:trPr>
        <w:tc>
          <w:tcPr>
            <w:tcW w:w="108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our agricultural products increased during the second quarter of 2021 compared to the prior year period driven by stronger pricing for UAN, ammonia and HDAN. Partially offsetting the benefit of stronger pricing was the lingering impact from winter storm Uri in February 2021. Our El Dorado and Pryor Facilities were shut down as our natural gas supply was curtailed during the very cold weather conditions that were experienced throughout the central U.S. These shutdowns, resulted in a drawdown of inventory, particularly of HDAN, given increased sales during the first quarter of 2021, reducing our inventory available for sale in the second quarter of 2021. Also depressing agricultural volumes during the second quarter of 2021 was the impact of wet weather across the Southern Plains throughout much of May delaying the application of fertilizer products. As a result, we are seeing an extension of the season into July given early season weather issues. Agricultural sales were also impacted by a shift in product mix as we continue our focus on the industrial products business.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of our industrial and mining products increased as a result of higher pricing related to a rise in the Tampa ammonia benchmark price, to which many of our industrial contracts are tied. Also benefitting industrial sales was the ramp up of a new nitric acid offtake agreement along with the continued recovery of demand from several key end markets including automotive, home building quarry and construction, precious metals mining and power generation, which have now exceeded pre-pandemic demand levels.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the table above, we recognized a gross profit of $35 million for the second quarter of 2021 compared to $19 million for the same period in 2020, or a $16 million improvement. Overall, our gross profit percentage was 24.9% compared to 18.1% for the same period in 2020. Our adjusted gross profit percentage increased to 37.4% for the second quarter of 2021 from 28.9% for the second quarter of 2020.</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gross profit was primarily driven by higher sales prices for our products coupled with increased sales volume of upgraded industrial and mining products and UAN partially offset by lower volumes of HDAN. The improvement in gross profit was partially offset by overall higher average natural gas costs which averaged $2.78 per MMBtu for the second quarter of 2021 as compared to $1.81 per MMBtu for the second quarter of 2020. The second quarter of 2020 also included settlements with certain vendors resulting in a recovery of approximately $5.7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 – PPP Loan Forgiven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above under “Recent Business Developments,” in June 2021, the PPP loan was fully forgiven by the SBA and lender. As a result, we recognized a gain on extinguishment of debt of $10 million for the second quarter of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for income taxes for the second quarter of 2021 was $0.2 million compared to $1.3 million for the same period of 2020. For both periods, the effective tax rate is less than the statutory rate primarily due to the impact of the PPP loan forgiveness, state tax law changes and valuation allowances. Also see discussion in Note 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6040" w:type="dxa"/>
            <w:vAlign w:val="bottom"/>
            <w:gridSpan w:val="8"/>
          </w:tcPr>
          <w:p>
            <w:pPr>
              <w:jc w:val="right"/>
              <w:spacing w:after="0"/>
              <w:rPr>
                <w:sz w:val="20"/>
                <w:szCs w:val="20"/>
                <w:color w:val="auto"/>
              </w:rPr>
            </w:pPr>
            <w:r>
              <w:rPr>
                <w:rFonts w:ascii="Arial" w:cs="Arial" w:eastAsia="Arial" w:hAnsi="Arial"/>
                <w:sz w:val="18"/>
                <w:szCs w:val="18"/>
                <w:b w:val="1"/>
                <w:bCs w:val="1"/>
                <w:color w:val="auto"/>
                <w:w w:val="90"/>
              </w:rPr>
              <w:t>Six Months Ended June 30, 2021 Compared to Six Month Ended June 30, 2020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6"/>
          </w:tcPr>
          <w:p>
            <w:pPr>
              <w:jc w:val="right"/>
              <w:ind w:right="92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6"/>
                <w:szCs w:val="16"/>
                <w:color w:val="auto"/>
                <w:w w:val="96"/>
              </w:rPr>
              <w:t>(Dollars In Thousands)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left w:val="single" w:sz="8" w:color="CFF0FC"/>
            </w:tcBorders>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111,421</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106,455</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4,966</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80" w:type="dxa"/>
            <w:vAlign w:val="bottom"/>
            <w:shd w:val="clear" w:color="auto" w:fill="CFF0FC"/>
          </w:tcPr>
          <w:p>
            <w:pPr>
              <w:spacing w:after="0"/>
              <w:rPr>
                <w:sz w:val="19"/>
                <w:szCs w:val="19"/>
                <w:color w:val="auto"/>
              </w:rPr>
            </w:pPr>
          </w:p>
        </w:tc>
        <w:tc>
          <w:tcPr>
            <w:tcW w:w="200" w:type="dxa"/>
            <w:vAlign w:val="bottom"/>
            <w:tcBorders>
              <w:left w:val="single" w:sz="8" w:color="CFF0FC"/>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188,444</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50,368</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6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77,596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50,456</w:t>
            </w:r>
          </w:p>
        </w:tc>
        <w:tc>
          <w:tcPr>
            <w:tcW w:w="28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27,140</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(33,681)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(34,537)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Borders>
              <w:lef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(836)</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11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(5,664)</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left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21,496</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(1,172)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(635)</w:t>
            </w:r>
          </w:p>
        </w:tc>
        <w:tc>
          <w:tcPr>
            <w:tcW w:w="200" w:type="dxa"/>
            <w:vAlign w:val="bottom"/>
            <w:tcBorders>
              <w:left w:val="single" w:sz="8" w:color="CFF0FC"/>
            </w:tcBorders>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22,290</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25,955</w:t>
            </w:r>
          </w:p>
        </w:tc>
        <w:tc>
          <w:tcPr>
            <w:tcW w:w="28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(1,293)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(803)</w:t>
            </w:r>
          </w:p>
        </w:tc>
        <w:tc>
          <w:tcPr>
            <w:tcW w:w="200" w:type="dxa"/>
            <w:vAlign w:val="bottom"/>
            <w:tcBorders>
              <w:left w:val="single" w:sz="8" w:color="CFF0FC"/>
            </w:tcBorders>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(4)</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(4)</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26.8%</w:t>
            </w:r>
          </w:p>
        </w:tc>
        <w:tc>
          <w:tcPr>
            <w:tcW w:w="200" w:type="dxa"/>
            <w:vAlign w:val="bottom"/>
            <w:tcBorders>
              <w:left w:val="single" w:sz="8" w:color="CFF0FC"/>
            </w:tcBorders>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amortization, Turnaround expenses, and a recovery from settlements.</w:t>
      </w:r>
    </w:p>
    <w:p>
      <w:pPr>
        <w:spacing w:after="0" w:line="33" w:lineRule="exact"/>
        <w:rPr>
          <w:rFonts w:ascii="Arial" w:cs="Arial" w:eastAsia="Arial" w:hAnsi="Arial"/>
          <w:sz w:val="15"/>
          <w:szCs w:val="15"/>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discussion above under “Items Affecting Comparability of Results of the Second Quarter.”</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5"/>
          </w:tcPr>
          <w:p>
            <w:pPr>
              <w:ind w:left="32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47"/>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17"/>
        </w:trPr>
        <w:tc>
          <w:tcPr>
            <w:tcW w:w="404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Change</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2940" w:type="dxa"/>
            <w:vAlign w:val="bottom"/>
            <w:gridSpan w:val="2"/>
            <w:vMerge w:val="restart"/>
            <w:shd w:val="clear" w:color="auto" w:fill="CFF0FC"/>
          </w:tcPr>
          <w:p>
            <w:pPr>
              <w:spacing w:after="0" w:line="20" w:lineRule="exact"/>
              <w:rPr>
                <w:sz w:val="1"/>
                <w:szCs w:val="1"/>
                <w:color w:val="auto"/>
              </w:rPr>
            </w:pPr>
          </w:p>
        </w:tc>
        <w:tc>
          <w:tcPr>
            <w:tcW w:w="17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vMerge w:val="continue"/>
            <w:shd w:val="clear" w:color="auto" w:fill="CFF0FC"/>
          </w:tcPr>
          <w:p>
            <w:pPr>
              <w:spacing w:after="0"/>
              <w:rPr>
                <w:sz w:val="18"/>
                <w:szCs w:val="18"/>
                <w:color w:val="auto"/>
              </w:rPr>
            </w:pPr>
          </w:p>
        </w:tc>
        <w:tc>
          <w:tcPr>
            <w:tcW w:w="2940" w:type="dxa"/>
            <w:vAlign w:val="bottom"/>
            <w:gridSpan w:val="2"/>
            <w:vMerge w:val="continue"/>
            <w:shd w:val="clear" w:color="auto" w:fill="CFF0FC"/>
          </w:tcPr>
          <w:p>
            <w:pPr>
              <w:spacing w:after="0"/>
              <w:rPr>
                <w:sz w:val="18"/>
                <w:szCs w:val="18"/>
                <w:color w:val="auto"/>
              </w:rPr>
            </w:pPr>
          </w:p>
        </w:tc>
        <w:tc>
          <w:tcPr>
            <w:tcW w:w="17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231,238</w:t>
            </w: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226,549</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260" w:type="dxa"/>
            <w:vAlign w:val="bottom"/>
            <w:tcBorders>
              <w:right w:val="single" w:sz="8" w:color="CFF0FC"/>
            </w:tcBorders>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152,701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193,892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(41,191)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7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39,092</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48,893</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(9,801)</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432,409</w:t>
            </w: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481,537</w:t>
            </w: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7"/>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Percentage</w:t>
            </w:r>
          </w:p>
        </w:tc>
        <w:tc>
          <w:tcPr>
            <w:tcW w:w="0" w:type="dxa"/>
            <w:vAlign w:val="bottom"/>
          </w:tcPr>
          <w:p>
            <w:pPr>
              <w:spacing w:after="0"/>
              <w:rPr>
                <w:sz w:val="1"/>
                <w:szCs w:val="1"/>
                <w:color w:val="auto"/>
              </w:rPr>
            </w:pPr>
          </w:p>
        </w:tc>
      </w:tr>
      <w:tr>
        <w:trPr>
          <w:trHeight w:val="217"/>
        </w:trPr>
        <w:tc>
          <w:tcPr>
            <w:tcW w:w="4040" w:type="dxa"/>
            <w:vAlign w:val="bottom"/>
            <w:gridSpan w:val="3"/>
          </w:tcPr>
          <w:p>
            <w:pPr>
              <w:spacing w:after="0"/>
              <w:rPr>
                <w:sz w:val="20"/>
                <w:szCs w:val="20"/>
                <w:color w:val="auto"/>
              </w:rPr>
            </w:pPr>
            <w:r>
              <w:rPr>
                <w:rFonts w:ascii="Arial" w:cs="Arial" w:eastAsia="Arial" w:hAnsi="Arial"/>
                <w:sz w:val="14"/>
                <w:szCs w:val="14"/>
                <w:color w:val="auto"/>
              </w:rPr>
              <w:t>Gross Average Selling Prices (price per ton)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1500" w:type="dxa"/>
            <w:vAlign w:val="bottom"/>
            <w:vMerge w:val="restart"/>
            <w:shd w:val="clear" w:color="auto" w:fill="CFF0FC"/>
          </w:tcPr>
          <w:p>
            <w:pPr>
              <w:spacing w:after="0" w:line="20" w:lineRule="exact"/>
              <w:rPr>
                <w:sz w:val="1"/>
                <w:szCs w:val="1"/>
                <w:color w:val="auto"/>
              </w:rPr>
            </w:pPr>
          </w:p>
        </w:tc>
        <w:tc>
          <w:tcPr>
            <w:tcW w:w="176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vMerge w:val="continue"/>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176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9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9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right w:val="single" w:sz="8" w:color="CFF0FC"/>
            </w:tcBorders>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With respect to sales of industrial and mining products, the following table indicates key operating metrics of our major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17"/>
        </w:trPr>
        <w:tc>
          <w:tcPr>
            <w:tcW w:w="47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3620" w:type="dxa"/>
            <w:vAlign w:val="bottom"/>
            <w:gridSpan w:val="2"/>
            <w:vMerge w:val="restart"/>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vMerge w:val="continue"/>
            <w:shd w:val="clear" w:color="auto" w:fill="CFF0FC"/>
          </w:tcPr>
          <w:p>
            <w:pPr>
              <w:spacing w:after="0"/>
              <w:rPr>
                <w:sz w:val="18"/>
                <w:szCs w:val="18"/>
                <w:color w:val="auto"/>
              </w:rPr>
            </w:pPr>
          </w:p>
        </w:tc>
        <w:tc>
          <w:tcPr>
            <w:tcW w:w="3620" w:type="dxa"/>
            <w:vAlign w:val="bottom"/>
            <w:gridSpan w:val="2"/>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110,696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132,636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(21,940)</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AN, Nitric Acid and Other</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94,068</w:t>
            </w:r>
          </w:p>
        </w:tc>
        <w:tc>
          <w:tcPr>
            <w:tcW w:w="24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345,188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72,128</w:t>
            </w:r>
          </w:p>
        </w:tc>
        <w:tc>
          <w:tcPr>
            <w:tcW w:w="2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Tampa Ammonia Benchmark (price per metric ton)</w:t>
            </w:r>
          </w:p>
        </w:tc>
        <w:tc>
          <w:tcPr>
            <w:tcW w:w="126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447</w:t>
            </w:r>
          </w:p>
        </w:tc>
        <w:tc>
          <w:tcPr>
            <w:tcW w:w="52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242</w:t>
            </w:r>
          </w:p>
        </w:tc>
        <w:tc>
          <w:tcPr>
            <w:tcW w:w="42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110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Agricultural product sales increased driven primarily by higher sales prices for all of our agricultural products and improved UAN sales volumes partially offset by lower sales volumes of HDAN and ammonia resulting from and lower production, including ammonia, due to the February 2021 weather event), the impact of wet weather across the Southern Plains throughout much of May, which delayed the application of fertilizer products, and product mix shifts to our industrial and mining products. As discussed above under “Recent Business Developments,” increased demand, higher corn prices and tighter supplies of nitrogen products contributed to the improved pricing.</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Industrial product sales increased primarily from higher sales prices due primarily to higher Tampa Ammonia benchmark pricing and higher nitric acid sales volume due in part to sales beginning in 2021 pursuant to the new long-term nitric acid supply agreement, and product mix shifts. The average Tampa Ammonia pricing was approximately $205 per ton higher compared to the same period in 2020.</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Mining products sales improved driven by primarily from increased sales volumes. Demand for mining products has improved, especially relating to metals mining as expanding electric vehicle market is driving the need for copper. Also, certain mining sales contracts are linked to natural gas indexes and as the cost of natural gas increases, the pricing for these products increase accordingly.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in the table above, we recognized a gross profit of $43.1 million for the first six months of 2021 compared to $21.6 million for the same period in 2020, or a $21.5 million improvement. Overall, our gross profit percentage was 18.0% compared to 11.4% for the same period in 2020. Our adjusted gross profit percentage increased to 32.5% for the first six months of 2021 from 28.6% for the first six months of 2020.</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gross profit was primarily driven by higher sales prices for our products coupled with increased sales volume of upgraded industrial and mining products and UAN partially offset by lower volumes of HDAN. The improvement in gross profit was partially offset by the net impact of the February weather disruption and overall higher average natural gas costs, which averaged $2.96 per MMBtu for the first six months of 2021 as compared to $1.95 per MMBtu for the same period of 2020. The first six months of 2020 also included settlements with certain vendors resulting in a recovery of approximately $5.7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$17.3 million for the first six months of 2021, a decrease of $1.2 million compared to the same period in 2020. The net decrease was primarily driven by lower professional fees, including lower legal fees of $2.9 million associated with claims we are pursuing against Leidos, partially offset by an increase in short and long-term compensation incentives of $2.0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expense for the first half of 2021 was $24.7 million compared to $26.0 million for the same period in 2020. The decrease relates primarily to the interest expense incurred during the first six months of 2020 associated with a litigation judgment discussed in footnote (B) of Note 5.</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 – PPP Loan Forgiven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above under “Recent Business Developments,” in June 2021, the PPP loan was fully forgiven by the SBA and lender. As a result, we recognized a gain on extinguishment of debt of $10 million for the second quarter of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Non-operating other expense for the first half of 2021 was $1.1 million compared to non-operating income of $0.8 million for the same period in 2020 or a change of $1.9 million. This change primarily relates to the change in fair value of the embedded derivative included in the Series E Preferred.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benefit for income taxes for the first six months of 2021 was $0.2 million compared to $1.6 million for the same period in 2020. For both periods, the effective tax rate is less than the statutory rate primarily due to the impact of the PPP loan forgiveness, state tax law changes and valuation allowances. Also see discussion in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six months ended June 30:</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r>
      <w:tr>
        <w:trPr>
          <w:trHeight w:val="234"/>
        </w:trPr>
        <w:tc>
          <w:tcPr>
            <w:tcW w:w="5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2"/>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30,581</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5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(14,549)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(17,654)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(14,671)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(46,671)</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$30.6 million for first half of 2021 compared to $19.4 million for the same period of 2020, a change of $11.2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2021, the net cash provided is the result of net income of $10.4 million plus adjustments of $33.7 million for depreciation and amortization of PP&amp;E, other adjustments of $2.6 million less $10.0 million for a gain on extinguishment of debt, and net cash used of $6.1 million primarily from our working capital.</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half of 2020, the net cash provided is the result of a net loss of $19.8 million plus adjustments of $34.6 million for depreciation and amortization of PP&amp;E and other adjustments of $2.1 million and net cash provided of $2.5 million primarily from our working capital.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was $14.5 million for the first half of 2021 compared to $17.7 million for the same period of 2020, a change of $3.1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2021 and 2020,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financing activities was $14.7 million for the first half of 2021 compared to net cash provided of $32.0 million for the same period of 2020, a change of $46.7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2021, the net cash used primarily consists of payments on other long-term debt and short-term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2020, the net cash provided primarily consists of proceeds of $30 million from our Working Capital Revolver Loan and proceeds of $12.6 million from other long-term debt partially offset by payments on other long-term debt and short-term financing of $10.5 million and payments of $0.1 million for other financing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Secured Loan Agreement due 2025</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2025</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Unsecured Loan Agreement due 2022</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16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(1)</w:t>
            </w:r>
          </w:p>
        </w:tc>
        <w:tc>
          <w:tcPr>
            <w:tcW w:w="1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Liquidation preference of $297.7 million as of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“Recent Business Developments - Planned Exchange Transaction and Special Common Stock Dividend.”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June 30, 2021, our Working Capital Revolver Loan was undrawn and had approximately $50.3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of 2021, we expect capital expenditures to be approximately $30 million to $35 million, which includes approximately $5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4, the Working Capital Revolver Loan requires, among other things, that we meet certain financial covenants. The Working Capital Revolver Loan does not include financial covenant requirements unless a defined covenant trigger event has occurred and is continuing. As of June 30, 2021,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2023 – </w:t>
      </w:r>
      <w:r>
        <w:rPr>
          <w:rFonts w:ascii="Arial" w:cs="Arial" w:eastAsia="Arial" w:hAnsi="Arial"/>
          <w:sz w:val="18"/>
          <w:szCs w:val="18"/>
          <w:color w:val="auto"/>
        </w:rPr>
        <w:t>LSB has $435 million aggregate principal amount of the 9.625% Senior Secured Notes currently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footnote (B) of Note 4. Interest is to be paid semiannually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 maturing May 1, 2023.</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Loan Agreement due 2025 - </w:t>
      </w:r>
      <w:r>
        <w:rPr>
          <w:rFonts w:ascii="Arial" w:cs="Arial" w:eastAsia="Arial" w:hAnsi="Arial"/>
          <w:sz w:val="18"/>
          <w:szCs w:val="18"/>
          <w:color w:val="auto"/>
        </w:rPr>
        <w:t>EDC is party to a secured loan agreement with an affiliate of LSB Funding. Principal and interest are payable in 60</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through March 2025.</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LSB Funding.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June 30, 2021, our Working Capital Revolver Loan was undrawn and had approximately $50.3 million of availability,</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eligible collateral, less outstanding letters of credit as of that date. Also see discussion above under “Compliance with Long-Term Debt Covenants.”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8"/>
          <w:szCs w:val="18"/>
          <w:b w:val="1"/>
          <w:bCs w:val="1"/>
          <w:color w:val="auto"/>
        </w:rPr>
        <w:t xml:space="preserve">Series E Redeemable Preferred – </w:t>
      </w:r>
      <w:r>
        <w:rPr>
          <w:rFonts w:ascii="Arial" w:cs="Arial" w:eastAsia="Arial" w:hAnsi="Arial"/>
          <w:sz w:val="18"/>
          <w:szCs w:val="18"/>
          <w:color w:val="auto"/>
        </w:rPr>
        <w:t>At June 30, 2021, there were 139,768 outstanding shares of Series E Redeemable Preferred and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liquidation preference (par value plus accrued dividends) was $297.7 million.</w:t>
      </w:r>
    </w:p>
    <w:p>
      <w:pPr>
        <w:spacing w:after="0" w:line="58" w:lineRule="exact"/>
        <w:rPr>
          <w:sz w:val="20"/>
          <w:szCs w:val="20"/>
          <w:color w:val="auto"/>
        </w:rPr>
      </w:pPr>
    </w:p>
    <w:p>
      <w:pPr>
        <w:ind w:right="1600"/>
        <w:spacing w:after="0" w:line="375" w:lineRule="auto"/>
        <w:rPr>
          <w:sz w:val="20"/>
          <w:szCs w:val="20"/>
          <w:color w:val="auto"/>
        </w:rPr>
      </w:pPr>
      <w:r>
        <w:rPr>
          <w:rFonts w:ascii="Arial" w:cs="Arial" w:eastAsia="Arial" w:hAnsi="Arial"/>
          <w:sz w:val="18"/>
          <w:szCs w:val="18"/>
          <w:color w:val="auto"/>
        </w:rPr>
        <w:t xml:space="preserve">See discussion above under “Recent Business Developments - Planned Exchange Transaction and Special Common Stock Dividend.” </w:t>
      </w:r>
      <w:r>
        <w:rPr>
          <w:rFonts w:ascii="Arial" w:cs="Arial" w:eastAsia="Arial" w:hAnsi="Arial"/>
          <w:sz w:val="18"/>
          <w:szCs w:val="18"/>
          <w:b w:val="1"/>
          <w:bCs w:val="1"/>
          <w:color w:val="auto"/>
        </w:rPr>
        <w:t>Capital Expenditures – First Six Months of 2021</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2021, capital expenditures relating to PP&amp;E were $14.8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$1.7 million during the first six months of 2021 in connection with environmental projects. For the remainder of 2021, we expect to incur expenses ranging from $1.9 million to $2.2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“Recent Business Developments - Planned Exchange Transaction and Special Common Stock Dividend.”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annual rate of 14.5% of the liquidation value of $1,000 per share, but such annual rate will increase to 15.0% beginning in April 2022 and to 16% beginning in April 2023 as discussed in Note 8. Each share of Series E Redeemable Preferred is entitled to receive a semi-annual dividend, only when declared by our Board. In addition, dividends in arrears at the dividend date, until paid, shall compound additional dividends at the annual rate. As of June 30, 2021, the semi-annual compounded dividend is approximately $150.84 per share for the current aggregate semi-annual dividend of $21.1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June 30, 2021, the amount of accumulated dividends on the Series E Redeemable Preferred was approximately $157.9 million.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amount of accumulated dividends on the Series D Preferred and Series B Preferred totaled approximately $1.7 million. All shares of the Series D Preferred and Series B Preferred are owned by the Golsen Holders and an immediate family member. There are no optional or mandatory redemption rights with respect to the Series B Preferred or Series D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fertilizer products sold to the agricultural industry are seasonal, while sales into the industrial and mining sectors generally are less susceptible to seasonal fluctuations. The selling seasons for agricultural products are primarily during the spring and fall planting seasons, which typically extend from March through June and from September through November in the geographical markets where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2021, we have agreed to indemnify the sureties for payments, up to $9.7 million, made by them in respect of such bonds. These insurance bonds are expected to expire or be renewed later in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See “Critical Accounting Policies and Estimates,” Item 7 of our 2020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and the lawsuit styled </w:t>
      </w:r>
      <w:r>
        <w:rPr>
          <w:rFonts w:ascii="Arial" w:cs="Arial" w:eastAsia="Arial" w:hAnsi="Arial"/>
          <w:sz w:val="17"/>
          <w:szCs w:val="17"/>
          <w:i w:val="1"/>
          <w:iCs w:val="1"/>
          <w:color w:val="auto"/>
        </w:rPr>
        <w:t>City of West,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Texas vs. CF Industries, Inc., et al., </w:t>
      </w:r>
      <w:r>
        <w:rPr>
          <w:rFonts w:ascii="Arial" w:cs="Arial" w:eastAsia="Arial" w:hAnsi="Arial"/>
          <w:sz w:val="17"/>
          <w:szCs w:val="17"/>
          <w:color w:val="auto"/>
        </w:rPr>
        <w:t>discussed under “Other Pending, Threatened or Settled Litigation” of Note 5.</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June 30, 2021 could change in the near term. Actual results could differ materially from these estimates and judgments, as additional information becomes known.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“Recent Business Developments - Planned Exchange Transaction and Special Common Stock Dividend.”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June 30, 2021,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June 30, 2021, we had no outstanding natural gas contracts, which are accounted for on a mark-to-market basis.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Generally, we are exposed to variable interest rate risk with respect to our revolving credit facility. As of June 30, 2021, we had no outstanding borrowings on this credit facility and no other variable rate borrowings. We currently do not hedge our interest rate risk associated with our variable interest loan.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2021. Based on this evaluation, the Company's Chief Executive Officer and Chief Financial Officer have concluded that the Company's disclosure controls and procedures were effective as of June 30, 2021,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159"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filing a preliminary proxy statement and holding a special meeting of stockholders during the third quarter of 2021;</w:t>
      </w:r>
    </w:p>
    <w:p>
      <w:pPr>
        <w:ind w:left="740" w:hanging="368"/>
        <w:spacing w:after="0" w:line="21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outcomes of and our ability to consummate the exchange transaction;</w:t>
      </w: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20"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line="27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 strategy to capitalize on ammonia opportunities;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timing of the planned exchange transaction;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not approving the exchange transaction;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associated with the COVID-19 pandemic and governmental and related responses;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environmental regulations, or in the interpretation of such;</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adequately evaluate potential acquisitions of strategic assets or companies;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improve our capital structure and overall cost of capital;</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2020.</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20"/>
              <w:spacing w:after="0"/>
              <w:rPr>
                <w:sz w:val="20"/>
                <w:szCs w:val="20"/>
                <w:color w:val="auto"/>
              </w:rPr>
            </w:pPr>
            <w:r>
              <w:rPr>
                <w:rFonts w:ascii="Arial" w:cs="Arial" w:eastAsia="Arial" w:hAnsi="Arial"/>
                <w:sz w:val="18"/>
                <w:szCs w:val="18"/>
                <w:color w:val="auto"/>
              </w:rPr>
              <w:t>- Ammonium nitrate.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ASC</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Codification.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Update.</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20"/>
              <w:spacing w:after="0"/>
              <w:rPr>
                <w:sz w:val="20"/>
                <w:szCs w:val="20"/>
                <w:color w:val="auto"/>
              </w:rPr>
            </w:pPr>
            <w:r>
              <w:rPr>
                <w:rFonts w:ascii="Arial" w:cs="Arial" w:eastAsia="Arial" w:hAnsi="Arial"/>
                <w:sz w:val="18"/>
                <w:szCs w:val="18"/>
                <w:color w:val="auto"/>
              </w:rPr>
              <w:t>- A consent administrative order.</w:t>
            </w:r>
          </w:p>
        </w:tc>
      </w:tr>
      <w:tr>
        <w:trPr>
          <w:trHeight w:val="270"/>
        </w:trPr>
        <w:tc>
          <w:tcPr>
            <w:tcW w:w="286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380" w:type="dxa"/>
            <w:vAlign w:val="bottom"/>
          </w:tcPr>
          <w:p>
            <w:pPr>
              <w:ind w:left="320"/>
              <w:spacing w:after="0"/>
              <w:rPr>
                <w:sz w:val="20"/>
                <w:szCs w:val="20"/>
                <w:color w:val="auto"/>
              </w:rPr>
            </w:pPr>
            <w:r>
              <w:rPr>
                <w:rFonts w:ascii="Arial" w:cs="Arial" w:eastAsia="Arial" w:hAnsi="Arial"/>
                <w:sz w:val="18"/>
                <w:szCs w:val="18"/>
                <w:color w:val="auto"/>
              </w:rPr>
              <w:t>- Coronavirus Aid, Relief, and Economic Security Act.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20"/>
              <w:spacing w:after="0"/>
              <w:rPr>
                <w:sz w:val="20"/>
                <w:szCs w:val="20"/>
                <w:color w:val="auto"/>
              </w:rPr>
            </w:pPr>
            <w:r>
              <w:rPr>
                <w:rFonts w:ascii="Arial" w:cs="Arial" w:eastAsia="Arial" w:hAnsi="Arial"/>
                <w:sz w:val="18"/>
                <w:szCs w:val="18"/>
                <w:color w:val="auto"/>
              </w:rPr>
              <w:t>- Chevron Environmental Management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novel coronavirus disease of 2019.</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Ammonia L.L.C.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20"/>
              <w:spacing w:after="0"/>
              <w:rPr>
                <w:sz w:val="20"/>
                <w:szCs w:val="20"/>
                <w:color w:val="auto"/>
              </w:rPr>
            </w:pPr>
            <w:r>
              <w:rPr>
                <w:rFonts w:ascii="Arial" w:cs="Arial" w:eastAsia="Arial" w:hAnsi="Arial"/>
                <w:sz w:val="18"/>
                <w:szCs w:val="18"/>
                <w:color w:val="auto"/>
              </w:rPr>
              <w:t>- Environmental Use Control.</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20"/>
              <w:spacing w:after="0"/>
              <w:rPr>
                <w:sz w:val="20"/>
                <w:szCs w:val="20"/>
                <w:color w:val="auto"/>
              </w:rPr>
            </w:pPr>
            <w:r>
              <w:rPr>
                <w:rFonts w:ascii="Arial" w:cs="Arial" w:eastAsia="Arial" w:hAnsi="Arial"/>
                <w:sz w:val="18"/>
                <w:szCs w:val="18"/>
                <w:color w:val="auto"/>
              </w:rPr>
              <w:t>- Financial Accounting Standards Board.</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380" w:type="dxa"/>
            <w:vAlign w:val="bottom"/>
          </w:tcPr>
          <w:p>
            <w:pPr>
              <w:ind w:left="320"/>
              <w:spacing w:after="0"/>
              <w:rPr>
                <w:sz w:val="20"/>
                <w:szCs w:val="20"/>
                <w:color w:val="auto"/>
              </w:rPr>
            </w:pPr>
            <w:r>
              <w:rPr>
                <w:rFonts w:ascii="Arial" w:cs="Arial" w:eastAsia="Arial" w:hAnsi="Arial"/>
                <w:sz w:val="18"/>
                <w:szCs w:val="18"/>
                <w:color w:val="auto"/>
              </w:rPr>
              <w:t>- U.S. Generally Accepted Accounting Principles.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2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Jack E. Golsen, Barry H. Golsen, and certain of their related parties identified as beneficial owners of our</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securities.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Kansas Department of Health and Environment.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20"/>
              <w:spacing w:after="0"/>
              <w:rPr>
                <w:sz w:val="20"/>
                <w:szCs w:val="20"/>
                <w:color w:val="auto"/>
              </w:rPr>
            </w:pPr>
            <w:r>
              <w:rPr>
                <w:rFonts w:ascii="Arial" w:cs="Arial" w:eastAsia="Arial" w:hAnsi="Arial"/>
                <w:sz w:val="18"/>
                <w:szCs w:val="18"/>
                <w:color w:val="auto"/>
              </w:rPr>
              <w:t>- Leidos Constructors L.L.C.</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The Series E Redeemable Preferred liquidation preference of $1,000 per share plus accrued and unpaid</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dividends plus the participation rights value.</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20"/>
              <w:spacing w:after="0"/>
              <w:rPr>
                <w:sz w:val="20"/>
                <w:szCs w:val="20"/>
                <w:color w:val="auto"/>
              </w:rPr>
            </w:pPr>
            <w:r>
              <w:rPr>
                <w:rFonts w:ascii="Arial" w:cs="Arial" w:eastAsia="Arial" w:hAnsi="Arial"/>
                <w:sz w:val="18"/>
                <w:szCs w:val="18"/>
                <w:color w:val="auto"/>
              </w:rPr>
              <w:t>- LSB Industries, Inc.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notes issued on June 21, 2019 with an interest rate of 9.625%, which mature in May 2023.</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2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notes issued on April 28, 2018 with an interest rate of 9.625%, which mature in May 2023.</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380" w:type="dxa"/>
            <w:vAlign w:val="bottom"/>
          </w:tcPr>
          <w:p>
            <w:pPr>
              <w:ind w:left="320"/>
              <w:spacing w:after="0"/>
              <w:rPr>
                <w:sz w:val="20"/>
                <w:szCs w:val="20"/>
                <w:color w:val="auto"/>
              </w:rPr>
            </w:pPr>
            <w:r>
              <w:rPr>
                <w:rFonts w:ascii="Arial" w:cs="Arial" w:eastAsia="Arial" w:hAnsi="Arial"/>
                <w:sz w:val="18"/>
                <w:szCs w:val="18"/>
                <w:color w:val="auto"/>
              </w:rPr>
              <w:t>- National Pollutant Discharge Elimination System.</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Oklahoma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8380" w:type="dxa"/>
            <w:vAlign w:val="bottom"/>
          </w:tcPr>
          <w:p>
            <w:pPr>
              <w:ind w:left="320"/>
              <w:spacing w:after="0"/>
              <w:rPr>
                <w:sz w:val="20"/>
                <w:szCs w:val="20"/>
                <w:color w:val="auto"/>
              </w:rPr>
            </w:pPr>
            <w:r>
              <w:rPr>
                <w:rFonts w:ascii="Arial" w:cs="Arial" w:eastAsia="Arial" w:hAnsi="Arial"/>
                <w:sz w:val="18"/>
                <w:szCs w:val="18"/>
                <w:color w:val="auto"/>
              </w:rPr>
              <w:t>- Permit Appeal Resolution.</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20"/>
              <w:spacing w:after="0"/>
              <w:rPr>
                <w:sz w:val="20"/>
                <w:szCs w:val="20"/>
                <w:color w:val="auto"/>
              </w:rPr>
            </w:pPr>
            <w:r>
              <w:rPr>
                <w:rFonts w:ascii="Arial" w:cs="Arial" w:eastAsia="Arial" w:hAnsi="Arial"/>
                <w:sz w:val="18"/>
                <w:szCs w:val="18"/>
                <w:color w:val="auto"/>
              </w:rPr>
              <w:t>- Pryor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20"/>
              <w:spacing w:after="0"/>
              <w:rPr>
                <w:sz w:val="20"/>
                <w:szCs w:val="20"/>
                <w:color w:val="auto"/>
              </w:rPr>
            </w:pPr>
            <w:r>
              <w:rPr>
                <w:rFonts w:ascii="Arial" w:cs="Arial" w:eastAsia="Arial" w:hAnsi="Arial"/>
                <w:sz w:val="18"/>
                <w:szCs w:val="18"/>
                <w:color w:val="auto"/>
              </w:rPr>
              <w:t>- Plant, property and equipment.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PPP</w:t>
            </w:r>
          </w:p>
        </w:tc>
        <w:tc>
          <w:tcPr>
            <w:tcW w:w="8380" w:type="dxa"/>
            <w:vAlign w:val="bottom"/>
          </w:tcPr>
          <w:p>
            <w:pPr>
              <w:ind w:left="320"/>
              <w:spacing w:after="0"/>
              <w:rPr>
                <w:sz w:val="20"/>
                <w:szCs w:val="20"/>
                <w:color w:val="auto"/>
              </w:rPr>
            </w:pPr>
            <w:r>
              <w:rPr>
                <w:rFonts w:ascii="Arial" w:cs="Arial" w:eastAsia="Arial" w:hAnsi="Arial"/>
                <w:sz w:val="18"/>
                <w:szCs w:val="18"/>
                <w:color w:val="auto"/>
              </w:rPr>
              <w:t>- Paycheck Protection Program.</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SBA</w:t>
            </w:r>
          </w:p>
        </w:tc>
        <w:tc>
          <w:tcPr>
            <w:tcW w:w="8380" w:type="dxa"/>
            <w:vAlign w:val="bottom"/>
          </w:tcPr>
          <w:p>
            <w:pPr>
              <w:ind w:left="320"/>
              <w:spacing w:after="0"/>
              <w:rPr>
                <w:sz w:val="20"/>
                <w:szCs w:val="20"/>
                <w:color w:val="auto"/>
              </w:rPr>
            </w:pPr>
            <w:r>
              <w:rPr>
                <w:rFonts w:ascii="Arial" w:cs="Arial" w:eastAsia="Arial" w:hAnsi="Arial"/>
                <w:sz w:val="18"/>
                <w:szCs w:val="18"/>
                <w:color w:val="auto"/>
              </w:rPr>
              <w:t>- Small Business Administration.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380" w:type="dxa"/>
            <w:vAlign w:val="bottom"/>
          </w:tcPr>
          <w:p>
            <w:pPr>
              <w:ind w:left="320"/>
              <w:spacing w:after="0"/>
              <w:rPr>
                <w:sz w:val="20"/>
                <w:szCs w:val="20"/>
                <w:color w:val="auto"/>
              </w:rPr>
            </w:pPr>
            <w:r>
              <w:rPr>
                <w:rFonts w:ascii="Arial" w:cs="Arial" w:eastAsia="Arial" w:hAnsi="Arial"/>
                <w:sz w:val="18"/>
                <w:szCs w:val="18"/>
                <w:color w:val="auto"/>
              </w:rPr>
              <w:t>- The U.S. Securities and Exchange Commission.</w:t>
            </w:r>
          </w:p>
        </w:tc>
      </w:tr>
      <w:tr>
        <w:trPr>
          <w:trHeight w:val="432"/>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39</w:t>
            </w: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Secured Financing due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2025</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Loan Agreement due 2025</w:t>
      </w:r>
    </w:p>
    <w:p>
      <w:pPr>
        <w:spacing w:after="0" w:line="289"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Secured Promissory Note due 2021 Senior Secured Notes Series B Preferred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Redeemable Preferred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Preferred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SG&amp;A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Turnaround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Fertilizer</w:t>
      </w:r>
    </w:p>
    <w:p>
      <w:pPr>
        <w:spacing w:after="0" w:line="50" w:lineRule="exact"/>
        <w:rPr>
          <w:sz w:val="20"/>
          <w:szCs w:val="20"/>
          <w:color w:val="auto"/>
        </w:rPr>
      </w:pPr>
    </w:p>
    <w:p>
      <w:pPr>
        <w:ind w:right="220"/>
        <w:spacing w:after="0" w:line="329" w:lineRule="auto"/>
        <w:rPr>
          <w:sz w:val="20"/>
          <w:szCs w:val="20"/>
          <w:color w:val="auto"/>
        </w:rPr>
      </w:pPr>
      <w:r>
        <w:rPr>
          <w:rFonts w:ascii="Arial" w:cs="Arial" w:eastAsia="Arial" w:hAnsi="Arial"/>
          <w:sz w:val="18"/>
          <w:szCs w:val="18"/>
          <w:b w:val="1"/>
          <w:bCs w:val="1"/>
          <w:color w:val="auto"/>
        </w:rPr>
        <w:t>Working Capital Revolver Loan 2020 Crop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Crop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Crop</w:t>
      </w:r>
    </w:p>
    <w:p>
      <w:pPr>
        <w:spacing w:after="0" w:line="20" w:lineRule="exact"/>
        <w:rPr>
          <w:sz w:val="20"/>
          <w:szCs w:val="20"/>
          <w:color w:val="auto"/>
        </w:rPr>
      </w:pPr>
      <w:r>
        <w:rPr>
          <w:sz w:val="20"/>
          <w:szCs w:val="20"/>
          <w:color w:val="auto"/>
        </w:rPr>
        <w:br w:type="column"/>
      </w: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financing arrangement between EDC and an affiliate of LSB Funding L.L.C. which matures in June 2023.</w:t>
      </w:r>
    </w:p>
    <w:p>
      <w:pPr>
        <w:spacing w:after="0" w:line="1"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financing arrangement between EDA and an affiliate of LSB Funding L.L.C. which matures in August 2025.</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loan agreement between EDC and an affiliate of LSB Funding L.L.C. which matures in March 2025.</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matured in March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Notes and New Notes, taken together due on May 1, 2023 with a stated interest rate of 9.625%.</w:t>
      </w:r>
    </w:p>
    <w:p>
      <w:pPr>
        <w:spacing w:after="0" w:line="61" w:lineRule="exact"/>
        <w:rPr>
          <w:rFonts w:ascii="Arial" w:cs="Arial" w:eastAsia="Arial" w:hAnsi="Arial"/>
          <w:sz w:val="17"/>
          <w:szCs w:val="17"/>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B 12% cumulative convertible Class C Preferred stock.</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D 6% cumulative convertible Class C preferred stock.</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14% Series E-1 Redeemable Preferred stock with participating rights and liquidating distributions based on a certain number of shares of our common stock.</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F-1 Redeemable Preferred stock with one share to vote as a single class on all matters with our common stock equal to 456,225 shares of our common stock.</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planned major maintenance activity.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Urea ammonium nitrate.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Department of Agriculture.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World Agricultural Supply and Demand Estimates Report.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West Fertilizer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secured revolving credit facility.</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2019 and ended in 2020 and primarily relates to corn planted and harvested in 2019.</w:t>
      </w:r>
    </w:p>
    <w:p>
      <w:pPr>
        <w:spacing w:after="0" w:line="1"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2020 and will end in 2021 and primarily relates to corn planted and harvested in 2020.</w:t>
      </w:r>
    </w:p>
    <w:p>
      <w:pPr>
        <w:spacing w:after="0" w:line="1" w:lineRule="exact"/>
        <w:rPr>
          <w:rFonts w:ascii="Arial" w:cs="Arial" w:eastAsia="Arial" w:hAnsi="Arial"/>
          <w:sz w:val="18"/>
          <w:szCs w:val="18"/>
          <w:color w:val="auto"/>
        </w:rPr>
      </w:pPr>
    </w:p>
    <w:p>
      <w:pPr>
        <w:ind w:left="96" w:hanging="96"/>
        <w:spacing w:after="0" w:line="277"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2021 and will end in 2022 and primarily relates to corn planted and harvested in 2021.</w:t>
      </w:r>
    </w:p>
    <w:p>
      <w:pPr>
        <w:spacing w:after="0" w:line="386"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00" w:space="484"/>
            <w:col w:w="8056"/>
          </w:cols>
          <w:pgMar w:left="320" w:top="378"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to be reported under this Item is not required for smaller reporting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“Index to Exhibits” on page </w:t>
      </w:r>
      <w:r>
        <w:rPr>
          <w:rFonts w:ascii="Arial" w:cs="Arial" w:eastAsia="Arial" w:hAnsi="Arial"/>
          <w:sz w:val="18"/>
          <w:szCs w:val="18"/>
          <w:color w:val="FF0000"/>
        </w:rPr>
        <w:t>42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Index to Exhibits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80" w:type="dxa"/>
            <w:vAlign w:val="bottom"/>
            <w:gridSpan w:val="9"/>
            <w:vMerge w:val="restart"/>
          </w:tcPr>
          <w:p>
            <w:pPr>
              <w:ind w:left="460"/>
              <w:spacing w:after="0"/>
              <w:rPr>
                <w:sz w:val="20"/>
                <w:szCs w:val="20"/>
                <w:color w:val="auto"/>
              </w:rPr>
            </w:pPr>
            <w:r>
              <w:rPr>
                <w:rFonts w:ascii="Arial" w:cs="Arial" w:eastAsia="Arial" w:hAnsi="Arial"/>
                <w:sz w:val="14"/>
                <w:szCs w:val="14"/>
                <w:b w:val="1"/>
                <w:bCs w:val="1"/>
                <w:color w:val="auto"/>
              </w:rPr>
              <w:t>Exhibit Title</w:t>
            </w:r>
          </w:p>
        </w:tc>
        <w:tc>
          <w:tcPr>
            <w:tcW w:w="8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9"/>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0"/>
        </w:trPr>
        <w:tc>
          <w:tcPr>
            <w:tcW w:w="1140" w:type="dxa"/>
            <w:vAlign w:val="bottom"/>
          </w:tcPr>
          <w:p>
            <w:pPr>
              <w:ind w:left="100"/>
              <w:spacing w:after="0"/>
              <w:rPr>
                <w:sz w:val="20"/>
                <w:szCs w:val="20"/>
                <w:color w:val="auto"/>
              </w:rPr>
            </w:pPr>
            <w:r>
              <w:rPr>
                <w:rFonts w:ascii="Arial" w:cs="Arial" w:eastAsia="Arial" w:hAnsi="Arial"/>
                <w:sz w:val="18"/>
                <w:szCs w:val="18"/>
                <w:color w:val="auto"/>
              </w:rPr>
              <w:t>3(i)</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Restated  Certificate  of  Incorporation  of  LSB  Industries,  Inc.,  dated</w:t>
              </w:r>
            </w:hyperlink>
          </w:p>
        </w:tc>
        <w:tc>
          <w:tcPr>
            <w:tcW w:w="10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January 21, 1977, as amended August 27, 1987</w:t>
              </w:r>
            </w:hyperlink>
          </w:p>
        </w:tc>
        <w:tc>
          <w:tcPr>
            <w:tcW w:w="2080" w:type="dxa"/>
            <w:vAlign w:val="bottom"/>
            <w:gridSpan w:val="7"/>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Second Amended and Restated Bylaws of LSB Industries, Inc., dated July</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3(ii)</w:t>
            </w:r>
          </w:p>
        </w:tc>
        <w:tc>
          <w:tcPr>
            <w:tcW w:w="1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19, 2021</w:t>
              </w:r>
            </w:hyperlink>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w w:val="97"/>
              </w:rPr>
              <w:t>Exhibit 3.1 to the Company’s Form 8-K filed July 19, 2021</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Certificate of Designations of Series G Class C Preferred Stock of LSB</w:t>
              </w:r>
            </w:hyperlink>
          </w:p>
        </w:tc>
        <w:tc>
          <w:tcPr>
            <w:tcW w:w="10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3.1 to the Company’s Form 8-K filed July 6, 2020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Industries, Inc., as filed with the Secretary of State of the State of</w:t>
              </w:r>
            </w:hyperlink>
          </w:p>
        </w:tc>
        <w:tc>
          <w:tcPr>
            <w:tcW w:w="10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Delaware on July 6, 2020</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1"/>
              </w:rPr>
              <w:t>Appendix A of the Registrant’s Proxy Statement on Schedule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14A relating to the Registrant’s 2021 Annual Meeting of</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tcBorders>
              <w:bottom w:val="single" w:sz="8" w:color="0000EE"/>
            </w:tcBorders>
            <w:gridSpan w:val="11"/>
          </w:tcPr>
          <w:p>
            <w:pPr>
              <w:spacing w:after="0" w:line="190"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LSB Industries, Inc. 2016 Long Term Incentive Plan (As Amended and</w:t>
              </w:r>
            </w:hyperlink>
          </w:p>
        </w:tc>
        <w:tc>
          <w:tcPr>
            <w:tcW w:w="100" w:type="dxa"/>
            <w:vAlign w:val="bottom"/>
            <w:gridSpan w:val="2"/>
          </w:tcPr>
          <w:p>
            <w:pPr>
              <w:spacing w:after="0"/>
              <w:rPr>
                <w:sz w:val="16"/>
                <w:szCs w:val="16"/>
                <w:color w:val="auto"/>
              </w:rPr>
            </w:pPr>
          </w:p>
        </w:tc>
        <w:tc>
          <w:tcPr>
            <w:tcW w:w="4480" w:type="dxa"/>
            <w:vAlign w:val="bottom"/>
          </w:tcPr>
          <w:p>
            <w:pPr>
              <w:spacing w:after="0" w:line="190" w:lineRule="exact"/>
              <w:rPr>
                <w:sz w:val="20"/>
                <w:szCs w:val="20"/>
                <w:color w:val="auto"/>
              </w:rPr>
            </w:pPr>
            <w:r>
              <w:rPr>
                <w:rFonts w:ascii="Arial" w:cs="Arial" w:eastAsia="Arial" w:hAnsi="Arial"/>
                <w:sz w:val="18"/>
                <w:szCs w:val="18"/>
                <w:color w:val="auto"/>
              </w:rPr>
              <w:t>Stockholders, File No. 001-07677, filed with the SEC on</w:t>
            </w: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Restated March 4, 2021)</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April 19,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3"/>
          </w:tcPr>
          <w:p>
            <w:pPr>
              <w:spacing w:after="0"/>
              <w:rPr>
                <w:rFonts w:ascii="Arial" w:cs="Arial" w:eastAsia="Arial" w:hAnsi="Arial"/>
                <w:sz w:val="18"/>
                <w:szCs w:val="18"/>
                <w:color w:val="0000EE"/>
                <w:w w:val="97"/>
              </w:rPr>
            </w:pPr>
            <w:hyperlink r:id="rId69">
              <w:r>
                <w:rPr>
                  <w:rFonts w:ascii="Arial" w:cs="Arial" w:eastAsia="Arial" w:hAnsi="Arial"/>
                  <w:sz w:val="18"/>
                  <w:szCs w:val="18"/>
                  <w:color w:val="0000EE"/>
                  <w:w w:val="97"/>
                </w:rPr>
                <w:t>Securities Exchange Agreement, dated July 19, 2021, by and between</w:t>
              </w:r>
            </w:hyperlink>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5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LSB Industries, Inc. and LSB Funding LLC</w:t>
              </w:r>
            </w:hyperlink>
          </w:p>
        </w:tc>
        <w:tc>
          <w:tcPr>
            <w:tcW w:w="480" w:type="dxa"/>
            <w:vAlign w:val="bottom"/>
            <w:gridSpan w:val="4"/>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w w:val="95"/>
              </w:rPr>
              <w:t>Exhibit 10.1 to the Company’s Form 8-K filed July 19,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Certification of Mark T. Behrman, Chief Executive Officer, pursuant to</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32.1(b)</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Certification of Mark T. Behrman,  Chief  Executive  Officer,  furnished</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pursuant to Sarbanes-Oxley Act of 2002, Section 906</w:t>
              </w:r>
            </w:hyperlink>
          </w:p>
        </w:tc>
        <w:tc>
          <w:tcPr>
            <w:tcW w:w="1820" w:type="dxa"/>
            <w:vAlign w:val="bottom"/>
            <w:gridSpan w:val="6"/>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32.2(b)</w:t>
            </w:r>
          </w:p>
        </w:tc>
        <w:tc>
          <w:tcPr>
            <w:tcW w:w="120" w:type="dxa"/>
            <w:vAlign w:val="bottom"/>
          </w:tcPr>
          <w:p>
            <w:pPr>
              <w:spacing w:after="0"/>
              <w:rPr>
                <w:sz w:val="24"/>
                <w:szCs w:val="24"/>
                <w:color w:val="auto"/>
              </w:rPr>
            </w:pPr>
          </w:p>
        </w:tc>
        <w:tc>
          <w:tcPr>
            <w:tcW w:w="5380" w:type="dxa"/>
            <w:vAlign w:val="bottom"/>
            <w:tcBorders>
              <w:bottom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Cheryl A. Maguire, Chief Financial Officer, furnished</w:t>
              </w:r>
            </w:hyperlink>
          </w:p>
        </w:tc>
        <w:tc>
          <w:tcPr>
            <w:tcW w:w="12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8"/>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the Inline XBRL document.</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right="5020" w:hanging="1252"/>
        <w:spacing w:after="0" w:line="277"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29</w:t>
      </w:r>
      <w:r>
        <w:rPr>
          <w:rFonts w:ascii="Arial" w:cs="Arial" w:eastAsia="Arial" w:hAnsi="Arial"/>
          <w:sz w:val="15"/>
          <w:szCs w:val="15"/>
          <w:color w:val="auto"/>
        </w:rPr>
        <w:t>th</w:t>
      </w:r>
      <w:r>
        <w:rPr>
          <w:rFonts w:ascii="Arial" w:cs="Arial" w:eastAsia="Arial" w:hAnsi="Arial"/>
          <w:sz w:val="18"/>
          <w:szCs w:val="18"/>
          <w:color w:val="auto"/>
        </w:rPr>
        <w:t xml:space="preserve"> day of July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8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2021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2021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upperLetter"/>
      <w:start w:val="1"/>
    </w:lvl>
  </w:abstractNum>
  <w:abstractNum w:abstractNumId="7">
    <w:nsid w:val="3F2DBA31"/>
    <w:multiLevelType w:val="hybridMultilevel"/>
    <w:lvl w:ilvl="0">
      <w:lvlJc w:val="left"/>
      <w:lvlText w:val="(%1)"/>
      <w:numFmt w:val="upperLetter"/>
      <w:start w:val="2"/>
    </w:lvl>
  </w:abstractNum>
  <w:abstractNum w:abstractNumId="8">
    <w:nsid w:val="7C83E458"/>
    <w:multiLevelType w:val="hybridMultilevel"/>
    <w:lvl w:ilvl="0">
      <w:lvlJc w:val="left"/>
      <w:lvlText w:val="(%1)"/>
      <w:numFmt w:val="upperLetter"/>
      <w:start w:val="3"/>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lvl w:ilvl="1">
      <w:lvlJc w:val="left"/>
      <w:lvlText w:val="(%2)"/>
      <w:numFmt w:val="decimal"/>
      <w:start w:val="1"/>
    </w:lvl>
  </w:abstractNum>
  <w:abstractNum w:abstractNumId="11">
    <w:nsid w:val="436C6125"/>
    <w:multiLevelType w:val="hybridMultilevel"/>
    <w:lvl w:ilvl="0">
      <w:lvlJc w:val="left"/>
      <w:lvlText w:val="%1."/>
      <w:numFmt w:val="decimal"/>
      <w:start w:val="7"/>
    </w:lvl>
    <w:lvl w:ilvl="1">
      <w:lvlJc w:val="left"/>
      <w:lvlText w:val="%2"/>
      <w:numFmt w:val="decimal"/>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04"/>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5" Type="http://schemas.openxmlformats.org/officeDocument/2006/relationships/hyperlink" Target="http://www.sec.gov/Archives/edgar/data/60714/000119312513084410/d447083dex3i1.htm" TargetMode="External"/><Relationship Id="rId66" Type="http://schemas.openxmlformats.org/officeDocument/2006/relationships/hyperlink" Target="http://www.sec.gov/Archives/edgar/data/60714/000119312521219140/d189542dex31.htm" TargetMode="External"/><Relationship Id="rId67" Type="http://schemas.openxmlformats.org/officeDocument/2006/relationships/hyperlink" Target="http://www.sec.gov/Archives/edgar/data/60714/000156459020031834/lxu-ex31_6.htm" TargetMode="External"/><Relationship Id="rId68" Type="http://schemas.openxmlformats.org/officeDocument/2006/relationships/hyperlink" Target="http://www.sec.gov/Archives/edgar/data/60714/000156459021019425/lxu-def14a_20210514.htm" TargetMode="External"/><Relationship Id="rId69" Type="http://schemas.openxmlformats.org/officeDocument/2006/relationships/hyperlink" Target="http://www.sec.gov/Archives/edgar/data/60714/000119312521219140/d18954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2021-07-29T16:05:55Z</dcterms:created>
  <dcterms:modified xsi:type="dcterms:W3CDTF">2021-07-29T16:05:55Z</dcterms:modified>
</cp:coreProperties>
</file>