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96520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1" w:lineRule="exact"/>
        <w:rPr>
          <w:sz w:val="24"/>
          <w:szCs w:val="24"/>
          <w:color w:val="auto"/>
        </w:rPr>
      </w:pPr>
    </w:p>
    <w:p>
      <w:pPr>
        <w:ind w:left="520" w:right="20" w:hanging="512"/>
        <w:spacing w:after="0" w:line="262"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tbl>
      <w:tblPr>
        <w:tblLayout w:type="fixed"/>
        <w:tblInd w:w="36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304"/>
        </w:trPr>
        <w:tc>
          <w:tcPr>
            <w:tcW w:w="330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-205105</wp:posOffset>
            </wp:positionV>
            <wp:extent cx="457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LSB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tbl>
      <w:tblPr>
        <w:tblLayout w:type="fixed"/>
        <w:tblInd w:w="560" w:type="dxa"/>
        <w:tblCellMar>
          <w:top w:w="0" w:type="dxa"/>
          <w:left w:w="0" w:type="dxa"/>
          <w:bottom w:w="0" w:type="dxa"/>
          <w:right w:w="0" w:type="dxa"/>
        </w:tblCellMar>
      </w:tblPr>
      <w:tr>
        <w:trPr>
          <w:trHeight w:val="214"/>
        </w:trPr>
        <w:tc>
          <w:tcPr>
            <w:tcW w:w="7140" w:type="dxa"/>
            <w:vAlign w:val="bottom"/>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73-1015226</w:t>
            </w:r>
          </w:p>
        </w:tc>
      </w:tr>
      <w:tr>
        <w:trPr>
          <w:trHeight w:val="149"/>
        </w:trPr>
        <w:tc>
          <w:tcPr>
            <w:tcW w:w="7140" w:type="dxa"/>
            <w:vAlign w:val="bottom"/>
          </w:tcPr>
          <w:p>
            <w:pPr>
              <w:jc w:val="center"/>
              <w:ind w:right="25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8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140" w:type="dxa"/>
            <w:vAlign w:val="bottom"/>
          </w:tcPr>
          <w:p>
            <w:pPr>
              <w:jc w:val="center"/>
              <w:ind w:right="25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8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5"/>
        </w:trPr>
        <w:tc>
          <w:tcPr>
            <w:tcW w:w="7140" w:type="dxa"/>
            <w:vAlign w:val="bottom"/>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w w:val="99"/>
              </w:rPr>
              <w:t>16 South Pennsylvania Avenue, Oklahoma City, Oklahoma</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73107</w:t>
            </w:r>
          </w:p>
        </w:tc>
      </w:tr>
      <w:tr>
        <w:trPr>
          <w:trHeight w:val="190"/>
        </w:trPr>
        <w:tc>
          <w:tcPr>
            <w:tcW w:w="7140" w:type="dxa"/>
            <w:vAlign w:val="bottom"/>
          </w:tcPr>
          <w:p>
            <w:pPr>
              <w:jc w:val="center"/>
              <w:ind w:right="25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55"/>
        </w:trPr>
        <w:tc>
          <w:tcPr>
            <w:tcW w:w="7140" w:type="dxa"/>
            <w:vAlign w:val="bottom"/>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(405) 235-4546</w:t>
            </w:r>
          </w:p>
        </w:tc>
        <w:tc>
          <w:tcPr>
            <w:tcW w:w="1480" w:type="dxa"/>
            <w:vAlign w:val="bottom"/>
          </w:tcPr>
          <w:p>
            <w:pPr>
              <w:spacing w:after="0"/>
              <w:rPr>
                <w:sz w:val="22"/>
                <w:szCs w:val="22"/>
                <w:color w:val="auto"/>
              </w:rPr>
            </w:pPr>
          </w:p>
        </w:tc>
      </w:tr>
      <w:tr>
        <w:trPr>
          <w:trHeight w:val="190"/>
        </w:trPr>
        <w:tc>
          <w:tcPr>
            <w:tcW w:w="7140" w:type="dxa"/>
            <w:vAlign w:val="bottom"/>
          </w:tcPr>
          <w:p>
            <w:pPr>
              <w:jc w:val="center"/>
              <w:ind w:left="3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80" w:type="dxa"/>
            <w:vAlign w:val="bottom"/>
          </w:tcPr>
          <w:p>
            <w:pPr>
              <w:spacing w:after="0"/>
              <w:rPr>
                <w:sz w:val="16"/>
                <w:szCs w:val="16"/>
                <w:color w:val="auto"/>
              </w:rPr>
            </w:pP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4"/>
          <w:szCs w:val="24"/>
          <w:color w:val="auto"/>
        </w:rPr>
      </w:pP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0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06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46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50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83"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was 28,405,103 shares as of July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630555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6" w:right="2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color w:val="auto"/>
        </w:rPr>
        <w:t>FORM 10-Q OF LSB INDUSTRIES, INC.</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4"/>
          </w:tcPr>
          <w:p>
            <w:pPr>
              <w:jc w:val="center"/>
              <w:ind w:right="2420"/>
              <w:spacing w:after="0"/>
              <w:rPr>
                <w:sz w:val="20"/>
                <w:szCs w:val="20"/>
                <w:color w:val="auto"/>
              </w:rPr>
            </w:pPr>
            <w:r>
              <w:rPr>
                <w:rFonts w:ascii="Times New Roman" w:cs="Times New Roman" w:eastAsia="Times New Roman" w:hAnsi="Times New Roman"/>
                <w:sz w:val="18"/>
                <w:szCs w:val="18"/>
                <w:color w:val="auto"/>
                <w:w w:val="99"/>
              </w:rPr>
              <w:t>PART I – Financial Information</w:t>
            </w:r>
          </w:p>
        </w:tc>
        <w:tc>
          <w:tcPr>
            <w:tcW w:w="6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Page</w:t>
            </w:r>
          </w:p>
        </w:tc>
        <w:tc>
          <w:tcPr>
            <w:tcW w:w="20" w:type="dxa"/>
            <w:vAlign w:val="bottom"/>
          </w:tcPr>
          <w:p>
            <w:pPr>
              <w:spacing w:after="0"/>
              <w:rPr>
                <w:sz w:val="20"/>
                <w:szCs w:val="20"/>
                <w:color w:val="auto"/>
              </w:rPr>
            </w:pPr>
          </w:p>
        </w:tc>
      </w:tr>
      <w:tr>
        <w:trPr>
          <w:trHeight w:val="3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12"/>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12"/>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Controls and Procedures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453"/>
        </w:trPr>
        <w:tc>
          <w:tcPr>
            <w:tcW w:w="9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4"/>
          </w:tcPr>
          <w:p>
            <w:pPr>
              <w:jc w:val="center"/>
              <w:ind w:right="2420"/>
              <w:spacing w:after="0"/>
              <w:rPr>
                <w:sz w:val="20"/>
                <w:szCs w:val="20"/>
                <w:color w:val="auto"/>
              </w:rPr>
            </w:pPr>
            <w:r>
              <w:rPr>
                <w:rFonts w:ascii="Times New Roman" w:cs="Times New Roman" w:eastAsia="Times New Roman" w:hAnsi="Times New Roman"/>
                <w:sz w:val="18"/>
                <w:szCs w:val="18"/>
                <w:color w:val="auto"/>
                <w:w w:val="99"/>
              </w:rPr>
              <w:t>PART II – Other Information</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44">
              <w:r>
                <w:rPr>
                  <w:rFonts w:ascii="Times New Roman" w:cs="Times New Roman" w:eastAsia="Times New Roman" w:hAnsi="Times New Roman"/>
                  <w:sz w:val="18"/>
                  <w:szCs w:val="18"/>
                  <w:color w:val="0000EE"/>
                  <w:w w:val="98"/>
                </w:rPr>
                <w:t>Legal Proceedings</w:t>
              </w:r>
            </w:hyperlink>
          </w:p>
        </w:tc>
        <w:tc>
          <w:tcPr>
            <w:tcW w:w="8460" w:type="dxa"/>
            <w:vAlign w:val="bottom"/>
            <w:gridSpan w:val="8"/>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12"/>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Risk Factors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12"/>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Unregistered Sales of Equity Securities and Use of Proceeds</w:t>
              </w:r>
            </w:hyperlink>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Defaults Upon Senior Securities</w:t>
              </w:r>
            </w:hyperlink>
          </w:p>
        </w:tc>
        <w:tc>
          <w:tcPr>
            <w:tcW w:w="5460" w:type="dxa"/>
            <w:vAlign w:val="bottom"/>
            <w:gridSpan w:val="3"/>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92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44">
              <w:r>
                <w:rPr>
                  <w:rFonts w:ascii="Times New Roman" w:cs="Times New Roman" w:eastAsia="Times New Roman" w:hAnsi="Times New Roman"/>
                  <w:sz w:val="18"/>
                  <w:szCs w:val="18"/>
                  <w:color w:val="0000EE"/>
                  <w:w w:val="98"/>
                </w:rPr>
                <w:t>Mining Safety Disclosures</w:t>
              </w:r>
            </w:hyperlink>
          </w:p>
        </w:tc>
        <w:tc>
          <w:tcPr>
            <w:tcW w:w="400" w:type="dxa"/>
            <w:vAlign w:val="bottom"/>
            <w:tcBorders>
              <w:top w:val="single" w:sz="8" w:color="0000EE"/>
            </w:tcBorders>
          </w:tcPr>
          <w:p>
            <w:pPr>
              <w:spacing w:after="0"/>
              <w:rPr>
                <w:sz w:val="24"/>
                <w:szCs w:val="24"/>
                <w:color w:val="auto"/>
              </w:rPr>
            </w:pPr>
          </w:p>
        </w:tc>
        <w:tc>
          <w:tcPr>
            <w:tcW w:w="7480" w:type="dxa"/>
            <w:vAlign w:val="bottom"/>
            <w:gridSpan w:val="4"/>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44">
              <w:r>
                <w:rPr>
                  <w:rFonts w:ascii="Times New Roman" w:cs="Times New Roman" w:eastAsia="Times New Roman" w:hAnsi="Times New Roman"/>
                  <w:sz w:val="18"/>
                  <w:szCs w:val="18"/>
                  <w:color w:val="0000EE"/>
                  <w:w w:val="98"/>
                </w:rPr>
                <w:t>Other Information</w:t>
              </w:r>
            </w:hyperlink>
          </w:p>
        </w:tc>
        <w:tc>
          <w:tcPr>
            <w:tcW w:w="8480" w:type="dxa"/>
            <w:vAlign w:val="bottom"/>
            <w:gridSpan w:val="9"/>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45">
              <w:r>
                <w:rPr>
                  <w:rFonts w:ascii="Times New Roman" w:cs="Times New Roman" w:eastAsia="Times New Roman" w:hAnsi="Times New Roman"/>
                  <w:sz w:val="18"/>
                  <w:szCs w:val="18"/>
                  <w:color w:val="0000EE"/>
                  <w:w w:val="96"/>
                </w:rPr>
                <w:t>Exhibits</w:t>
              </w:r>
            </w:hyperlink>
          </w:p>
        </w:tc>
        <w:tc>
          <w:tcPr>
            <w:tcW w:w="9200" w:type="dxa"/>
            <w:vAlign w:val="bottom"/>
            <w:gridSpan w:val="11"/>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858"/>
        </w:trPr>
        <w:tc>
          <w:tcPr>
            <w:tcW w:w="940" w:type="dxa"/>
            <w:vAlign w:val="bottom"/>
          </w:tcPr>
          <w:p>
            <w:pPr>
              <w:spacing w:after="0"/>
              <w:rPr>
                <w:sz w:val="24"/>
                <w:szCs w:val="24"/>
                <w:color w:val="auto"/>
              </w:rPr>
            </w:pPr>
          </w:p>
        </w:tc>
        <w:tc>
          <w:tcPr>
            <w:tcW w:w="6440" w:type="dxa"/>
            <w:vAlign w:val="bottom"/>
            <w:gridSpan w:val="11"/>
          </w:tcPr>
          <w:p>
            <w:pPr>
              <w:ind w:left="4720"/>
              <w:spacing w:after="0"/>
              <w:rPr>
                <w:sz w:val="20"/>
                <w:szCs w:val="20"/>
                <w:color w:val="auto"/>
              </w:rPr>
            </w:pPr>
            <w:r>
              <w:rPr>
                <w:rFonts w:ascii="Times New Roman" w:cs="Times New Roman" w:eastAsia="Times New Roman" w:hAnsi="Times New Roman"/>
                <w:sz w:val="18"/>
                <w:szCs w:val="18"/>
                <w:color w:val="auto"/>
              </w:rPr>
              <w:t>2</w:t>
            </w: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at June 30, 2017 is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June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40" w:type="dxa"/>
            <w:vAlign w:val="bottom"/>
            <w:gridSpan w:val="4"/>
          </w:tcPr>
          <w:p>
            <w:pPr>
              <w:jc w:val="right"/>
              <w:ind w:right="115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67,213</w:t>
            </w:r>
          </w:p>
        </w:tc>
        <w:tc>
          <w:tcPr>
            <w:tcW w:w="46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Finished goods</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Raw materials</w:t>
            </w:r>
          </w:p>
        </w:tc>
        <w:tc>
          <w:tcPr>
            <w:tcW w:w="38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inventories</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Supplies, prepaid items and other:</w:t>
            </w:r>
          </w:p>
        </w:tc>
        <w:tc>
          <w:tcPr>
            <w:tcW w:w="3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insurance</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Precious metals</w:t>
            </w:r>
          </w:p>
        </w:tc>
        <w:tc>
          <w:tcPr>
            <w:tcW w:w="3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Supplies</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Prepaid and refundable income taxes</w:t>
            </w:r>
          </w:p>
        </w:tc>
        <w:tc>
          <w:tcPr>
            <w:tcW w:w="3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8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supplies, prepaid items and other</w:t>
            </w:r>
          </w:p>
        </w:tc>
        <w:tc>
          <w:tcPr>
            <w:tcW w:w="38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44,243</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179,756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1,036,758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19"/>
                <w:szCs w:val="19"/>
                <w:color w:val="auto"/>
              </w:rPr>
            </w:pPr>
          </w:p>
        </w:tc>
        <w:tc>
          <w:tcPr>
            <w:tcW w:w="38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1,225,597</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1,270,420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(Continued on following page)</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at June 30, 2017 is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June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60" w:type="dxa"/>
            <w:vAlign w:val="bottom"/>
            <w:gridSpan w:val="4"/>
          </w:tcPr>
          <w:p>
            <w:pPr>
              <w:jc w:val="right"/>
              <w:ind w:right="115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49,200</w:t>
            </w:r>
          </w:p>
        </w:tc>
        <w:tc>
          <w:tcPr>
            <w:tcW w:w="46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financing</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401,889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accrued and other liabilities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88,768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Series E 14% cumulative, redeemable Class C preferred stock, no par value,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210,000 shares issued; 139,768 outstanding; aggregate liquidation preference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$173,113,000 ($161,788,000 at December 31, 2016)</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159,571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Series F redeemable Class C preferred stock, no par value, 1 share issued and</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outstanding; aggregate liquidation preference of $100</w:t>
            </w:r>
          </w:p>
        </w:tc>
        <w:tc>
          <w:tcPr>
            <w:tcW w:w="7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Series B 12% cumulative, convertible preferred stock, $100 par value; 20,000 shares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Series D 6% cumulative, convertible Class C preferred stock, no par value;</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1,000,000 shares issued and outstanding</w:t>
            </w:r>
          </w:p>
        </w:tc>
        <w:tc>
          <w:tcPr>
            <w:tcW w:w="7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$.10 par value; 75,000,000 shares authorized, 31,280,685</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194,009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287,800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487,937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treasury stock, at cost:</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Common stock, 2,875,582 shares (3,004,855 shares at December 31, 2016)</w:t>
            </w:r>
          </w:p>
        </w:tc>
        <w:tc>
          <w:tcPr>
            <w:tcW w:w="7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19,243</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468,694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1,225,597</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1,270,420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gridSpan w:val="7"/>
          </w:tcPr>
          <w:p>
            <w:pPr>
              <w:jc w:val="right"/>
              <w:ind w:right="60"/>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122,853</w:t>
            </w:r>
          </w:p>
        </w:tc>
        <w:tc>
          <w:tcPr>
            <w:tcW w:w="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109,982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246,197</w:t>
            </w:r>
          </w:p>
        </w:tc>
        <w:tc>
          <w:tcPr>
            <w:tcW w:w="2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111,513</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107,853</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223,242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22,955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other expense (income), net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(3,970)</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4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Loss from continuing operations before benefit</w:t>
            </w: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 income taxes</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(9,794)</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(11,359)</w:t>
            </w: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(17,062)</w:t>
            </w:r>
          </w:p>
        </w:tc>
        <w:tc>
          <w:tcPr>
            <w:tcW w:w="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(31,974)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(3,671)</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discontinued operations, including taxes</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Dividends on convertible preferred stocks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on Series E redeemable preferred stock</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Series E redeemable preferred stock</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2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(27,711)</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per common share: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(0.53)</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Income from discontinued operations, including taxes</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(0.53)</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(0.70)</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from discontinued operations, including taxes</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Common</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Treasury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color w:val="auto"/>
                <w:w w:val="97"/>
              </w:rPr>
              <w:t>Non-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w w:val="99"/>
              </w:rPr>
              <w:t>Common</w:t>
            </w: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Capital in</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Treasury</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Retained</w:t>
            </w: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color w:val="auto"/>
                <w:w w:val="99"/>
              </w:rPr>
              <w:t>Preferred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Excess of</w:t>
            </w: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color w:val="auto"/>
              </w:rPr>
              <w:t>Stock</w:t>
            </w:r>
          </w:p>
        </w:tc>
        <w:tc>
          <w:tcPr>
            <w:tcW w:w="1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Par Value</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Par Value</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Earnings</w:t>
            </w:r>
          </w:p>
        </w:tc>
        <w:tc>
          <w:tcPr>
            <w:tcW w:w="6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Common</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color w:val="auto"/>
              </w:rPr>
              <w:t>(In Thousands)</w:t>
            </w: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31,281</w:t>
            </w: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8"/>
              </w:rPr>
              <w:t>3,128</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$ 192,172</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$ 314,301</w:t>
            </w:r>
          </w:p>
        </w:tc>
        <w:tc>
          <w:tcPr>
            <w:tcW w:w="14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 (20,088)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$ 492,513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change in accounting</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principle</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(13,019)</w:t>
            </w:r>
          </w:p>
        </w:tc>
        <w:tc>
          <w:tcPr>
            <w:tcW w:w="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(13,019)</w:t>
            </w:r>
          </w:p>
        </w:tc>
        <w:tc>
          <w:tcPr>
            <w:tcW w:w="0" w:type="dxa"/>
            <w:vAlign w:val="bottom"/>
          </w:tcPr>
          <w:p>
            <w:pPr>
              <w:spacing w:after="0"/>
              <w:rPr>
                <w:sz w:val="1"/>
                <w:szCs w:val="1"/>
                <w:color w:val="auto"/>
              </w:rPr>
            </w:pPr>
          </w:p>
        </w:tc>
      </w:tr>
      <w:tr>
        <w:trPr>
          <w:trHeight w:val="21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Dividend accrued on redeemable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(11,325)</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(11,325)</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redeemable preferred stock</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(3,217)</w:t>
            </w:r>
          </w:p>
        </w:tc>
        <w:tc>
          <w:tcPr>
            <w:tcW w:w="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restricted stock, net</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(911)</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2017</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31,281</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8"/>
              </w:rPr>
              <w:t>3,128</w:t>
            </w: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$ 194,009</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$ 287,800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(19,243</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$ 468,694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June 30,</w:t>
            </w:r>
          </w:p>
        </w:tc>
        <w:tc>
          <w:tcPr>
            <w:tcW w:w="1020" w:type="dxa"/>
            <w:vAlign w:val="bottom"/>
            <w:vMerge w:val="restart"/>
          </w:tcPr>
          <w:p>
            <w:pPr>
              <w:jc w:val="right"/>
              <w:ind w:right="539"/>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4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(In Thousands)</w:t>
            </w: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continuing operating activities</w:t>
            </w:r>
          </w:p>
        </w:tc>
        <w:tc>
          <w:tcPr>
            <w:tcW w:w="1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40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(13,019)</w:t>
            </w:r>
          </w:p>
        </w:tc>
        <w:tc>
          <w:tcPr>
            <w:tcW w:w="560" w:type="dxa"/>
            <w:vAlign w:val="bottom"/>
            <w:gridSpan w:val="2"/>
          </w:tcPr>
          <w:p>
            <w:pPr>
              <w:jc w:val="right"/>
              <w:ind w:right="424"/>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(used) by</w:t>
            </w:r>
          </w:p>
        </w:tc>
        <w:tc>
          <w:tcPr>
            <w:tcW w:w="1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continuing operating activities:</w:t>
            </w:r>
          </w:p>
        </w:tc>
        <w:tc>
          <w:tcPr>
            <w:tcW w:w="1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from discontinued operations, including taxes</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(23,603)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1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(4,004)</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(8,633)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sales of a business and other property and equipment</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Depreciation, depletion and amortization of property, plant and equipment</w:t>
            </w:r>
          </w:p>
        </w:tc>
        <w:tc>
          <w:tcPr>
            <w:tcW w:w="1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Cash provided (used) by changes in assets and liabilities (net of effects of</w:t>
            </w:r>
          </w:p>
        </w:tc>
        <w:tc>
          <w:tcPr>
            <w:tcW w:w="14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discontinued operations):</w:t>
            </w:r>
          </w:p>
        </w:tc>
        <w:tc>
          <w:tcPr>
            <w:tcW w:w="1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(8,243)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(4,233)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Inventories</w:t>
            </w:r>
          </w:p>
        </w:tc>
        <w:tc>
          <w:tcPr>
            <w:tcW w:w="1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Prepaid insurance</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Prepaid and accrued income taxes</w:t>
            </w:r>
          </w:p>
        </w:tc>
        <w:tc>
          <w:tcPr>
            <w:tcW w:w="1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(1,040)</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supplies, prepaid items and other</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(2,471)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1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(2,364)</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(1,028)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continuing operating activities</w:t>
            </w:r>
          </w:p>
        </w:tc>
        <w:tc>
          <w:tcPr>
            <w:tcW w:w="14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22,941</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24,244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continuing investing activities</w:t>
            </w:r>
          </w:p>
        </w:tc>
        <w:tc>
          <w:tcPr>
            <w:tcW w:w="1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Expenditures for property, plant and equipment</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(16,362)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(170,057)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proceeds from sale of a business and other property and equipment</w:t>
            </w:r>
          </w:p>
        </w:tc>
        <w:tc>
          <w:tcPr>
            <w:tcW w:w="1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4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(used) by continuing investing activities</w:t>
            </w:r>
          </w:p>
        </w:tc>
        <w:tc>
          <w:tcPr>
            <w:tcW w:w="1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(168,999)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continuing financing activities</w:t>
            </w:r>
          </w:p>
        </w:tc>
        <w:tc>
          <w:tcPr>
            <w:tcW w:w="1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revolving debt facility</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Payments on revolving debt facility</w:t>
            </w:r>
          </w:p>
        </w:tc>
        <w:tc>
          <w:tcPr>
            <w:tcW w:w="1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other long-term debt, net of fees</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Payments on other long-term debt</w:t>
            </w:r>
          </w:p>
        </w:tc>
        <w:tc>
          <w:tcPr>
            <w:tcW w:w="1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(10,653)</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(7,639)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Payments of issuance costs relating to preferred stocks and warrants</w:t>
            </w:r>
          </w:p>
        </w:tc>
        <w:tc>
          <w:tcPr>
            <w:tcW w:w="1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short-term financing</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(6,522)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(4,783)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1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(used) by continuing financing activities</w:t>
            </w:r>
          </w:p>
        </w:tc>
        <w:tc>
          <w:tcPr>
            <w:tcW w:w="14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(17,332)</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32,279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Cash flows of discontinued operations:</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cash provided (used) by operating activities</w:t>
            </w:r>
          </w:p>
        </w:tc>
        <w:tc>
          <w:tcPr>
            <w:tcW w:w="1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(1,714)</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used by investing activities</w:t>
            </w: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Net cash used by financing activities</w:t>
            </w:r>
          </w:p>
        </w:tc>
        <w:tc>
          <w:tcPr>
            <w:tcW w:w="14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(131)</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(1,370)</w:t>
            </w:r>
          </w:p>
        </w:tc>
        <w:tc>
          <w:tcPr>
            <w:tcW w:w="0" w:type="dxa"/>
            <w:vAlign w:val="bottom"/>
          </w:tcPr>
          <w:p>
            <w:pPr>
              <w:spacing w:after="0"/>
              <w:rPr>
                <w:sz w:val="1"/>
                <w:szCs w:val="1"/>
                <w:color w:val="auto"/>
              </w:rPr>
            </w:pPr>
          </w:p>
        </w:tc>
      </w:tr>
      <w:tr>
        <w:trPr>
          <w:trHeight w:val="207"/>
        </w:trPr>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cash provided (used) by discontinued operations</w:t>
            </w:r>
          </w:p>
        </w:tc>
        <w:tc>
          <w:tcPr>
            <w:tcW w:w="14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4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7,196</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(104,359)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40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60,017</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127,195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400" w:type="dxa"/>
            <w:vAlign w:val="bottom"/>
          </w:tcPr>
          <w:p>
            <w:pPr>
              <w:spacing w:after="0"/>
              <w:rPr>
                <w:sz w:val="17"/>
                <w:szCs w:val="17"/>
                <w:color w:val="auto"/>
              </w:rPr>
            </w:pP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67,213</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Summary of Significant Accounting Policies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complete discussion of our significant accounting policies, refer to the notes to our audited consolidated financial statements included in our Form 10-K for the year ended December 31, 2016 (“2016 Form 10-K”), filed with the Securities and Exchange Commission (“SEC”) on February 27, 2017.</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Consolidation </w:t>
      </w:r>
      <w:r>
        <w:rPr>
          <w:rFonts w:ascii="Times New Roman" w:cs="Times New Roman" w:eastAsia="Times New Roman" w:hAnsi="Times New Roman"/>
          <w:sz w:val="18"/>
          <w:szCs w:val="18"/>
          <w:color w:val="auto"/>
        </w:rPr>
        <w:t>- LSB Industries, Inc. (“LSB”) and its subsidiaries (the “Company”, “We”, “Us”, or “Our”) are consolidated in the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condensed consolidated financial statements. LSB is a holding company with no significant operations or assets other than cash, cash equivalents, and investments in its subsidiaries. All material intercompany accounts and transactions have been eliminated.</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11, 2017, Zena Energy L.L.C. (“Zena”), which is an indirect, wholly owned subsidiary of LSB, entered into a purchase and sale agreement with BKV Chelsea, LLC, (“BKV”). Under the terms of the purchase and sale agreement, Zena agreed to sell to BKV substantially all of its assets, including Zena’s right, title, and interest in all of its oil and natural gas properties (the “Properties”) located in Wyoming County, Pennsylvania for a purchase price of approximately $16.3 million, subject to customary post-closing adjustments, which sale was completed on June 26, 2017. As a result, we recognized a loss on the sale of approximately $4.0 million which is included in operating other expense. The carrying value of the assets sold was approximately $20.0 million and was included in p</w:t>
      </w:r>
      <w:r>
        <w:rPr>
          <w:rFonts w:ascii="Times New Roman" w:cs="Times New Roman" w:eastAsia="Times New Roman" w:hAnsi="Times New Roman"/>
          <w:sz w:val="18"/>
          <w:szCs w:val="18"/>
          <w:color w:val="2E2E2E"/>
        </w:rPr>
        <w:t>lant, property and equipment (“</w:t>
      </w:r>
      <w:r>
        <w:rPr>
          <w:rFonts w:ascii="Times New Roman" w:cs="Times New Roman" w:eastAsia="Times New Roman" w:hAnsi="Times New Roman"/>
          <w:sz w:val="18"/>
          <w:szCs w:val="18"/>
          <w:color w:val="auto"/>
        </w:rPr>
        <w:t>PP&amp;E”) at December 31, 2016. Concurrently with the closing of the purchase and sale agreement, a portion of the net proceeds (approximately $3.5 million) was used to repay the remaining outstanding balance of a promissory note, which was secured by the Properties.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Zena’s prior ownership of working interests in natural gas properties was accounted for as an undivided interest, whereby we reflected our proportionate share of the underlying assets, liabilities, revenues and expenses. The working interest represented our share of the costs and expenses incurred primarily to develop the underlying leaseholds and to produce natural gas while the net revenue interest represented our share of the revenues from the sale of natural gas. The net revenue interest was less than the working interest as the result of royalty interest due to others. We were not the operator of these natural gas properties.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Nature of Business - </w:t>
      </w:r>
      <w:r>
        <w:rPr>
          <w:rFonts w:ascii="Times New Roman" w:cs="Times New Roman" w:eastAsia="Times New Roman" w:hAnsi="Times New Roman"/>
          <w:sz w:val="18"/>
          <w:szCs w:val="18"/>
          <w:color w:val="auto"/>
        </w:rPr>
        <w:t>We are engaged in the manufacture and sale of chemical products. The chemical products we primarily manufacture, market and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ammonia, fertilizer grade ammonium nitrate (“HDAN”), urea ammonium nitrate (“UAN”), and ammonium nitrate (“AN”) solution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unaudited condensed consolidated financial statements of the Company as of June 30, 2017 and for the three and six months periods ended June 30, 2017 and 2016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2016 Form 10-K.</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condensed consolidated financial statements in conformity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Summary of Significant Accounting Policies (continued)</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Risks for Cash and Cash Equivalents </w:t>
      </w:r>
      <w:r>
        <w:rPr>
          <w:rFonts w:ascii="Times New Roman" w:cs="Times New Roman" w:eastAsia="Times New Roman" w:hAnsi="Times New Roman"/>
          <w:sz w:val="18"/>
          <w:szCs w:val="18"/>
          <w:color w:val="auto"/>
        </w:rPr>
        <w:t>– Financial instruments relating to cash and cash equivalents potentially subject us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concentrations of credit risk. These financial instruments were held by financial institutions within the U.S. and none of these financial instruments were in excess of the federally insured limits.</w:t>
      </w:r>
    </w:p>
    <w:p>
      <w:pPr>
        <w:spacing w:after="0" w:line="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Inventories - </w:t>
      </w:r>
      <w:r>
        <w:rPr>
          <w:rFonts w:ascii="Times New Roman" w:cs="Times New Roman" w:eastAsia="Times New Roman" w:hAnsi="Times New Roman"/>
          <w:sz w:val="18"/>
          <w:szCs w:val="18"/>
          <w:color w:val="auto"/>
        </w:rPr>
        <w:t>Inventories are stated at the lower of cost (determined using the first-in, first-out (“FIFO”) basis) or net realizable value, which is the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selling prices in the ordinary course of business, less reasonably predictable costs of completion, transportation or disposal. Finished goods include material, labor, and manufacturing overhead costs. On January 1, 2017, we adopted ASU No. 2015-11, </w:t>
      </w:r>
      <w:r>
        <w:rPr>
          <w:rFonts w:ascii="Times New Roman" w:cs="Times New Roman" w:eastAsia="Times New Roman" w:hAnsi="Times New Roman"/>
          <w:sz w:val="18"/>
          <w:szCs w:val="18"/>
          <w:i w:val="1"/>
          <w:iCs w:val="1"/>
          <w:color w:val="auto"/>
        </w:rPr>
        <w:t>Inventory (Topic 330): Simplifying the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as discussed below in “Recently Issued Accounting Pronouncements”.</w:t>
      </w:r>
    </w:p>
    <w:p>
      <w:pPr>
        <w:spacing w:after="0" w:line="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Precious Metals - </w:t>
      </w:r>
      <w:r>
        <w:rPr>
          <w:rFonts w:ascii="Times New Roman" w:cs="Times New Roman" w:eastAsia="Times New Roman" w:hAnsi="Times New Roman"/>
          <w:sz w:val="18"/>
          <w:szCs w:val="18"/>
          <w:color w:val="auto"/>
        </w:rPr>
        <w:t>Precious metals are used as a catalyst in our manufacturing process. Precious metals are carried at cost, with cost being determined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FIFO basis. Because some of the catalyst consumed in the production process cannot be readily recovered and the amount and timing of recoveries are not predictable, we follow the practice of expensing precious metals as they are consumed. Occasionally, during major maintenance or capital projects, we may be able to perform procedures to recover precious metals (previously expensed) which have accumulated over time within the manufacturing equipment. Recoveries of precious metals are recognized at historical FIFO costs. When we accumulate precious metals in excess of our production requirements, we may sell a portion of the excess metals.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2017, we recognized a recovery of precious metals of approximately $2.9 million, which recovery is classified as a reduction to cost of sales.</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Redeemable Preferred Stocks </w:t>
      </w:r>
      <w:r>
        <w:rPr>
          <w:rFonts w:ascii="Times New Roman" w:cs="Times New Roman" w:eastAsia="Times New Roman" w:hAnsi="Times New Roman"/>
          <w:sz w:val="18"/>
          <w:szCs w:val="18"/>
          <w:color w:val="auto"/>
        </w:rPr>
        <w:t>- Our redeemable preferred stocks that are redeemable outside of our control are classified as temporary/mezzanine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August 2, 2019, the earliest possible redemption date by the holder. The amount of accretion was recorded to retained earnings. However, it is reasonably possible this accretion could accelerate if the expected redemption date is earlier than August 2, 2019.</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Income (Loss) per Common Share </w:t>
      </w:r>
      <w:r>
        <w:rPr>
          <w:rFonts w:ascii="Times New Roman" w:cs="Times New Roman" w:eastAsia="Times New Roman" w:hAnsi="Times New Roman"/>
          <w:sz w:val="18"/>
          <w:szCs w:val="18"/>
          <w:color w:val="auto"/>
        </w:rPr>
        <w:t>- Net income (loss) attributable to common stockholders is computed by adjusting net income (loss) by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and dividend requirements on preferred stocks and the accretion of redeemable preferred stocks, if applicable. Basic loss per common share is computed by dividing net loss attributable to common stockholders by the weighted average number of common shares outstanding, excluding contingently returnable common shares (unvested restricted stock), if applicable. For periods we earn net income, a proportional share of net income is allocated to participating securities, if applicable, determined by dividing total weighted average participating securities by the sum of the total weighted average common shares and participating securities (the “two-class method”). Certain securities (Series E Redeemable Preferred and restricted stock units) participate in dividends declared on our common stock and are therefore considered to be participating securities. Participating securities have the effect of diluting both basic and diluted income per common share during periods of net income. For periods we incur a net loss, no loss is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Recently Issued Accounting Pronouncements </w:t>
      </w:r>
      <w:r>
        <w:rPr>
          <w:rFonts w:ascii="Times New Roman" w:cs="Times New Roman" w:eastAsia="Times New Roman" w:hAnsi="Times New Roman"/>
          <w:sz w:val="18"/>
          <w:szCs w:val="18"/>
          <w:color w:val="auto"/>
        </w:rPr>
        <w:t>- In May 2014, the Financial Accounting Standards Board (“FASB”) issued Accounting Standard Update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which will supersede nearly all existing revenue recognition guidance under GAAP. This ASU’s core principle is that a company will recognize revenue when it transfers promised goods or services to customers in an amount that reflects the consideration to which the company expects to be entitled in exchange for those goods or services. In July 2015, the FASB approved a one-year deferral of the effective date of this ASU with the option to early adopt but not before the original effective date. In addition, the FASB has issued various ASUs further amending revenue recognition guidance, which includes ASU 2016-08, 2016-10, 2016-11, 2016-12 and 2016-20. We plan to adopt this ASU on the effective date of January 1, 2018 using the “modified retrospective” adoption method, meaning the standard is applied only to the most current period presented in the financial statements and apply only to existing contracts as of the effective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Summary of Significant Accounting Policies (continued)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performed a preliminary review of a majority of our contracts with customers with significant sales in 2016. Most of these contracts are short-term (have been completed or will be completed before the effective date); however, we do have certain long-term sales contracts that may be affected by the new requirements. In addition, although most of our revenue stream relates to the sale of chemical products, we have identified additional smaller revenue streams, such as performing various services, and rental income. A contract review process has been implemented to obtain and review our new or amended contracts for analysis for adopting this ASU. We are currently designing and developing changes to our processes, systems and controls to improve the ability to access, analyze, classify and account for our contracts. In addition, we are designing a process to identify, store and access data needed for the new disclosure requirements.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developing a preliminary accounting policy and the methodology of identifying performance obligations, estimating the amount of variable consideration to include in the transaction price and allocating the transaction price to each separate performance obligation for the contacts that will be affected. We plan to elect an accounting policy to account for shipping and handling activities performed after a customer obtains control of the good as activities to fulfil the promise to transfer the good to the customer. We also plan to elect an accounting policy to exclude from the measurement of the transaction price all taxes assessed by a governmental authority that are both imposed on, and concurrent with, a specific revenue-producing transaction and collected by us from a customer.</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anticipate that upon adoption of this new ASU, the timing of revenue recognition for certain of our revenue streams might change, we have not determined the effect on our financial statements.</w:t>
      </w:r>
    </w:p>
    <w:p>
      <w:pPr>
        <w:spacing w:after="0" w:line="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July 2015, the FASB issued ASU No.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The guidance requires an entity to measure inventory at the lower of cost or net realizable value, which is the estimated selling prices in the ordinary course of business, less reasonably predictable costs of completion, disposal, and transportation, rather than the lower of cost or market in the previous guidance. This amendment applies to inventory that is measured using FIFO. We prospectively adopted this ASU on January 1, 2017. The adoption of this ASU did not impact our financial statements.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supersedes the lease requirements in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objective of this ASU is to establish the principles that lessees and lessors shall apply to report useful information to users of financial statements about the amount, timing, and uncertainty of cash flows arising from a lease. Extensive quantitative and qualitative disclosures, including significant judgments made by management, will be required to provide greater insight into the extent of revenue and expense recognized and expected to be recognized from existing contracts. This ASU must be adopted using a modified retrospective transition, and provides for certain practical expedients. We plan to adopt this ASU on January 1, 2019. Transition will require application of the new guidance at the beginning of the earliest comparative period presented. Although we currently have a relatively small number of leases, we are evaluating the effect of this guidance on our consolidated financial statements and related disclosures.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Compensation—Stock Compensation (Topic 718):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which amends ASC Topic 718, Compensation - Stock Compensation. This guidance includes provisions intended to simplify various aspects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how share-based payments are accounted for and presented in the financial statements. We adopted this guidance on January 1, 2017. Among other requirements, the new guidance requires all tax effects related to share-based payments at settlement (or expiration) to be recorded through the income statement. Previously, tax benefits in excess of compensation cost ("windfalls") were recorded in equity, and tax deficiencies ("shortfalls") were recorded in equity to the extent of previous windfalls, and then to the income statement. As required, this change was applied prospectively to all excess tax benefits and tax deficiencies resulting from settlements.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Summary of Significant Accounting Policies (continued)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new guidance, the windfall tax benefit is to be recorded when it arises, subject to normal valuation allowance considerations. Excess tax benefits that were not previously recognized because the related tax deduction had not reduced current taxes payable were recorded through a cumulative effect adjustment as of the date of the adoption. As required, this change was applied on a modified retrospective basis, with a cumulative effect adjustment of change in accounting principle of approximately $1.1 million as a deferred tax asset with the offset in retained earnings. We made an accounting policy election to account for the amount related to excess tax benefits and deficiencies utilizing the direct effect approach.</w:t>
      </w:r>
    </w:p>
    <w:p>
      <w:pPr>
        <w:spacing w:after="0" w:line="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Under the new guidance, all tax related cash flows resulting from share-based payments are to be reported as operating activities on the statement of cash flows, a change from the previous requirement to present windfall tax benefits as an inflow from financing activities and an outflow from operating activities. In addition, cash paid by an employer to taxing authorities when the employer directly withholds shares for tax withholding purposes is to be reported as financing activities. These changes were applied on a retrospective basis, but did not impact the statement of cash flows for the six months ended June 30, 2016.</w:t>
      </w:r>
    </w:p>
    <w:p>
      <w:pPr>
        <w:spacing w:after="0" w:line="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new guidance, we made an accounting policy election to account for forfeitures as they occur, a change from the previous requirement to estimate forfeitures each period. As required, this change was applied on a modified retrospective basis; however, as of December 31, 2016, we had estimated no forfeitures relating to the outstanding equity awards. As a result, no adjustment was required.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Going forward, the adoption of this ASU could cause volatility in the effective tax rate.</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(Topic 230): Classification of Certain Cash Receipts and Cash Payments.</w:t>
      </w:r>
      <w:r>
        <w:rPr>
          <w:rFonts w:ascii="Times New Roman" w:cs="Times New Roman" w:eastAsia="Times New Roman" w:hAnsi="Times New Roman"/>
          <w:sz w:val="18"/>
          <w:szCs w:val="18"/>
          <w:color w:val="auto"/>
        </w:rPr>
        <w:t xml:space="preserve"> This ASU makes eight targeted changes to how cash receipts and cash payments are presented and classified in the statement of cash flows. This ASU is effective for us on January 1, 2018 and adoption will be applied on retrospective basis unless it is impracticable to apply, in which case we would be required to apply the ASU prospectively as of the earliest date practicable. Although we anticipate that upon adoption of this new ASU, the presentation and classification for certain cash flow activities might change, we have not determined the effect on our statements of cash flows or disclosures.</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(Topic 230): Restricted Cash, a consensus of the FASB Emerging Issues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Task Force. </w:t>
      </w:r>
      <w:r>
        <w:rPr>
          <w:rFonts w:ascii="Times New Roman" w:cs="Times New Roman" w:eastAsia="Times New Roman" w:hAnsi="Times New Roman"/>
          <w:sz w:val="18"/>
          <w:szCs w:val="18"/>
          <w:color w:val="auto"/>
        </w:rPr>
        <w:t>The amendments in this ASU revise the guidance in Topic 230, Statement of Cash Flows, to require cash and cash equivalents to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cash (and restricted cash equivalents) on the statement of cash flows. This ASU is effective for us on January 1, 2018 and adoption will be applied on retrospective basis for all periods presented. We plan to adopt this ASU on January 1, 2018. Upon adoption of this new ASU, we anticipate the removal of the presentation of cash flow activities relating to current and noncurrent restricted cash and cash equivalents from our statement of cash flows for 2016.</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Discontinued Operations</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July 1, 2016, LSB completed the sale of all the stock of Climate Control Group Inc. (an indirect subsidiary that conducted LSB’s Climate Control Business) pursuant to the terms of the stock purchase agreement. Additionally, pursuant to the stock purchase agreement, we agreed to have a certain portion of the purchase price proceeds deposited in an indemnity escrow account. In conjunction with the Climate Control Business sale, we entered into a transition services agreement (“TSA”), pursuant to which, among other things, we agreed to provide certain information technology, payroll, legal, tax and other general services, which services have been completed. At June 30, 2017 and December 31, 2016, our accounts receivable includes approximately $2.7 million representing an indemnity escrow balance. Additionally, at June 30, 2017 and December 31, 2016, our current and noncurrent accrued and other liabilities include approximately $3.7 million and $5.5 million, respectively, relating primarily to estimated contingent liabilities, costs associated with the TSA and severance agreements associated with the sale of the Climate Control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Summarized results of discontinued operations are as follows for:</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June 30,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30,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90"/>
              <w:spacing w:after="0" w:line="205" w:lineRule="exact"/>
              <w:rPr>
                <w:sz w:val="20"/>
                <w:szCs w:val="20"/>
                <w:color w:val="auto"/>
              </w:rPr>
            </w:pPr>
            <w:r>
              <w:rPr>
                <w:rFonts w:ascii="Times New Roman" w:cs="Times New Roman" w:eastAsia="Times New Roman" w:hAnsi="Times New Roman"/>
                <w:sz w:val="18"/>
                <w:szCs w:val="18"/>
                <w:color w:val="auto"/>
              </w:rPr>
              <w:t>Three Months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Ended</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2016</w:t>
            </w:r>
          </w:p>
        </w:tc>
        <w:tc>
          <w:tcPr>
            <w:tcW w:w="2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40" w:type="dxa"/>
            <w:vAlign w:val="bottom"/>
            <w:gridSpan w:val="5"/>
          </w:tcPr>
          <w:p>
            <w:pPr>
              <w:jc w:val="right"/>
              <w:ind w:right="103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71,982</w:t>
            </w:r>
          </w:p>
        </w:tc>
        <w:tc>
          <w:tcPr>
            <w:tcW w:w="240" w:type="dxa"/>
            <w:vAlign w:val="bottom"/>
            <w:shd w:val="clear" w:color="auto" w:fill="CFF0FC"/>
          </w:tcPr>
          <w:p>
            <w:pPr>
              <w:spacing w:after="0"/>
              <w:rPr>
                <w:sz w:val="19"/>
                <w:szCs w:val="19"/>
                <w:color w:val="auto"/>
              </w:rPr>
            </w:pPr>
          </w:p>
        </w:tc>
        <w:tc>
          <w:tcPr>
            <w:tcW w:w="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 of discontinued operations</w:t>
            </w:r>
          </w:p>
        </w:tc>
        <w:tc>
          <w:tcPr>
            <w:tcW w:w="1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for income taxes (1)</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(17,782)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(13,543)</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discontinued operations, including taxes</w:t>
            </w:r>
          </w:p>
        </w:tc>
        <w:tc>
          <w:tcPr>
            <w:tcW w:w="1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520" w:right="2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the Climate Control Business sale will allow for additional tax basis to be recovered than was previously recorded as a deferred tax asset. The tax benefit associated with this additional tax basis was recorded in discontinued operations in the second quarter of 2016 consistent with the period the Climate Control Business subsidiaries were designated as held for sale.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condensed cash flow information of discontinued operations is as follows for the six months ended June 30, 2016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1740" w:type="dxa"/>
            <w:vAlign w:val="bottom"/>
          </w:tcPr>
          <w:p>
            <w:pPr>
              <w:spacing w:after="0"/>
              <w:rPr>
                <w:sz w:val="19"/>
                <w:szCs w:val="19"/>
                <w:color w:val="auto"/>
              </w:rPr>
            </w:pPr>
          </w:p>
        </w:tc>
      </w:tr>
      <w:tr>
        <w:trPr>
          <w:trHeight w:val="211"/>
        </w:trPr>
        <w:tc>
          <w:tcPr>
            <w:tcW w:w="1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of property, plant</w:t>
            </w:r>
          </w:p>
        </w:tc>
        <w:tc>
          <w:tcPr>
            <w:tcW w:w="3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equipment</w:t>
            </w:r>
          </w:p>
        </w:tc>
        <w:tc>
          <w:tcPr>
            <w:tcW w:w="3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3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and software development costs</w:t>
            </w:r>
          </w:p>
        </w:tc>
        <w:tc>
          <w:tcPr>
            <w:tcW w:w="32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740" w:type="dxa"/>
            <w:vAlign w:val="bottom"/>
          </w:tcPr>
          <w:p>
            <w:pPr>
              <w:spacing w:after="0"/>
              <w:rPr>
                <w:sz w:val="19"/>
                <w:szCs w:val="19"/>
                <w:color w:val="auto"/>
              </w:rPr>
            </w:pPr>
          </w:p>
        </w:tc>
      </w:tr>
      <w:tr>
        <w:trPr>
          <w:trHeight w:val="837"/>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28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12" w:name="page13"/>
    <w:bookmarkEnd w:id="1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3: Income (Loss) Per Common Share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58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gridSpan w:val="14"/>
          </w:tcPr>
          <w:p>
            <w:pPr>
              <w:jc w:val="right"/>
              <w:ind w:right="860"/>
              <w:spacing w:after="0"/>
              <w:rPr>
                <w:sz w:val="20"/>
                <w:szCs w:val="20"/>
                <w:color w:val="auto"/>
              </w:rPr>
            </w:pPr>
            <w:r>
              <w:rPr>
                <w:rFonts w:ascii="Times New Roman" w:cs="Times New Roman" w:eastAsia="Times New Roman" w:hAnsi="Times New Roman"/>
                <w:sz w:val="16"/>
                <w:szCs w:val="16"/>
                <w:color w:val="auto"/>
              </w:rPr>
              <w:t>(Dollars In Thousands, Except Per Share Amounts)</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(7,033)</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(13,019)</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7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Adjustments for basic net income (loss) per common</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w:t>
            </w: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Dividend requirements on Series E Redeemable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Preferred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(5,789)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(14,979)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Dividend requirements on Series B Preferred</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Dividend requirements on Series D Preferred</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Accretion of Series E Redeemable Preferred</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(2,241)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(3,217)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(4,484)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740" w:type="dxa"/>
            <w:vAlign w:val="bottom"/>
            <w:tcBorders>
              <w:top w:val="single" w:sz="8" w:color="CFF0FC"/>
            </w:tcBorders>
            <w:gridSpan w:val="2"/>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Numerator for basic and dilutive net income (loss) per</w:t>
            </w:r>
          </w:p>
        </w:tc>
        <w:tc>
          <w:tcPr>
            <w:tcW w:w="6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share - net income (loss) attributable to</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stockholders</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(14,515)</w:t>
            </w:r>
          </w:p>
        </w:tc>
        <w:tc>
          <w:tcPr>
            <w:tcW w:w="2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(27,711)</w:t>
            </w:r>
          </w:p>
        </w:tc>
        <w:tc>
          <w:tcPr>
            <w:tcW w:w="20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(19,463)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Denominator for basic and dilutive net income (loss)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per common share - adjusted weighted-average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80" w:type="dxa"/>
            <w:vAlign w:val="bottom"/>
          </w:tcPr>
          <w:p>
            <w:pPr>
              <w:spacing w:after="0"/>
              <w:rPr>
                <w:sz w:val="23"/>
                <w:szCs w:val="23"/>
                <w:color w:val="auto"/>
              </w:rPr>
            </w:pPr>
          </w:p>
        </w:tc>
        <w:tc>
          <w:tcPr>
            <w:tcW w:w="4740" w:type="dxa"/>
            <w:vAlign w:val="bottom"/>
            <w:tcBorders>
              <w:bottom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shares (1)</w:t>
            </w:r>
          </w:p>
        </w:tc>
        <w:tc>
          <w:tcPr>
            <w:tcW w:w="60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27,249,304</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25,240,224</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27,248,682</w:t>
            </w:r>
          </w:p>
        </w:tc>
        <w:tc>
          <w:tcPr>
            <w:tcW w:w="22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23,822,768</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(0.53)</w:t>
            </w:r>
          </w:p>
        </w:tc>
        <w:tc>
          <w:tcPr>
            <w:tcW w:w="28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(0.70)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income (loss)</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(0.53)</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income (loss)</w:t>
            </w: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20" w:right="3240" w:hanging="5612"/>
        <w:spacing w:after="0" w:line="532" w:lineRule="auto"/>
        <w:tabs>
          <w:tab w:leader="none" w:pos="51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weighted-average shares of unvested restricted stock that are contingently returnable.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117" w:right="7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Income (Loss) Per Common Share (continued)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of securities were not included in the computation of diluted net income (loss) per common share as their effect would have been antidilutive:</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24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0"/>
        </w:trPr>
        <w:tc>
          <w:tcPr>
            <w:tcW w:w="5380" w:type="dxa"/>
            <w:vAlign w:val="bottom"/>
          </w:tcPr>
          <w:p>
            <w:pPr>
              <w:spacing w:after="0"/>
              <w:rPr>
                <w:sz w:val="19"/>
                <w:szCs w:val="19"/>
                <w:color w:val="auto"/>
              </w:rPr>
            </w:pPr>
          </w:p>
        </w:tc>
        <w:tc>
          <w:tcPr>
            <w:tcW w:w="14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June 30,</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6"/>
              </w:rPr>
              <w:t>June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38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FF0FC"/>
            </w:tcBorders>
          </w:tcPr>
          <w:p>
            <w:pPr>
              <w:spacing w:after="0"/>
              <w:rPr>
                <w:sz w:val="20"/>
                <w:szCs w:val="20"/>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and stock units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1,195,560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989,484</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1,156,493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911,563</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916,666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916,666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916,666</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E Redeemable Preferred - embedded derivative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303,646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456,225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303,646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456,225</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217,608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517,273</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218,309</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538,220</w:t>
            </w:r>
          </w:p>
        </w:tc>
        <w:tc>
          <w:tcPr>
            <w:tcW w:w="10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2,633,480</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2,879,648</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2,595,114</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2,822,674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Inventories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2017 and December 31, 2016, because costs exceeded the net realizable value, inventory adjustments were $870,000 and $2,977,000, respectively.</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5: Current and Noncurrent Accrued and Other Liabilities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61"/>
        </w:trPr>
        <w:tc>
          <w:tcPr>
            <w:tcW w:w="172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June 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1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2016</w:t>
            </w:r>
          </w:p>
        </w:tc>
        <w:tc>
          <w:tcPr>
            <w:tcW w:w="60" w:type="dxa"/>
            <w:vAlign w:val="bottom"/>
          </w:tcPr>
          <w:p>
            <w:pPr>
              <w:spacing w:after="0"/>
              <w:rPr>
                <w:sz w:val="20"/>
                <w:szCs w:val="20"/>
                <w:color w:val="auto"/>
              </w:rPr>
            </w:pPr>
          </w:p>
        </w:tc>
      </w:tr>
      <w:tr>
        <w:trPr>
          <w:trHeight w:val="204"/>
        </w:trPr>
        <w:tc>
          <w:tcPr>
            <w:tcW w:w="17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4"/>
          </w:tcPr>
          <w:p>
            <w:pPr>
              <w:jc w:val="right"/>
              <w:ind w:right="750"/>
              <w:spacing w:after="0"/>
              <w:rPr>
                <w:sz w:val="20"/>
                <w:szCs w:val="20"/>
                <w:color w:val="auto"/>
              </w:rPr>
            </w:pPr>
            <w:r>
              <w:rPr>
                <w:rFonts w:ascii="Times New Roman" w:cs="Times New Roman" w:eastAsia="Times New Roman" w:hAnsi="Times New Roman"/>
                <w:sz w:val="16"/>
                <w:szCs w:val="16"/>
                <w:color w:val="auto"/>
              </w:rPr>
              <w:t>(In Thousands)</w:t>
            </w:r>
          </w:p>
        </w:tc>
        <w:tc>
          <w:tcPr>
            <w:tcW w:w="60" w:type="dxa"/>
            <w:vAlign w:val="bottom"/>
          </w:tcPr>
          <w:p>
            <w:pPr>
              <w:spacing w:after="0"/>
              <w:rPr>
                <w:sz w:val="17"/>
                <w:szCs w:val="17"/>
                <w:color w:val="auto"/>
              </w:rPr>
            </w:pPr>
          </w:p>
        </w:tc>
      </w:tr>
      <w:tr>
        <w:trPr>
          <w:trHeight w:val="235"/>
        </w:trPr>
        <w:tc>
          <w:tcPr>
            <w:tcW w:w="1720" w:type="dxa"/>
            <w:vAlign w:val="bottom"/>
          </w:tcPr>
          <w:p>
            <w:pPr>
              <w:spacing w:after="0"/>
              <w:rPr>
                <w:sz w:val="20"/>
                <w:szCs w:val="20"/>
                <w:color w:val="auto"/>
              </w:rPr>
            </w:pPr>
          </w:p>
        </w:tc>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70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60" w:type="dxa"/>
            <w:vAlign w:val="bottom"/>
            <w:shd w:val="clear" w:color="auto" w:fill="CFF0FC"/>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associated with discontinued operations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E Redeemable Preferred - embedded derivative</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death and other executive benefits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17,717</w:t>
            </w:r>
          </w:p>
        </w:tc>
        <w:tc>
          <w:tcPr>
            <w:tcW w:w="60" w:type="dxa"/>
            <w:vAlign w:val="bottom"/>
            <w:tcBorders>
              <w:bottom w:val="single" w:sz="8" w:color="CFF0FC"/>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56,363</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7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Less noncurrent portion</w:t>
            </w:r>
          </w:p>
        </w:tc>
        <w:tc>
          <w:tcPr>
            <w:tcW w:w="5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12,326</w:t>
            </w:r>
          </w:p>
        </w:tc>
        <w:tc>
          <w:tcPr>
            <w:tcW w:w="60" w:type="dxa"/>
            <w:vAlign w:val="bottom"/>
            <w:tcBorders>
              <w:bottom w:val="single" w:sz="8" w:color="CFF0FC"/>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47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accrued and other liabilities</w:t>
            </w:r>
          </w:p>
        </w:tc>
        <w:tc>
          <w:tcPr>
            <w:tcW w:w="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44,037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Asset Retirement Obligations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we have various legal requirements related to operations of our chemical facilities, including the disposal of waste water generated at certain of these facilities. Additionally, we have certain chemical facilities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(“ARO”). In addition, we currently have no plans to discontinue the use of these facilities, and these facilities have an indefinite expected life. As a result, a liability for only a minimal amount relating to AROs associated with certain facilities has been established. However, we will continue to review these obligations and record a liability when a reasonable estimate of the fair value can be made. As the result of the sale of Zena’s working interests in certain natural gas properties discussed in Note 1, our previously recognized AROs of approximately $193,000 associated with the obligation to plug and abandon wells were extinguished and derecognized with the offset included in the net loss on the sale of a business classified as operating other expense. At June 30, 2017 and December 31, 2016, our accrued liability for AROs was $116,000 and $546,000, respectively.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debt consists of the following:</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Pr>
          <w:p>
            <w:pPr>
              <w:spacing w:after="0"/>
              <w:rPr>
                <w:sz w:val="20"/>
                <w:szCs w:val="20"/>
                <w:color w:val="auto"/>
              </w:rPr>
            </w:pPr>
          </w:p>
        </w:tc>
      </w:tr>
      <w:tr>
        <w:trPr>
          <w:trHeight w:val="204"/>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4"/>
          </w:tcPr>
          <w:p>
            <w:pPr>
              <w:jc w:val="right"/>
              <w:ind w:right="650"/>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Pr>
          <w:p>
            <w:pPr>
              <w:spacing w:after="0"/>
              <w:rPr>
                <w:sz w:val="17"/>
                <w:szCs w:val="17"/>
                <w:color w:val="auto"/>
              </w:rPr>
            </w:pPr>
          </w:p>
        </w:tc>
      </w:tr>
      <w:tr>
        <w:trPr>
          <w:trHeight w:val="217"/>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Revolver Loan, with a current interest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rate of 4.75% (A)</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Notes due 2019 (B)</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Secured Promissory Note due 2017 (C)</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80" w:type="dxa"/>
            <w:vAlign w:val="bottom"/>
            <w:shd w:val="clear" w:color="auto" w:fill="CFF0FC"/>
          </w:tcPr>
          <w:p>
            <w:pPr>
              <w:spacing w:after="0"/>
              <w:rPr>
                <w:sz w:val="19"/>
                <w:szCs w:val="19"/>
                <w:color w:val="auto"/>
              </w:rPr>
            </w:pPr>
          </w:p>
        </w:tc>
      </w:tr>
      <w:tr>
        <w:trPr>
          <w:trHeight w:val="211"/>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Secured Promissory Note due 2019, with a current interest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of 5.73% (D)</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80" w:type="dxa"/>
            <w:vAlign w:val="bottom"/>
          </w:tcPr>
          <w:p>
            <w:pPr>
              <w:spacing w:after="0"/>
              <w:rPr>
                <w:sz w:val="20"/>
                <w:szCs w:val="20"/>
                <w:color w:val="auto"/>
              </w:rPr>
            </w:pPr>
          </w:p>
        </w:tc>
      </w:tr>
      <w:tr>
        <w:trPr>
          <w:trHeight w:val="211"/>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Secured Promissory Note due 2021, with a current interest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rate of 5.25% (E)</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14,272</w:t>
            </w:r>
          </w:p>
        </w:tc>
        <w:tc>
          <w:tcPr>
            <w:tcW w:w="80" w:type="dxa"/>
            <w:vAlign w:val="bottom"/>
            <w:shd w:val="clear" w:color="auto" w:fill="CFF0FC"/>
          </w:tcPr>
          <w:p>
            <w:pPr>
              <w:spacing w:after="0"/>
              <w:rPr>
                <w:sz w:val="20"/>
                <w:szCs w:val="20"/>
                <w:color w:val="auto"/>
              </w:rPr>
            </w:pPr>
          </w:p>
        </w:tc>
      </w:tr>
      <w:tr>
        <w:trPr>
          <w:trHeight w:val="211"/>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Secured Promissory Note due 2023, with a current interest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of 5.31% (F)</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18,645</w:t>
            </w:r>
          </w:p>
        </w:tc>
        <w:tc>
          <w:tcPr>
            <w:tcW w:w="80" w:type="dxa"/>
            <w:vAlign w:val="bottom"/>
          </w:tcPr>
          <w:p>
            <w:pPr>
              <w:spacing w:after="0"/>
              <w:rPr>
                <w:sz w:val="20"/>
                <w:szCs w:val="20"/>
                <w:color w:val="auto"/>
              </w:rPr>
            </w:pPr>
          </w:p>
        </w:tc>
      </w:tr>
      <w:tr>
        <w:trPr>
          <w:trHeight w:val="211"/>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with a current weighted-average interest rate of</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4.53%, most of which is secured primarily by machinery</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equipment</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80" w:type="dxa"/>
            <w:vAlign w:val="bottom"/>
            <w:shd w:val="clear" w:color="auto" w:fill="CFF0FC"/>
          </w:tcPr>
          <w:p>
            <w:pPr>
              <w:spacing w:after="0"/>
              <w:rPr>
                <w:sz w:val="20"/>
                <w:szCs w:val="20"/>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(6,150)</w:t>
            </w: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(7,615)</w:t>
            </w:r>
          </w:p>
        </w:tc>
      </w:tr>
      <w:tr>
        <w:trPr>
          <w:trHeight w:val="223"/>
        </w:trPr>
        <w:tc>
          <w:tcPr>
            <w:tcW w:w="54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411,511</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420,220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 net</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13,745</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due after one year,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401,889</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406,475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8"/>
        <w:spacing w:after="0" w:line="253" w:lineRule="auto"/>
        <w:tabs>
          <w:tab w:leader="none" w:pos="301"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revolving credit facility (the “Working Capital Revolver Loan”), as amended in January 2017, provides advances up to $50 million (but provides an ability to expand the commitment an additional $25 million), based on specific percentages of eligible accounts receivable and inventories and up to $10 million of letters of credit, the outstanding amount of which reduces the available for borrowing under the Working Capital Revolver Loan. At June 30, 2017, our available borrowings under our Working Capital Revolver Loan were approximately $40.8 million, based on our eligible collateral, less outstanding letters of credit. The maturity date of the Working Capital Revolver Loan is January 17, 2022, with a springing earlier maturity date (the “Springing Maturity Date”) that is 90 days prior to the maturity date of our Senior Secured Notes, to the extent the Senior Secured Notes are not refinanced or repaid prior to the Springing Maturity Date. The Working Capital Revolver Loan also provides for a springing financial covenant (the “Financial Covenant”), which requires that, if the borrowing availability is less than or equal to the greater of 10.0% of the total revolver commitments and $5 million, then the borrowers must maintain (a) with respect to relevant periods ending on or prior to September 30, 2017, a minimum EBITDA in the amount set forth in the Working Capital Revolver Loan Amendment and (b) with respect to relevant periods ending after September 30, 2017, a minimum fixed charge coverage ratio of not less than 1.00 to 1.00. The Financial Covenant, if triggered, is tested monthly.</w:t>
      </w:r>
    </w:p>
    <w:p>
      <w:pPr>
        <w:spacing w:after="0" w:line="84" w:lineRule="exact"/>
        <w:rPr>
          <w:rFonts w:ascii="Times New Roman" w:cs="Times New Roman" w:eastAsia="Times New Roman" w:hAnsi="Times New Roman"/>
          <w:sz w:val="18"/>
          <w:szCs w:val="18"/>
          <w:b w:val="1"/>
          <w:bCs w:val="1"/>
          <w:color w:val="auto"/>
        </w:rPr>
      </w:pPr>
    </w:p>
    <w:p>
      <w:pPr>
        <w:jc w:val="both"/>
        <w:ind w:firstLine="8"/>
        <w:spacing w:after="0" w:line="266" w:lineRule="auto"/>
        <w:tabs>
          <w:tab w:leader="none" w:pos="28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Senior Secured Notes mature on August 1, 2019. Interest is to be paid semiannually on February 1st and August 1st. In September 2016, we entered into the First Supplemental Indenture to the original Indenture (the “Original 7.75 Indenture”) that, among other things, increased the annual interest rate to 8.5% from 7.75%, effective August 1, 2016.</w:t>
      </w:r>
    </w:p>
    <w:p>
      <w:pPr>
        <w:spacing w:after="0" w:line="68" w:lineRule="exact"/>
        <w:rPr>
          <w:rFonts w:ascii="Times New Roman" w:cs="Times New Roman" w:eastAsia="Times New Roman" w:hAnsi="Times New Roman"/>
          <w:sz w:val="18"/>
          <w:szCs w:val="18"/>
          <w:b w:val="1"/>
          <w:bCs w:val="1"/>
          <w:color w:val="auto"/>
        </w:rPr>
      </w:pPr>
    </w:p>
    <w:p>
      <w:pPr>
        <w:ind w:firstLine="8"/>
        <w:spacing w:after="0" w:line="282" w:lineRule="auto"/>
        <w:tabs>
          <w:tab w:leader="none" w:pos="29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Concurrently with the closing of the purchase and sale agreement discussed in Note 1, a portion of the net proceeds (approximately $3.5 million) from the sale was used to repay the remaining outstanding balance of this promissory note.</w:t>
      </w:r>
    </w:p>
    <w:p>
      <w:pPr>
        <w:spacing w:after="0" w:line="53" w:lineRule="exact"/>
        <w:rPr>
          <w:rFonts w:ascii="Times New Roman" w:cs="Times New Roman" w:eastAsia="Times New Roman" w:hAnsi="Times New Roman"/>
          <w:sz w:val="18"/>
          <w:szCs w:val="18"/>
          <w:b w:val="1"/>
          <w:bCs w:val="1"/>
          <w:color w:val="auto"/>
        </w:rPr>
      </w:pPr>
    </w:p>
    <w:p>
      <w:pPr>
        <w:ind w:firstLine="8"/>
        <w:spacing w:after="0" w:line="282" w:lineRule="auto"/>
        <w:tabs>
          <w:tab w:leader="none" w:pos="30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 Dorado Chemical Company (“EDC”), one of our subsidiaries, is party to a secured promissory note due June 29, 2019. Principal and interest are payable in equal monthly installments with a final balloon payment of approximately $6.7 million.</w:t>
      </w:r>
    </w:p>
    <w:p>
      <w:pPr>
        <w:spacing w:after="0" w:line="53" w:lineRule="exact"/>
        <w:rPr>
          <w:rFonts w:ascii="Times New Roman" w:cs="Times New Roman" w:eastAsia="Times New Roman" w:hAnsi="Times New Roman"/>
          <w:sz w:val="18"/>
          <w:szCs w:val="18"/>
          <w:b w:val="1"/>
          <w:bCs w:val="1"/>
          <w:color w:val="auto"/>
        </w:rPr>
      </w:pPr>
    </w:p>
    <w:p>
      <w:pPr>
        <w:ind w:right="20" w:firstLine="8"/>
        <w:spacing w:after="0" w:line="282" w:lineRule="auto"/>
        <w:tabs>
          <w:tab w:leader="none" w:pos="3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 Dorado Chemical Company (“EDC”), one of our subsidiaries, is party to a secured promissory note due March 26, 2021. Principal and interest are payable in monthly installments.</w:t>
      </w:r>
    </w:p>
    <w:p>
      <w:pPr>
        <w:spacing w:after="0" w:line="53" w:lineRule="exact"/>
        <w:rPr>
          <w:rFonts w:ascii="Times New Roman" w:cs="Times New Roman" w:eastAsia="Times New Roman" w:hAnsi="Times New Roman"/>
          <w:sz w:val="18"/>
          <w:szCs w:val="18"/>
          <w:b w:val="1"/>
          <w:bCs w:val="1"/>
          <w:color w:val="auto"/>
        </w:rPr>
      </w:pPr>
    </w:p>
    <w:p>
      <w:pPr>
        <w:jc w:val="both"/>
        <w:ind w:firstLine="8"/>
        <w:spacing w:after="0" w:line="266" w:lineRule="auto"/>
        <w:tabs>
          <w:tab w:leader="none" w:pos="27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 Dorado Ammonia L.L.C. (“EDA”), one of our subsidiaries, is party to a secured promissory note due in May 2023. Principal and interest are payable in equal monthly installments with a final balloon payment of approximately $6.1 million. This promissory note bears interest at a rate that is based on the monthly LIBOR rate plus a base 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Natural Gas Purchase Commitments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June 30, 2017, we did not have any natural gas contracts with volume purchase commitments with fixed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Legal Matters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is a summary of certain legal matters involving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Environmental Matters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facilities and operations are subject to numerous federal, state and local environmental laws and to other laws regarding health and safety matters (collectively, the “Environmental and Health Laws”). In particular, the manufacture, production and distribution of products activities that entail environmental and public health risks and impose obligations under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connection with certain acquisitions, we could acquire, or be required to provide indemnification against, environmental liabilities that could expose us to material losses. 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effects of our operations.</w:t>
      </w: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We did not operate the natural gas wells where we previously owned a working interest and compliance with Environmental and Health Laws was controlled by others. We are responsible for our working interest proportionate share of the costs involved. As of June 30, 2017, our accrued liabilities for environmental matters totaled $154,000 relating primarily to the matters discussed below. It is reasonably possible that a change in the estimate of our liability could occur in the near term. Also, see discussion in Note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Asset Retirement Obligations.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 Discharge Water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 “EPA”). These permits limit the type and amount of effluents that can be discharged and control the method of such discharge.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facility located in Pryor, Oklahoma (the “Pryor Facility”) is authorized by permit to inject wastewater into an on-site underground injection well through 2018. The Oklahoma Department of Environmental Quality (“ODEQ”) has indicated that the permit may not be renewed following its expiration, and PCC may have to find an alternative means of waste water disposal after the permit expires. PCC has engaged in ongoing discussions both internally and with the ODEQ regarding future disposal of this wastewater stream.</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contains more restrictive discharge limits than the previous 2004 permit.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Commitments and Contingencies (continued)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more restrictive limits could impose additional costs on the El Dorado Facility, and may require the facility to make operational changes in order to meet these more restrictive limits. From time to time, the El Dorado Facility has had difficulty meeting the more restrictive dissolved minerals NPDES permit levels, primarily related to storm-water runoff and EDC is currently working with ADEQ to resolve this issue through a new permit, which is currently in progress.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EDC believes that the El Dorado Facility has generally demonstrated its ability to comply with applicable ammonia and nitrate permit levels, but has, from time to time, had difficulty meeting the more restrictive dissolved minerals permit levels, primarily related to storm-water runoff. We do not believe this matter regarding meeting the permit requirements as to the dissolved minerals is a continuing issue for the process wastewater as the result of the El Dorado Facility disposing its wastewater (beginning in September 2013) via a pipeline constructed by the City of El Dorado, Arkansas. We believe that the issue with the storm-water runoff should be resolved if and when the ADEQ issues a new NPDES discharge water permit, which we have been advised that the ADEQ is currently processing.</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2012, EDC paid a penalty of $100,000 to settle an administrative complaint issued by the EPA, and thereafter handled by the U.S. Department of Justice (“DOJ”), relating to certain alleged violations of EDC’s 2004 NPDES permit from 2004 through 2010. At the time of settlement, the DOJ advised that an additional action may be brought for alleged permit violations occurring after 2010. As of the date of this report, no action has been filed by the DOJ against EDC. As a result, the cost (or range of costs) cannot currently be reasonably estimated regarding this matter. Therefore, no liability has been established for potential future penalties as of June 30, 2017.</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El Dorado Facility is currently operating under a consent administrative order (the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risk assessment was submitted in August 2007. In February 2015, the ADEQ stated that El Dorado Chemical was meeting the requirements of the CAO and should continue semi-annual monitoring.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June 30, 2017, in connection with this matter.</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2. Air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PCC has been advised by the ODEQ that the agency is conducting an investigation into whether the Pryor Facility is in compliance with certain ODEQ air quality rules and regulations and whether PCC’s reports of certain air emissions, primarily in 2011, were intentionally misreported to the ODEQ. PCC is cooperating with the ODEQ in connection with this ongoing investigation. As of June 30, 2017, we are not aware of any recommendations made or to be made by the ODEQ with respect to legal action to be taken or recommended as a result of this ongoing investigation.</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3. Other Environmental Matters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Commitments and Contingencies (continued)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is currently evaluating the corrective action strategy, and, thus, it is unknown what additional work the KDHE may require, if any, at this time. We are advised by our consultant that until the study is completed there is not sufficient information to develop a meaningful and reliable estimate (or range of estimate) as to the cost of the remediation. 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Other Pending, Threatened or Settled Litigation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April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 In 2014, EDC and LSB were named as defendants, together with other AN manufacturers and brokers that arranged the transport and delivery of AN to West Fertilizer, in the case styled </w:t>
      </w:r>
      <w:r>
        <w:rPr>
          <w:rFonts w:ascii="Times New Roman" w:cs="Times New Roman" w:eastAsia="Times New Roman" w:hAnsi="Times New Roman"/>
          <w:sz w:val="18"/>
          <w:szCs w:val="18"/>
          <w:i w:val="1"/>
          <w:iCs w:val="1"/>
          <w:color w:val="auto"/>
        </w:rPr>
        <w:t>City of West, Texas vs. CF Industries, Inc., et al.</w:t>
      </w:r>
      <w:r>
        <w:rPr>
          <w:rFonts w:ascii="Times New Roman" w:cs="Times New Roman" w:eastAsia="Times New Roman" w:hAnsi="Times New Roman"/>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 Our product liability insurance policies have aggregate limits of general liability totaling $100 million, with a self-insured retention of $250,000. In August 2015, the trial court dismissed plaintiff’s negligence claims against us and EDC based on a duty to inspect, but allowed the plaintiffs to proceed on claims for design defect and failure to warn.</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A portion of these settlements have been paid by the insurer as of June 30, 2017. While these settlements resolve the claims of a number of the claimants in this matter for us, we continue to be party to litigation related to this explosion by other plaintiffs, in addition to indemnification or defense obligations we may have to other defendants. We intend to continue to defend these lawsuits vigorously and we are unable to estimate a possible range of loss at this time if there is an adverse outcome in this matter as to EDC. As of June 30, 2017, no liability reserve has been established in connection with this matter, except for the unpaid portion of the settlement agreements discussed above, but we have incurred professional fees up to our self-insured retention amount.</w:t>
      </w:r>
    </w:p>
    <w:p>
      <w:pPr>
        <w:spacing w:after="0" w:line="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May 2015, our subsidiary, EDC, was sued in the matter styled </w:t>
      </w:r>
      <w:r>
        <w:rPr>
          <w:rFonts w:ascii="Times New Roman" w:cs="Times New Roman" w:eastAsia="Times New Roman" w:hAnsi="Times New Roman"/>
          <w:sz w:val="18"/>
          <w:szCs w:val="18"/>
          <w:i w:val="1"/>
          <w:iCs w:val="1"/>
          <w:color w:val="auto"/>
        </w:rPr>
        <w:t>BAE Systems Ordinance Systems, Inc.</w:t>
      </w:r>
      <w:r>
        <w:rPr>
          <w:rFonts w:ascii="Times New Roman" w:cs="Times New Roman" w:eastAsia="Times New Roman" w:hAnsi="Times New Roman"/>
          <w:sz w:val="18"/>
          <w:szCs w:val="18"/>
          <w:color w:val="auto"/>
        </w:rPr>
        <w:t xml:space="preserve"> (“BAE”), </w:t>
      </w:r>
      <w:r>
        <w:rPr>
          <w:rFonts w:ascii="Times New Roman" w:cs="Times New Roman" w:eastAsia="Times New Roman" w:hAnsi="Times New Roman"/>
          <w:sz w:val="18"/>
          <w:szCs w:val="18"/>
          <w:i w:val="1"/>
          <w:iCs w:val="1"/>
          <w:color w:val="auto"/>
        </w:rPr>
        <w:t>et al. vs. El Dorado Chemical Company</w:t>
      </w:r>
      <w:r>
        <w:rPr>
          <w:rFonts w:ascii="Times New Roman" w:cs="Times New Roman" w:eastAsia="Times New Roman" w:hAnsi="Times New Roman"/>
          <w:sz w:val="18"/>
          <w:szCs w:val="18"/>
          <w:color w:val="auto"/>
        </w:rPr>
        <w:t xml:space="preserve">, in the United States District Court, Western District of Arkansas, for an alleged breach of a supply agreement to provide BAE certain products. It is EDC’s position, among other things, that its inability to deliver to BAE was due to a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event caused by a fire and explosion at EDC’s nitric acid plant, and that a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clause in the supply agreement therefore excuses EDC’s performance under the supply agreement. BAE’s pre-litigation demand indicated a claim of approximately $18 million. EDC intends to vigorously defend this matter. The cost (or range of costs), if any, EDC would incur relating to this matter cannot currently be reasonably estimated. Therefore, no liability has been established at June 30, 2017.</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2015, a case styled </w:t>
      </w:r>
      <w:r>
        <w:rPr>
          <w:rFonts w:ascii="Times New Roman" w:cs="Times New Roman" w:eastAsia="Times New Roman" w:hAnsi="Times New Roman"/>
          <w:sz w:val="18"/>
          <w:szCs w:val="18"/>
          <w:i w:val="1"/>
          <w:iCs w:val="1"/>
          <w:color w:val="auto"/>
        </w:rPr>
        <w:t>Dennis Wilson vs. LSB Industries, Inc</w:t>
      </w:r>
      <w:r>
        <w:rPr>
          <w:rFonts w:ascii="Times New Roman" w:cs="Times New Roman" w:eastAsia="Times New Roman" w:hAnsi="Times New Roman"/>
          <w:sz w:val="18"/>
          <w:szCs w:val="18"/>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seeks an unspecified amount of damages.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Commitments and Contingencies (continued)</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September 2015, we and El Dorado Ammonia L.L.C.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 in July 2015 and Global claims it is entitled to payment for certain work prior to its termination in the sum of approximately $18 million. Leidos reports that it made an estimated $6 million payment to Global on or about September 11, 2015, and EDA paid Leidos approximately $3.5 million relating to work performed by subcontractors of Global. Leidos has not approved certain payments to Global pending the result of on-going audits and investigation undertaken to quantify the financial impact of Global’s work. EDA intends to monitor the Leidos audit, and conduct its own investigation, in an effort to determine whether any additional payment should be released to Global for any work not in dispute. LSB and EDA intend to pursue recovery of any damage or loss caused by Global’s work performed at our El Dorado Facility. In January 2016, El Dorado, Leidos and Global reached an agreement whereby the approximately $3.6 million claims of Leidos’ remaining unpaid subcontracts, vendors and suppliers will be paid (and these suppliers and subcontractors will in turn issue releases of their respective claims and liens). In addition, Global will reduce the value of its claim as against Leidos, and its lien amount as against the project by a like amount. After all such lower tier supplier and subcontractors are satisfied, the Global claim and lien amount will be reduced to approximately $5 million. In March 2016, EDC and we were served a summons in a case styled </w:t>
      </w:r>
      <w:r>
        <w:rPr>
          <w:rFonts w:ascii="Times New Roman" w:cs="Times New Roman" w:eastAsia="Times New Roman" w:hAnsi="Times New Roman"/>
          <w:sz w:val="18"/>
          <w:szCs w:val="18"/>
          <w:i w:val="1"/>
          <w:iCs w:val="1"/>
          <w:color w:val="auto"/>
        </w:rPr>
        <w:t>Global Industrial, Inc. d/b/a Global Turnaround vs. Leidos Constructors, LLC et al.,</w:t>
      </w:r>
      <w:r>
        <w:rPr>
          <w:rFonts w:ascii="Times New Roman" w:cs="Times New Roman" w:eastAsia="Times New Roman" w:hAnsi="Times New Roman"/>
          <w:sz w:val="18"/>
          <w:szCs w:val="18"/>
          <w:color w:val="auto"/>
        </w:rPr>
        <w:t xml:space="preserve"> where in Global seeks damages under breach of contract and other claims. We have requested indemnifications from Leidos under the terms of our contracts and we intend to vigorously defend against the allegation made by Global. No liability has been established in connection with the remaining $5 million claim. In addition, LSB and EDA intend to pursue recovery of any damage or loss caused by Global’s work performed at our El Dorado Facility.</w:t>
      </w:r>
    </w:p>
    <w:p>
      <w:pPr>
        <w:spacing w:after="0" w:line="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Derivatives, Hedges, Financial Instruments and Carbon Credits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periods presented, the following significant instruments are accounted for on a fair value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Carbon Credits and Associated Contractual Obligation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we are issued climate reserve tonnes (“carbon credits”) by the Climate Action Reserve in relation to a greenhouse gas reduction project (“Project”) performed at the Baytown Facility. Pursuant to the terms of the agreement with Covestro, a certain portion of the carbon credits are to be sold and the proceeds given to Covestro to recover the costs of the Project, and any balance thereafter to be allocated between Covestro and EDN. We have no obligation to reimburse Covestro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June 30, 2017 and December 31, 2016, we did not have any carbon credits or related contractual obligations associated with carbon credits. The cash flows associated with the carbon credits and the associated contractual obligations are included in cash flows from continuing investing activities.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Derivatives, Hedges, Financial Instruments and Carbon Credits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 As the result of the Indenture Amendments in connection with the previously reported redemption of a portion of our Senior Secured Notes and the redemption of the portion of Series E Redeemable Preferred, we estimate that the contingent redemption feature has no fair value at June 30, 2017 based on low probability that the remaining shares of Series E Redeemable Preferred would be redeemed prior to August 2, 2019. At June 30, 2017 and December 31, 2016, the fair value of the participation rights was based on the equivalent of 303,646 shares of our common stock at $10.33 and $8.42 per share,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classifications of valuations of fair value:</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1 - </w:t>
      </w:r>
      <w:r>
        <w:rPr>
          <w:rFonts w:ascii="Times New Roman" w:cs="Times New Roman" w:eastAsia="Times New Roman" w:hAnsi="Times New Roman"/>
          <w:sz w:val="18"/>
          <w:szCs w:val="18"/>
          <w:color w:val="auto"/>
        </w:rPr>
        <w:t>The valuations of contracts classified as Level 1 are based on quoted prices in active markets for identical contracts. At June 30, 2017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2016, we did not have any contracts classified as Level 1.</w:t>
      </w:r>
    </w:p>
    <w:p>
      <w:pPr>
        <w:spacing w:after="0" w:line="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 </w:t>
      </w:r>
      <w:r>
        <w:rPr>
          <w:rFonts w:ascii="Times New Roman" w:cs="Times New Roman" w:eastAsia="Times New Roman" w:hAnsi="Times New Roman"/>
          <w:sz w:val="18"/>
          <w:szCs w:val="18"/>
          <w:color w:val="auto"/>
        </w:rPr>
        <w:t>The valuations of contracts classified as Level 2 are based on quoted prices for similar contracts and valuation inputs other than quoted prices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observable for these contracts. At June 30, 2017 and December 31, 2016, we did not have any significant contracts classified as Level 2.</w:t>
      </w:r>
    </w:p>
    <w:p>
      <w:pPr>
        <w:spacing w:after="0" w:line="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Level 3 - </w:t>
      </w:r>
      <w:r>
        <w:rPr>
          <w:rFonts w:ascii="Times New Roman" w:cs="Times New Roman" w:eastAsia="Times New Roman" w:hAnsi="Times New Roman"/>
          <w:sz w:val="18"/>
          <w:szCs w:val="18"/>
          <w:color w:val="auto"/>
        </w:rPr>
        <w:t>The valuations of assets and liabilities classified as Level 3 are based on prices or valuation techniques that require inputs that are both unobservable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significant to the overall fair value measurement. At June 30, 2017 and December 31, 2016, the valuations of the embedded derivative are classified as Level 3. This derivative is valued using market information, management’s redemption assumptions, the underlying number of shares as defined in the terms of the Series E Redeemable Preferred, and the market price of our common stock. In addition, no valuation input adjustments were considered necessary relating to nonperformance risk for the embedded derivative.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details our liabilities that are measured at fair value on a recurring basis at June 30, 2017 and December 31,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color w:val="auto"/>
                <w:w w:val="99"/>
              </w:rPr>
              <w:t>Fair Value Measurements at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8"/>
                <w:szCs w:val="18"/>
                <w:color w:val="auto"/>
                <w:w w:val="99"/>
              </w:rPr>
              <w:t>June 30, 2017 Using</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6"/>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Quoted Prices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in Active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370"/>
              <w:spacing w:after="0"/>
              <w:rPr>
                <w:sz w:val="20"/>
                <w:szCs w:val="20"/>
                <w:color w:val="auto"/>
              </w:rPr>
            </w:pPr>
            <w:r>
              <w:rPr>
                <w:rFonts w:ascii="Times New Roman" w:cs="Times New Roman" w:eastAsia="Times New Roman" w:hAnsi="Times New Roman"/>
                <w:sz w:val="16"/>
                <w:szCs w:val="16"/>
                <w:color w:val="auto"/>
              </w:rPr>
              <w:t>Significant</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7"/>
              </w:rPr>
              <w:t>Total Fair</w:t>
            </w:r>
          </w:p>
        </w:tc>
        <w:tc>
          <w:tcPr>
            <w:tcW w:w="120" w:type="dxa"/>
            <w:vAlign w:val="bottom"/>
          </w:tcPr>
          <w:p>
            <w:pPr>
              <w:spacing w:after="0"/>
              <w:rPr>
                <w:sz w:val="17"/>
                <w:szCs w:val="17"/>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rPr>
              <w:t>Markets for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370"/>
              <w:spacing w:after="0"/>
              <w:rPr>
                <w:sz w:val="20"/>
                <w:szCs w:val="20"/>
                <w:color w:val="auto"/>
              </w:rPr>
            </w:pPr>
            <w:r>
              <w:rPr>
                <w:rFonts w:ascii="Times New Roman" w:cs="Times New Roman" w:eastAsia="Times New Roman" w:hAnsi="Times New Roman"/>
                <w:sz w:val="16"/>
                <w:szCs w:val="16"/>
                <w:color w:val="auto"/>
                <w:w w:val="98"/>
              </w:rPr>
              <w:t>Other</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Significant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Total Fair</w:t>
            </w:r>
          </w:p>
        </w:tc>
      </w:t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Value at</w:t>
            </w:r>
          </w:p>
        </w:tc>
        <w:tc>
          <w:tcPr>
            <w:tcW w:w="120" w:type="dxa"/>
            <w:vAlign w:val="bottom"/>
          </w:tcPr>
          <w:p>
            <w:pPr>
              <w:spacing w:after="0"/>
              <w:rPr>
                <w:sz w:val="17"/>
                <w:szCs w:val="17"/>
                <w:color w:val="auto"/>
              </w:rPr>
            </w:pPr>
          </w:p>
        </w:tc>
        <w:tc>
          <w:tcPr>
            <w:tcW w:w="960" w:type="dxa"/>
            <w:vAlign w:val="bottom"/>
          </w:tcPr>
          <w:p>
            <w:pPr>
              <w:jc w:val="center"/>
              <w:ind w:right="35"/>
              <w:spacing w:after="0"/>
              <w:rPr>
                <w:sz w:val="20"/>
                <w:szCs w:val="20"/>
                <w:color w:val="auto"/>
              </w:rPr>
            </w:pPr>
            <w:r>
              <w:rPr>
                <w:rFonts w:ascii="Times New Roman" w:cs="Times New Roman" w:eastAsia="Times New Roman" w:hAnsi="Times New Roman"/>
                <w:sz w:val="16"/>
                <w:szCs w:val="16"/>
                <w:color w:val="auto"/>
                <w:w w:val="99"/>
              </w:rPr>
              <w:t>Identical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390"/>
              <w:spacing w:after="0"/>
              <w:rPr>
                <w:sz w:val="20"/>
                <w:szCs w:val="20"/>
                <w:color w:val="auto"/>
              </w:rPr>
            </w:pPr>
            <w:r>
              <w:rPr>
                <w:rFonts w:ascii="Times New Roman" w:cs="Times New Roman" w:eastAsia="Times New Roman" w:hAnsi="Times New Roman"/>
                <w:sz w:val="16"/>
                <w:szCs w:val="16"/>
                <w:color w:val="auto"/>
              </w:rPr>
              <w:t>Observable</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Unobservable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Value at</w:t>
            </w:r>
          </w:p>
        </w:tc>
      </w:t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June 30,</w:t>
            </w:r>
          </w:p>
        </w:tc>
        <w:tc>
          <w:tcPr>
            <w:tcW w:w="120" w:type="dxa"/>
            <w:vAlign w:val="bottom"/>
          </w:tcPr>
          <w:p>
            <w:pPr>
              <w:spacing w:after="0"/>
              <w:rPr>
                <w:sz w:val="17"/>
                <w:szCs w:val="17"/>
                <w:color w:val="auto"/>
              </w:rPr>
            </w:pPr>
          </w:p>
        </w:tc>
        <w:tc>
          <w:tcPr>
            <w:tcW w:w="960" w:type="dxa"/>
            <w:vAlign w:val="bottom"/>
          </w:tcPr>
          <w:p>
            <w:pPr>
              <w:jc w:val="center"/>
              <w:ind w:right="15"/>
              <w:spacing w:after="0"/>
              <w:rPr>
                <w:sz w:val="20"/>
                <w:szCs w:val="20"/>
                <w:color w:val="auto"/>
              </w:rPr>
            </w:pPr>
            <w:r>
              <w:rPr>
                <w:rFonts w:ascii="Times New Roman" w:cs="Times New Roman" w:eastAsia="Times New Roman" w:hAnsi="Times New Roman"/>
                <w:sz w:val="16"/>
                <w:szCs w:val="16"/>
                <w:color w:val="auto"/>
              </w:rPr>
              <w:t>Contracts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370"/>
              <w:spacing w:after="0"/>
              <w:rPr>
                <w:sz w:val="20"/>
                <w:szCs w:val="20"/>
                <w:color w:val="auto"/>
              </w:rPr>
            </w:pPr>
            <w:r>
              <w:rPr>
                <w:rFonts w:ascii="Times New Roman" w:cs="Times New Roman" w:eastAsia="Times New Roman" w:hAnsi="Times New Roman"/>
                <w:sz w:val="16"/>
                <w:szCs w:val="16"/>
                <w:color w:val="auto"/>
                <w:w w:val="99"/>
              </w:rPr>
              <w:t>Inputs</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Inputs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December 31,</w:t>
            </w:r>
          </w:p>
        </w:tc>
      </w:tr>
      <w:tr>
        <w:trPr>
          <w:trHeight w:val="216"/>
        </w:trPr>
        <w:tc>
          <w:tcPr>
            <w:tcW w:w="482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Description (1)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color w:val="auto"/>
              </w:rPr>
              <w:t>2017</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color w:val="auto"/>
              </w:rPr>
              <w:t>(Level 1)</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370"/>
              <w:spacing w:after="0"/>
              <w:rPr>
                <w:sz w:val="20"/>
                <w:szCs w:val="20"/>
                <w:color w:val="auto"/>
              </w:rPr>
            </w:pPr>
            <w:r>
              <w:rPr>
                <w:rFonts w:ascii="Times New Roman" w:cs="Times New Roman" w:eastAsia="Times New Roman" w:hAnsi="Times New Roman"/>
                <w:sz w:val="16"/>
                <w:szCs w:val="16"/>
                <w:color w:val="auto"/>
              </w:rPr>
              <w:t>(Level 2)</w:t>
            </w: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(Level 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Pr>
          <w:p>
            <w:pPr>
              <w:spacing w:after="0"/>
              <w:rPr>
                <w:sz w:val="18"/>
                <w:szCs w:val="18"/>
                <w:color w:val="auto"/>
              </w:rPr>
            </w:pPr>
          </w:p>
        </w:tc>
      </w:tr>
      <w:tr>
        <w:trPr>
          <w:trHeight w:val="204"/>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4"/>
          </w:tcPr>
          <w:p>
            <w:pPr>
              <w:jc w:val="center"/>
              <w:ind w:right="210"/>
              <w:spacing w:after="0"/>
              <w:rPr>
                <w:sz w:val="20"/>
                <w:szCs w:val="20"/>
                <w:color w:val="auto"/>
              </w:rPr>
            </w:pPr>
            <w:r>
              <w:rPr>
                <w:rFonts w:ascii="Times New Roman" w:cs="Times New Roman" w:eastAsia="Times New Roman" w:hAnsi="Times New Roman"/>
                <w:sz w:val="16"/>
                <w:szCs w:val="16"/>
                <w:color w:val="auto"/>
              </w:rPr>
              <w:t>(In Thousands)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 Current and noncurrent accrued and</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Embedded derivative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(3,137)</w:t>
            </w:r>
          </w:p>
        </w:tc>
        <w:tc>
          <w:tcPr>
            <w:tcW w:w="12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(2,557)</w:t>
            </w: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620" w:right="2660" w:hanging="5612"/>
        <w:spacing w:after="0" w:line="532" w:lineRule="auto"/>
        <w:tabs>
          <w:tab w:leader="none" w:pos="5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assets that were measured at fair value on a recurring basis at June 30, 2017 or December 31, 2016.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0" w:name="page21"/>
    <w:bookmarkEnd w:id="2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Derivatives, Hedges, Financial Instruments and Carbon Credits (continued)</w:t>
      </w:r>
    </w:p>
    <w:p>
      <w:pPr>
        <w:spacing w:after="0" w:line="13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None of our liabilities measured at fair value on a recurring basis transferred between Level 1 and Level 2 classifications for the periods presented below. As the result of entering into the stock purchase agreement relating to the sale of the Climate Control Business in 2016 as discussed in Note 2, the valuation of the embedded derivative transferred from Level 2 to Level 3 since the probability increased relating to contingent redemption features requiring the use of significant unobservable inputs. The classification transfer of this derivative was deemed to occur at the beginning of the second quarter of 2016. In addition, the following is a reconciliation of the beginning and ending balances for assets and liabilities measured at fair value on a recurring basis using significant unobservable inputs (Level 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Assets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rPr>
              <w:t>Assets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Liabilities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220" w:type="dxa"/>
            <w:vAlign w:val="bottom"/>
          </w:tcPr>
          <w:p>
            <w:pPr>
              <w:spacing w:after="0"/>
              <w:rPr>
                <w:sz w:val="18"/>
                <w:szCs w:val="18"/>
                <w:color w:val="auto"/>
              </w:rPr>
            </w:pPr>
          </w:p>
        </w:tc>
        <w:tc>
          <w:tcPr>
            <w:tcW w:w="168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June 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color w:val="auto"/>
                <w:w w:val="99"/>
              </w:rPr>
              <w:t>June 30,</w:t>
            </w:r>
          </w:p>
        </w:tc>
        <w:tc>
          <w:tcPr>
            <w:tcW w:w="120" w:type="dxa"/>
            <w:vAlign w:val="bottom"/>
          </w:tcPr>
          <w:p>
            <w:pPr>
              <w:spacing w:after="0"/>
              <w:rPr>
                <w:sz w:val="19"/>
                <w:szCs w:val="19"/>
                <w:color w:val="auto"/>
              </w:rPr>
            </w:pPr>
          </w:p>
        </w:tc>
        <w:tc>
          <w:tcPr>
            <w:tcW w:w="16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2016</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6"/>
          </w:tcPr>
          <w:p>
            <w:pPr>
              <w:jc w:val="right"/>
              <w:ind w:right="540"/>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Transfers into Level 3</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realized and unrealized gains (losses)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included in operating results</w:t>
            </w: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Issuances</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(867)</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(1,208)</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gains (losses) for the period included</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operating results attributed to the</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unrealized gains or losses on</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assets and liabilities still held at the</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reporting date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gains (losses) included in continuing operating results and the statement of operations classifications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4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Six Months Ended</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gridSpan w:val="6"/>
          </w:tcPr>
          <w:p>
            <w:pPr>
              <w:jc w:val="right"/>
              <w:ind w:right="800"/>
              <w:spacing w:after="0"/>
              <w:rPr>
                <w:sz w:val="20"/>
                <w:szCs w:val="20"/>
                <w:color w:val="auto"/>
              </w:rPr>
            </w:pPr>
            <w:r>
              <w:rPr>
                <w:rFonts w:ascii="Times New Roman" w:cs="Times New Roman" w:eastAsia="Times New Roman" w:hAnsi="Times New Roman"/>
                <w:sz w:val="16"/>
                <w:szCs w:val="16"/>
                <w:color w:val="auto"/>
              </w:rPr>
              <w:t>(In Thousands)</w:t>
            </w: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gains (losses) included in operating results:</w:t>
            </w: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 - Undesignated commodities contracts</w:t>
            </w:r>
          </w:p>
        </w:tc>
        <w:tc>
          <w:tcPr>
            <w:tcW w:w="138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9"/>
                <w:szCs w:val="19"/>
                <w:color w:val="auto"/>
              </w:rPr>
            </w:pP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sales - Undesignated foreign exchange contracts</w:t>
            </w:r>
          </w:p>
        </w:tc>
        <w:tc>
          <w:tcPr>
            <w:tcW w:w="6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 Carbon credits</w:t>
            </w: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expense - Contractual obligations relating to</w:t>
            </w:r>
          </w:p>
        </w:tc>
        <w:tc>
          <w:tcPr>
            <w:tcW w:w="6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carbon credits</w:t>
            </w:r>
          </w:p>
        </w:tc>
        <w:tc>
          <w:tcPr>
            <w:tcW w:w="6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Non-operating other expense - embedded derivative</w:t>
            </w: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(289)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net gains (losses) included in operating results</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3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1"/>
              </w:rPr>
              <w:t>(109)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Derivatives, Hedges, Financial Instruments and Carbon Credits (continued)</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June 30, 2017 and December 31, 2016, we did not have any financial instruments with fair values significantly different from their carrying amounts (which excludes issuance costs, if applicable), except for the Senior Secured Notes as shown below.</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June 30, 2017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December 31, 2016</w:t>
            </w:r>
          </w:p>
        </w:tc>
      </w:tr>
      <w:tr>
        <w:trPr>
          <w:trHeight w:val="218"/>
        </w:trPr>
        <w:tc>
          <w:tcPr>
            <w:tcW w:w="3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Estimated</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Estimated</w:t>
            </w:r>
          </w:p>
        </w:tc>
        <w:tc>
          <w:tcPr>
            <w:tcW w:w="10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w:t>
            </w:r>
          </w:p>
        </w:tc>
      </w:tr>
      <w:tr>
        <w:trPr>
          <w:trHeight w:val="204"/>
        </w:trPr>
        <w:tc>
          <w:tcPr>
            <w:tcW w:w="3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gridSpan w:val="4"/>
          </w:tcPr>
          <w:p>
            <w:pPr>
              <w:ind w:left="640"/>
              <w:spacing w:after="0"/>
              <w:rPr>
                <w:sz w:val="20"/>
                <w:szCs w:val="20"/>
                <w:color w:val="auto"/>
              </w:rPr>
            </w:pPr>
            <w:r>
              <w:rPr>
                <w:rFonts w:ascii="Times New Roman" w:cs="Times New Roman" w:eastAsia="Times New Roman" w:hAnsi="Times New Roman"/>
                <w:sz w:val="16"/>
                <w:szCs w:val="16"/>
                <w:color w:val="auto"/>
              </w:rPr>
              <w:t>(In Millions)</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Notes (1)</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380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FF0FC"/>
          </w:tcPr>
          <w:p>
            <w:pPr>
              <w:spacing w:after="0"/>
              <w:rPr>
                <w:sz w:val="20"/>
                <w:szCs w:val="20"/>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quoted price of 101.25 at June 30, 2017 and 94.88 at December 31, 2016.</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Senior Secured Notes valuations are classified as Level 2. 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see discussions concerning certain assets and liabilities initially accounted for on a fair value basis under Note 6 - Asset Retirement Obligations.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for income taxes from continuing operations is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Current</w:t>
            </w:r>
          </w:p>
        </w:tc>
        <w:tc>
          <w:tcPr>
            <w:tcW w:w="16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(2,558)</w:t>
            </w:r>
          </w:p>
        </w:tc>
        <w:tc>
          <w:tcPr>
            <w:tcW w:w="3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(3,572)</w:t>
            </w:r>
          </w:p>
        </w:tc>
        <w:tc>
          <w:tcPr>
            <w:tcW w:w="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(3,770)</w:t>
            </w: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Deferred</w:t>
            </w:r>
          </w:p>
        </w:tc>
        <w:tc>
          <w:tcPr>
            <w:tcW w:w="16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16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2017 and 2016, the current provision (benefit) for state income taxes shown above includes regular state income tax and provisions for uncertain state income tax positions.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annual estimated effective rate for 2017 includes the impact of permanent tax differences, such as a loss on embedded derivatives, valuation allowances, and other permanent items.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Income Taxes (continued)</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We reduce our deferred tax assets by a valuation allowance if, based upon the weight of available evidence, it is more-likely-than-not that we will not realize some portion or all of the deferred tax assets. We consider relevant evidence, both positive and negative, to determine the need for a valuation allowance. Information evaluated includes our financial position and results of operations for the current and preceding years, the availability of deferred tax liabilities and tax carrybacks, as well as an evaluation of currently available information about future years. We determined it was more-likely-than-not that a portion of the state NOL carryforwards would not be able to be utilized before expiration and we estimate the valuation allowance associated with these state NOL carryforwards to be recorded during 2017 will be approximately $7.8 million.</w:t>
      </w:r>
    </w:p>
    <w:p>
      <w:pPr>
        <w:spacing w:after="0" w:line="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tax benefit from continuing operations for the six months ended June 30, 2017 was $4.0 million (24% of pre-tax loss) and the tax benefit for the six months ended June 30, 2016 was $8.5 million (27% of pre-tax loss). For the first six months of 2017, the effective tax rate is less than the statutory tax rate primarily due to the impact of the valuation allowances associated with the state NOL carryforwards.</w:t>
      </w:r>
    </w:p>
    <w:p>
      <w:pPr>
        <w:spacing w:after="0" w:line="6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LSB and certain of its subsidiaries file income tax returns in the U.S. federal jurisdiction and various state jurisdictions. With few exceptions, the 2013-2015 years remain open for all purposes of examination by the U.S. Internal Revenue Service and other major tax jurisdictions.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Securities Financing Including Redeemable Preferred Stocks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E Redeemable Preferred</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Series E Redeemable Preferred has a 14% annual dividend rate and a participating right in dividends and liquidating distributions equal to 303,646 shares of common stock as of June 30, 2017. Dividends accrue semi-annually in arrears and are compounded.</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discussed in Note 9, the embedded derivative, which includes certain contingent redemption features and the participation rights value, relating to the redemption of the Series E Redeemable Preferred has been bifurcated from the Series E Redeemable Preferred and recorded as a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F Redeemable Preferred</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June 30, 2017, the Series F Redeemable Preferred has voting rights (the “Series F Voting Rights”) to vote as a single class on all matters which the common stock have the right to vote and is entitled to a number of votes equal to 456,225 shares of our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Series E and Series F Redeemable Preferred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2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Series E Redeemable Preferred</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80" w:type="dxa"/>
            <w:vAlign w:val="bottom"/>
            <w:gridSpan w:val="4"/>
          </w:tcPr>
          <w:p>
            <w:pPr>
              <w:jc w:val="right"/>
              <w:ind w:right="71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4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139,768</w:t>
            </w:r>
          </w:p>
        </w:tc>
        <w:tc>
          <w:tcPr>
            <w:tcW w:w="50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145,029</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relating to liquidation preference on</w:t>
            </w:r>
          </w:p>
        </w:tc>
        <w:tc>
          <w:tcPr>
            <w:tcW w:w="2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320" w:type="dxa"/>
            <w:vAlign w:val="bottom"/>
          </w:tcPr>
          <w:p>
            <w:pPr>
              <w:jc w:val="center"/>
              <w:ind w:right="2390"/>
              <w:spacing w:after="0"/>
              <w:rPr>
                <w:sz w:val="20"/>
                <w:szCs w:val="20"/>
                <w:color w:val="auto"/>
              </w:rPr>
            </w:pPr>
            <w:r>
              <w:rPr>
                <w:rFonts w:ascii="Times New Roman" w:cs="Times New Roman" w:eastAsia="Times New Roman" w:hAnsi="Times New Roman"/>
                <w:sz w:val="18"/>
                <w:szCs w:val="18"/>
                <w:color w:val="auto"/>
                <w:w w:val="99"/>
              </w:rPr>
              <w:t>preferred stock</w:t>
            </w:r>
          </w:p>
        </w:tc>
        <w:tc>
          <w:tcPr>
            <w:tcW w:w="27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Accretion for discount and issuance costs on</w:t>
            </w:r>
          </w:p>
        </w:tc>
        <w:tc>
          <w:tcPr>
            <w:tcW w:w="27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320" w:type="dxa"/>
            <w:vAlign w:val="bottom"/>
            <w:shd w:val="clear" w:color="auto" w:fill="CFF0FC"/>
          </w:tcPr>
          <w:p>
            <w:pPr>
              <w:jc w:val="center"/>
              <w:ind w:right="2390"/>
              <w:spacing w:after="0"/>
              <w:rPr>
                <w:sz w:val="20"/>
                <w:szCs w:val="20"/>
                <w:color w:val="auto"/>
              </w:rPr>
            </w:pPr>
            <w:r>
              <w:rPr>
                <w:rFonts w:ascii="Times New Roman" w:cs="Times New Roman" w:eastAsia="Times New Roman" w:hAnsi="Times New Roman"/>
                <w:sz w:val="18"/>
                <w:szCs w:val="18"/>
                <w:color w:val="auto"/>
                <w:w w:val="99"/>
              </w:rPr>
              <w:t>preferred stock</w:t>
            </w:r>
          </w:p>
        </w:tc>
        <w:tc>
          <w:tcPr>
            <w:tcW w:w="27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Accumulated dividends</w:t>
            </w:r>
          </w:p>
        </w:tc>
        <w:tc>
          <w:tcPr>
            <w:tcW w:w="276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11,325</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bottom w:val="single" w:sz="8" w:color="CFF0FC"/>
            </w:tcBorders>
            <w:shd w:val="clear" w:color="auto" w:fill="CFF0FC"/>
          </w:tcPr>
          <w:p>
            <w:pPr>
              <w:jc w:val="center"/>
              <w:ind w:right="2430"/>
              <w:spacing w:after="0"/>
              <w:rPr>
                <w:sz w:val="20"/>
                <w:szCs w:val="20"/>
                <w:color w:val="auto"/>
              </w:rPr>
            </w:pPr>
            <w:r>
              <w:rPr>
                <w:rFonts w:ascii="Times New Roman" w:cs="Times New Roman" w:eastAsia="Times New Roman" w:hAnsi="Times New Roman"/>
                <w:sz w:val="18"/>
                <w:szCs w:val="18"/>
                <w:color w:val="auto"/>
                <w:w w:val="99"/>
              </w:rPr>
              <w:t>Balance at June 30, 2017</w:t>
            </w:r>
          </w:p>
        </w:tc>
        <w:tc>
          <w:tcPr>
            <w:tcW w:w="27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139,768</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159,571</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760" w:type="dxa"/>
            <w:vAlign w:val="bottom"/>
            <w:vMerge w:val="restart"/>
          </w:tcPr>
          <w:p>
            <w:pPr>
              <w:jc w:val="right"/>
              <w:ind w:right="1770"/>
              <w:spacing w:after="0"/>
              <w:rPr>
                <w:sz w:val="20"/>
                <w:szCs w:val="20"/>
                <w:color w:val="auto"/>
              </w:rPr>
            </w:pPr>
            <w:r>
              <w:rPr>
                <w:rFonts w:ascii="Times New Roman" w:cs="Times New Roman" w:eastAsia="Times New Roman" w:hAnsi="Times New Roman"/>
                <w:sz w:val="18"/>
                <w:szCs w:val="18"/>
                <w:color w:val="auto"/>
              </w:rPr>
              <w:t>23</w:t>
            </w: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3" w:name="page24"/>
    <w:bookmarkEnd w:id="2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Related Party Transactions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E2E2E"/>
        </w:rPr>
        <w:t>As the result of Jack E. Golsen, the Executive Chairman of our Board of Directors (the “Board”), informing the Board of his election to retire as Executive Chairman effective December 31, 2017, we determined not to extend the employment agreement with Mr. Golsen beyond its current term expiring on December 31, 2017 (the “Retirement Date”) and, in accordance with the terms of the Employment Agreement, delivered a notice of non-renewal to Mr. Golsen. Mr. Golsen will remain a member of the Board and, following the Retirement Date, will have the title of Chairman Emeritus.</w:t>
      </w:r>
    </w:p>
    <w:p>
      <w:pPr>
        <w:spacing w:after="0" w:line="7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2E2E2E"/>
        </w:rPr>
        <w:t>On June 30, 2017, we entered into a transition agreement (the “Transition Agreement”) with Mr. Golsen that will commence on January 1, 2018 and end upon the earlier of his death or a change in control as defined in the Transition Agreement. During the term, Mr. Golsen will receive an annual cash retainer of $480,000 and an additional monthly amount of $4,400 to cover certain expenses. In accordance with the terms of the Transition Agreement, we will also reimburse Mr. Golsen for his cost of certain medical insurance coverage until his death. Effective as of the Retirement Date, our existing severance agreement with Mr. Golsen will terminate. In consideration for his services, including as Chairman Emeritus, we will pay Mr. Golsen a one-time payment equal to $2,320,000 upon the consummation of a change in control that occurs prior to his death.</w:t>
      </w:r>
    </w:p>
    <w:p>
      <w:pPr>
        <w:spacing w:after="0" w:line="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first quarter of 2017, a death benefit agreement with Mr. Golsen was terminated pursuant to the terms of the agreement that allowed us to terminate at any time and for any reason prior to the death of the employee. As a result, the liability of approximately $1,400,000 for the estimated death benefit associated with this agreement was extinguished and derecognized with the offset classified as other income for the six months ended June 30, 2017.</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No dividends were declared during the first six months of 2017 or 2016. At June 30, 2017, accumulated dividends on the Series B and Series D Preferred totaled approximately $453,000. The Series B Preferred and Series D Preferred are non-redeemable preferred stocks issued in 1986 and 2001, respectively, of which all outstanding shares are owned by the Golsen Holders.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Supplemental Cash Flow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left="491"/>
              <w:spacing w:after="0"/>
              <w:rPr>
                <w:sz w:val="20"/>
                <w:szCs w:val="20"/>
                <w:color w:val="auto"/>
              </w:rPr>
            </w:pPr>
            <w:r>
              <w:rPr>
                <w:rFonts w:ascii="Times New Roman" w:cs="Times New Roman" w:eastAsia="Times New Roman" w:hAnsi="Times New Roman"/>
                <w:sz w:val="18"/>
                <w:szCs w:val="18"/>
                <w:color w:val="auto"/>
                <w:w w:val="99"/>
              </w:rPr>
              <w:t>June 30,</w:t>
            </w: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2017</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2016</w:t>
            </w:r>
          </w:p>
        </w:tc>
        <w:tc>
          <w:tcPr>
            <w:tcW w:w="1740" w:type="dxa"/>
            <w:vAlign w:val="bottom"/>
          </w:tcPr>
          <w:p>
            <w:pPr>
              <w:spacing w:after="0"/>
              <w:rPr>
                <w:sz w:val="20"/>
                <w:szCs w:val="20"/>
                <w:color w:val="auto"/>
              </w:rPr>
            </w:pPr>
          </w:p>
        </w:tc>
      </w:tr>
      <w:tr>
        <w:trPr>
          <w:trHeight w:val="204"/>
        </w:trPr>
        <w:tc>
          <w:tcPr>
            <w:tcW w:w="1720" w:type="dxa"/>
            <w:vAlign w:val="bottom"/>
          </w:tcPr>
          <w:p>
            <w:pPr>
              <w:spacing w:after="0"/>
              <w:rPr>
                <w:sz w:val="17"/>
                <w:szCs w:val="17"/>
                <w:color w:val="auto"/>
              </w:rPr>
            </w:pPr>
          </w:p>
        </w:tc>
        <w:tc>
          <w:tcPr>
            <w:tcW w:w="5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color w:val="auto"/>
              </w:rPr>
              <w:t>(In Thousands)</w:t>
            </w:r>
          </w:p>
        </w:tc>
        <w:tc>
          <w:tcPr>
            <w:tcW w:w="1740" w:type="dxa"/>
            <w:vAlign w:val="bottom"/>
          </w:tcPr>
          <w:p>
            <w:pPr>
              <w:spacing w:after="0"/>
              <w:rPr>
                <w:sz w:val="17"/>
                <w:szCs w:val="17"/>
                <w:color w:val="auto"/>
              </w:rPr>
            </w:pPr>
          </w:p>
        </w:tc>
      </w:tr>
      <w:tr>
        <w:trPr>
          <w:trHeight w:val="235"/>
        </w:trPr>
        <w:tc>
          <w:tcPr>
            <w:tcW w:w="1720" w:type="dxa"/>
            <w:vAlign w:val="bottom"/>
          </w:tcPr>
          <w:p>
            <w:pPr>
              <w:spacing w:after="0"/>
              <w:rPr>
                <w:sz w:val="20"/>
                <w:szCs w:val="20"/>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 for:</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900" w:type="dxa"/>
            <w:vAlign w:val="bottom"/>
            <w:tcBorders>
              <w:right w:val="single" w:sz="8" w:color="CFF0FC"/>
            </w:tcBorders>
            <w:shd w:val="clear" w:color="auto" w:fill="CFF0FC"/>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net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1,040</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continuing investing and financing activities:</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11"/>
        </w:trPr>
        <w:tc>
          <w:tcPr>
            <w:tcW w:w="1720" w:type="dxa"/>
            <w:vAlign w:val="bottom"/>
          </w:tcPr>
          <w:p>
            <w:pPr>
              <w:spacing w:after="0"/>
              <w:rPr>
                <w:sz w:val="18"/>
                <w:szCs w:val="18"/>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 associated</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 additions of property, plant and equipment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13,967</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34,681</w:t>
            </w:r>
          </w:p>
        </w:tc>
        <w:tc>
          <w:tcPr>
            <w:tcW w:w="1740" w:type="dxa"/>
            <w:vAlign w:val="bottom"/>
          </w:tcPr>
          <w:p>
            <w:pPr>
              <w:spacing w:after="0"/>
              <w:rPr>
                <w:sz w:val="20"/>
                <w:szCs w:val="20"/>
                <w:color w:val="auto"/>
              </w:rPr>
            </w:pPr>
          </w:p>
        </w:tc>
      </w:tr>
      <w:tr>
        <w:trPr>
          <w:trHeight w:val="211"/>
        </w:trPr>
        <w:tc>
          <w:tcPr>
            <w:tcW w:w="1720" w:type="dxa"/>
            <w:vAlign w:val="bottom"/>
          </w:tcPr>
          <w:p>
            <w:pPr>
              <w:spacing w:after="0"/>
              <w:rPr>
                <w:sz w:val="18"/>
                <w:szCs w:val="18"/>
                <w:color w:val="auto"/>
              </w:rPr>
            </w:pPr>
          </w:p>
        </w:tc>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Long-term debt associated with additions of capitalized</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54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internal-use software and software development</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accrued on Series E Redeemable Preferred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11,325</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14,979</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Accretion of Series E Redeemable Preferred</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3,217</w:t>
            </w: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740" w:type="dxa"/>
            <w:vAlign w:val="bottom"/>
          </w:tcPr>
          <w:p>
            <w:pPr>
              <w:spacing w:after="0"/>
              <w:rPr>
                <w:sz w:val="19"/>
                <w:szCs w:val="19"/>
                <w:color w:val="auto"/>
              </w:rPr>
            </w:pPr>
          </w:p>
        </w:tc>
      </w:tr>
      <w:tr>
        <w:trPr>
          <w:trHeight w:val="918"/>
        </w:trPr>
        <w:tc>
          <w:tcPr>
            <w:tcW w:w="718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a review of the other Items included in this Form 10-Q and our June 30, 2017 condensed consolidated financial statements included elsewhere in this report. This MD&amp;A reflects the results of continuing operations, unless otherwise noted. Certain statements contained in this MD&amp;A may be deemed to be forward-looking statements. See “Special Note Regarding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for Covestro in Baytown, Texas. Our products are sold through distributors and directly to end customers throughout the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Initiatives for 2017</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future results of operations and financial condition will depend significantly on our ability to successfully implement the following key initiatives:</w:t>
      </w:r>
    </w:p>
    <w:p>
      <w:pPr>
        <w:spacing w:after="0" w:line="52" w:lineRule="exact"/>
        <w:rPr>
          <w:sz w:val="20"/>
          <w:szCs w:val="20"/>
          <w:color w:val="auto"/>
        </w:rPr>
      </w:pPr>
    </w:p>
    <w:p>
      <w:pPr>
        <w:jc w:val="both"/>
        <w:ind w:left="1040" w:hanging="519"/>
        <w:spacing w:after="0" w:line="26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Improving the on-stream rates of our chemical plants. </w:t>
      </w:r>
      <w:r>
        <w:rPr>
          <w:rFonts w:ascii="Times New Roman" w:cs="Times New Roman" w:eastAsia="Times New Roman" w:hAnsi="Times New Roman"/>
          <w:sz w:val="18"/>
          <w:szCs w:val="18"/>
          <w:color w:val="auto"/>
        </w:rPr>
        <w:t>We have made and continue to make: (1) upgrades to the operations teams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chemical facilities; (2) investments of capital to enhance the reliability of each of our plants at each facility to reduce unplanned outages, unplanned downtime, and the frequency of planned Turnarounds; and (3) continued efforts to focus on safety and efficiency throughout our operations.</w:t>
      </w:r>
    </w:p>
    <w:p>
      <w:pPr>
        <w:spacing w:after="0" w:line="71" w:lineRule="exact"/>
        <w:rPr>
          <w:rFonts w:ascii="Times New Roman" w:cs="Times New Roman" w:eastAsia="Times New Roman" w:hAnsi="Times New Roman"/>
          <w:sz w:val="18"/>
          <w:szCs w:val="18"/>
          <w:color w:val="auto"/>
        </w:rPr>
      </w:pPr>
    </w:p>
    <w:p>
      <w:pPr>
        <w:jc w:val="both"/>
        <w:ind w:left="1040" w:hanging="519"/>
        <w:spacing w:after="0" w:line="26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Broadening the distribution of our AN and Nitric Acid products. </w:t>
      </w:r>
      <w:r>
        <w:rPr>
          <w:rFonts w:ascii="Times New Roman" w:cs="Times New Roman" w:eastAsia="Times New Roman" w:hAnsi="Times New Roman"/>
          <w:sz w:val="18"/>
          <w:szCs w:val="18"/>
          <w:color w:val="auto"/>
        </w:rPr>
        <w:t>Given the reduction in our LDAN sales from the declining use of coal,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expanded our overall sales of HDAN through several marketing initiatives that have broadened our addressable market. Those initiatives include, storing and distributing HDAN at our Pryor and Cherokee Facilities and selling to new markets and customers out of those facilities. In addition, through our marketing efforts, we are working on expanding our market for our nitric acid products in North America.</w:t>
      </w:r>
    </w:p>
    <w:p>
      <w:pPr>
        <w:spacing w:after="0" w:line="71" w:lineRule="exact"/>
        <w:rPr>
          <w:rFonts w:ascii="Times New Roman" w:cs="Times New Roman" w:eastAsia="Times New Roman" w:hAnsi="Times New Roman"/>
          <w:sz w:val="18"/>
          <w:szCs w:val="18"/>
          <w:color w:val="auto"/>
        </w:rPr>
      </w:pPr>
    </w:p>
    <w:p>
      <w:pPr>
        <w:jc w:val="both"/>
        <w:ind w:left="1040" w:hanging="519"/>
        <w:spacing w:after="0" w:line="26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Reducing and controlling our cost structure. </w:t>
      </w:r>
      <w:r>
        <w:rPr>
          <w:rFonts w:ascii="Times New Roman" w:cs="Times New Roman" w:eastAsia="Times New Roman" w:hAnsi="Times New Roman"/>
          <w:sz w:val="18"/>
          <w:szCs w:val="18"/>
          <w:color w:val="auto"/>
        </w:rPr>
        <w:t>In 2016, we put in place SG&amp;A expense reductions that will reduce annual SG&amp;A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$6 million. We have been realizing this benefit during the first half of 2017. In addition, we have enacted plant cost reductions at each manufacturing facility that has an annual aggregate savings of approximately $6 million that are being reflected in the first half of 2017. We continue to review our overall costs and believe that we will be able to further reduce costs in the second half of 2017.</w:t>
      </w:r>
    </w:p>
    <w:p>
      <w:pPr>
        <w:spacing w:after="0" w:line="71" w:lineRule="exact"/>
        <w:rPr>
          <w:rFonts w:ascii="Times New Roman" w:cs="Times New Roman" w:eastAsia="Times New Roman" w:hAnsi="Times New Roman"/>
          <w:sz w:val="18"/>
          <w:szCs w:val="18"/>
          <w:color w:val="auto"/>
        </w:rPr>
      </w:pPr>
    </w:p>
    <w:p>
      <w:pPr>
        <w:jc w:val="both"/>
        <w:ind w:left="1040" w:hanging="519"/>
        <w:spacing w:after="0" w:line="267"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non-core assets. </w:t>
      </w:r>
      <w:r>
        <w:rPr>
          <w:rFonts w:ascii="Times New Roman" w:cs="Times New Roman" w:eastAsia="Times New Roman" w:hAnsi="Times New Roman"/>
          <w:sz w:val="18"/>
          <w:szCs w:val="18"/>
          <w:color w:val="auto"/>
        </w:rPr>
        <w:t>At the end of 2016, we had identified certain assets that are no longer necessary in the operations of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 majority of those assets have been sold as discussed below under “Recent Developments.” During the fourth quarter of 2016, we sold assets for a total of approximately $5.0 million and during the second quarter of 2017 we sold assets totaling $18.8 million.</w:t>
      </w:r>
    </w:p>
    <w:p>
      <w:pPr>
        <w:spacing w:after="0" w:line="65"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Evaluate strategic initiatives for our business. </w:t>
      </w:r>
      <w:r>
        <w:rPr>
          <w:rFonts w:ascii="Times New Roman" w:cs="Times New Roman" w:eastAsia="Times New Roman" w:hAnsi="Times New Roman"/>
          <w:sz w:val="18"/>
          <w:szCs w:val="18"/>
          <w:color w:val="auto"/>
        </w:rPr>
        <w:t>See additional discussion under “Recent Developments.”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successfully implement any or all of these initiatives. Even if we successfully implement the initiatives, they may not achieve the beneficial results that we expect or desire.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 of Working Interests in Natural Gas Properties and Other Non-Core Assets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11, 2017, Zena Energy L.L.C. (“Zena”), which is an indirect, wholly owned subsidiary of LSB, entered into a purchase and sale agreement with BKV Chelsea, LLC, (“BKV”). Under the terms of the purchase and sale agreement, Zena agreed to sell to BKV substantially all of its assets, including Zena’s right, title, and interest in all of its oil and natural gas properties (the “Properties”) located in Wyoming County, Pennsylvania for a purchase price of approximately $16.3 million, subject to customary post-closing adjustments, which sale was completed on June 26, 2017. Concurrently with the closing of the purchase and sale agreement, a portion of the net proceeds (approximately $3.5 million) was used to repay the remaining outstanding balance of a promissory note, which was secured by the Properties. As a result of the sale, we no longer own any material oil and natural gas assets. During the second quarter of 2017, we also sold various other non-core assets. The total net proceeds from the sale of the Properties and other non-core assets was approximately $18.8 million.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auto"/>
        </w:rPr>
        <w:t>Update on Strategic Alternatives Review</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Because </w:t>
      </w:r>
      <w:r>
        <w:rPr>
          <w:rFonts w:ascii="Times New Roman" w:cs="Times New Roman" w:eastAsia="Times New Roman" w:hAnsi="Times New Roman"/>
          <w:sz w:val="18"/>
          <w:szCs w:val="18"/>
          <w:color w:val="212121"/>
        </w:rPr>
        <w:t>our Board has not been presented with a sale transaction that they feel</w:t>
      </w:r>
      <w:r>
        <w:rPr>
          <w:rFonts w:ascii="Times New Roman" w:cs="Times New Roman" w:eastAsia="Times New Roman" w:hAnsi="Times New Roman"/>
          <w:sz w:val="18"/>
          <w:szCs w:val="18"/>
          <w:color w:val="auto"/>
        </w:rPr>
        <w:t xml:space="preserve"> is in the best interests of our shareholders, at this time, </w:t>
      </w:r>
      <w:r>
        <w:rPr>
          <w:rFonts w:ascii="Times New Roman" w:cs="Times New Roman" w:eastAsia="Times New Roman" w:hAnsi="Times New Roman"/>
          <w:sz w:val="18"/>
          <w:szCs w:val="18"/>
          <w:color w:val="212121"/>
        </w:rPr>
        <w:t>the Board has made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decision to terminate the sale process portion of its strategic review. The Board will, however, continue to work with its outside advisors on evaluating other strategic, financial and operational options</w:t>
      </w:r>
      <w:r>
        <w:rPr>
          <w:rFonts w:ascii="Times New Roman" w:cs="Times New Roman" w:eastAsia="Times New Roman" w:hAnsi="Times New Roman"/>
          <w:sz w:val="18"/>
          <w:szCs w:val="18"/>
          <w:color w:val="0000FF"/>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Industry Factors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Supply and Demand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Agricultural</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our agricultural products were approximately 47% of our total net sales for the second quarter of 2017. 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of the key factors that affects demand of our agricultural products is corn prices. Changes in corn prices can affect the number of acres of corn planted in a given year, and the number of acres planted will drive the level of nitrogen fertilizer consumption, likely affecting prices. The World Agricultural Supply and Demand Estimates Report (“WASDE”), dated July 11, 2017, estimates that U.S. corn production for 2016/2017 was 15.1 billion bushels (unchanged from the April report), up 11% from 2015/2016 production, reflecting an increase in planted and harvested areas, in addition to higher yields per acre. The report estimates U.S. corn production for 2017/2018 will be 14.3 billion bushels, down 6% from 2016/2017 production reflecting a decrease in planted and harvested acres. The yield per acre is also lower at 170.7 bushels per acre for 2017/2018 compared to 174.6 bushels per acre for 2016/2017. Additionally, this report estimates world corn ending stocks for 2016/2017 at 227.5 million tons (an increase of 4.5 million tons from the April report). Estimates of the world corn ending stocks for 2017/2018 are projected at 200.8 million tons, a decrease over 2016/2017 ending stocks of approximately 12% and U.S. corn ending stocks of 53.6 million tons, a decrease of 6.6 million tons or approximately 11% over the prior year. The USDA Acreage report, released in June 2017, estimates that U.S. growers will plant 90.9 million acres of corn in 2017 (an increase of 0.9 million acres from the March report), a decrease of approximately 3.1 million acres from the previous year.</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the low price of natural gas in North America over the last several years, North American fertilizer producers have become the global low cost producers for delivered fertilizer products to the Midwest U.S. Several years ago, the market perceived that low natural gas prices would continue. That belief, combined with favorable fertilizer pricing, led to the announcement of numerous expansions of existing nitrogen chemical facilities and the construction of new nitrogen chemical facilities. Since those announcements, fertilizer prices have declined and many of the announced expansions and new nitrogen chemical facilities have been cancelled. However, approximately 5 million tons of annual ammonia production capacity has either been added or are expected to be added by the end of 2017. Ammonia production in North America is expected to increase from approximately 15 million tons annually to approximately 20 million tons annually, replacing most of the ammonia that has been imported into North America to cover the total annual demand of approximately 21 million tons. Additional domestic supply of ammonia will likely also change the physical flow of ammonia in North America. However, since most of the added domestic ammonia production will likely come with additional production capacity for upgraded nitrogen products (Urea, UAN and DEF), North America will likely continue to import between 2 million to 3 million tons of ammonia annually. All of this has created uncertainty in the fertilizer markets and has put pressure on all fertilizer prices in North America during the first half of 2017, which we expect to continue through the remainder of 2017.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Industrial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our industrial products were approximately 43% of our total net sales for the second quarter of 2017. Our industrial products sales volumes are dependent upon general economic conditions primarily in the housing, automotive, and paper industries. According to the American Chemistry Council, the U.S. economic indicators continue to be mostly positive for these sectors domestically. Our sales prices generally vary with the market price of our feedstock (ammonia or natural gas, as applicable) in our pricing arrangements with customers.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92"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Mining</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our mining products were approximately 8% of our total net sales for the second quarter of 2017. Our mining products are LDAN and AN solutions, which are primary used as AN fuel oil and specialty emulsions for surface mining of coal and for usage in quarries and the construction industry. As reported by the U.S. Energy Information Administration (“EIA”) on July 11, 2017, annual coal production in the U.S. for the full year of 2016 was down approximately 19% from 2015 levels and at its lowest levels since 1978, continuing an eight-year decline. EIA is forecasting an 8% increase in U.S. coal production due to an increase in demand from coal-fired electricity generation in 2017 and remaining relatively unchanged in 2018 due to higher expected natural gas prices. As reported, the EIA expects the average price for natural gas (Henry Hub) to increase 10% in 2018 compared to the estimated average price for 2017. We believe that coal production in the U.S. continues to face challenges from natural gas usage and renewable energy. While we believe our plants are well-located to support the more stable coal-producing regions in the upcoming years, our current mining sales volumes are being affected by overall lower customer demand for LDAN and AN Solution. Although recent changes in U.S federal policies are expected to be favorable to the coal and construction industries, we do not expect a significant increase in our mining business in the near term, due in part, to the current natural gas prices.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Farmer Economics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Natural Gas Prices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historically have purchased natural gas in the spot market, using forward purchase contracts, or through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volume of natural gas we purchased and the average cost per MMBtu:</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100" w:type="dxa"/>
            <w:vAlign w:val="bottom"/>
            <w:gridSpan w:val="5"/>
          </w:tcPr>
          <w:p>
            <w:pPr>
              <w:jc w:val="center"/>
              <w:ind w:left="252"/>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gridSpan w:val="4"/>
          </w:tcPr>
          <w:p>
            <w:pPr>
              <w:jc w:val="center"/>
              <w:ind w:right="355"/>
              <w:spacing w:after="0"/>
              <w:rPr>
                <w:sz w:val="20"/>
                <w:szCs w:val="20"/>
                <w:color w:val="auto"/>
              </w:rPr>
            </w:pPr>
            <w:r>
              <w:rPr>
                <w:rFonts w:ascii="Times New Roman" w:cs="Times New Roman" w:eastAsia="Times New Roman" w:hAnsi="Times New Roman"/>
                <w:sz w:val="18"/>
                <w:szCs w:val="18"/>
                <w:color w:val="auto"/>
                <w:w w:val="99"/>
              </w:rPr>
              <w:t>June 30,</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Natural gas volumes (MMBtu in millions) (1)</w:t>
            </w: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Natural gas average cost per MMBtu</w:t>
            </w: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volume is attributed to the new ammonia plant at the El Dorado Facility which was in the startup process during the second quarter of 2016.</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Transportation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for transporting nitrogen based products can be significant relative to their selling price. For example, ammonia is a hazardous gas at ambient temperatures and must be transported in specialized equipment, which can be more expensive than other forms of nitrogen fertilizers. In recent years, a significant amount of the ammonia consumed annually in the U.S was imported. Therefore, nitrogen fertilizer prices in the U.S. are influenced by the cost to transport product from exporting countries, giving domestic producers who transport shorter distances an advantage.</w:t>
      </w:r>
    </w:p>
    <w:p>
      <w:pPr>
        <w:spacing w:after="0" w:line="176"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b w:val="1"/>
          <w:bCs w:val="1"/>
          <w:color w:val="auto"/>
        </w:rPr>
        <w:t>Key Operational Factors</w:t>
      </w:r>
    </w:p>
    <w:p>
      <w:pPr>
        <w:spacing w:after="0" w:line="117" w:lineRule="exact"/>
        <w:rPr>
          <w:sz w:val="20"/>
          <w:szCs w:val="20"/>
          <w:color w:val="auto"/>
        </w:rPr>
      </w:pPr>
    </w:p>
    <w:p>
      <w:pPr>
        <w:jc w:val="center"/>
        <w:ind w:right="9520"/>
        <w:spacing w:after="0"/>
        <w:rPr>
          <w:sz w:val="20"/>
          <w:szCs w:val="20"/>
          <w:color w:val="auto"/>
        </w:rPr>
      </w:pPr>
      <w:r>
        <w:rPr>
          <w:rFonts w:ascii="Times New Roman" w:cs="Times New Roman" w:eastAsia="Times New Roman" w:hAnsi="Times New Roman"/>
          <w:sz w:val="18"/>
          <w:szCs w:val="18"/>
          <w:b w:val="1"/>
          <w:bCs w:val="1"/>
          <w:i w:val="1"/>
          <w:iCs w:val="1"/>
          <w:color w:val="auto"/>
        </w:rPr>
        <w:t>Facility Reliability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reliable and safe operations at our chemical plants are critical to our financial performance and results of operations. The financial effects of planned downtime at our plants, including Turnarounds, are mitigated through a diligent planning process that considers the availability of resources to perform the needed maintenance, feedstock logistics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from lost sales of our products, lost fixed cost absorption from lower production of our products, and increased costs related to repairs and maintenance, which repair and maintenance costs are expensed as incurred.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2017, we had one planned Turnaround, which was previously planned for the fourth quarter of 2017 but was performed during July at the Pryor Facility due to unplanned downtime caused by a power failure. Given that the facility was already down and considering the low agricultural selling price environment, and other maintenance that needed to be completed, we elected to pull forward the Turnaround. Total downtime for the Turnaround was 17 days.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Prepay Contracts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the Second Quarter of 2017</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net sales for the second quarter of 2017 were $122.9 million compared to $110.0 million for the same period in 2016. Our consolidated operating loss was $0.3 million compared to a consolidated operating loss of $8.9 million for the same period in 2016. The items impacting our operating results are discussed in more detail below and under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Affecting Comparability of Results of the Second Quarter</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On-Stream Rates and Additional Ammonia Sales Volume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on-stream rates of our plants affect our production, the absorption of fixed costs of each plant and sales of our products. It is a key operating metric that we use to manage our business. On-stream rates do not include the impact of Turnarounds. In particular, we closely monitor the on-stream rates of our ammonia plants as that is the basic product used to produce all upgraded products. At our Cherokee Facility, the on-stream rate was 100% for our ammonia plant for the second quarters of 2017 and 2016. We expect on-stream rates to average a minimum of 95% for the remainder of 2017.</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our Pryor Facility, the on-stream rate for the second quarter of 2017 for our ammonia plant was 78% compared to 96% for the same period of 2016. The decrease in the current period on-stream rate was caused by a lightning strike causing a loss of power to the facility and 16 days of unplanned downtime. In July, the Pryor Facility experienced an additional electrical outage shutting the facility down. As the facility was already down and considering the low selling price environment for our agricultural products, and other maintenance needing to be completed, the election was made to complete the Turnaround previously scheduled for the fourth quarter at this time. This Turnaround was completed on July 21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We expect on-stream rates to average approximately 92% for the remainder of 2017.</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El Dorado Facility’s ammonia plant began production in mid-2016. It is typical for newly operated plants that are in production to go through a period of optimization (Shakedown) that may require the plant to be taken out of operation for a period of time. Our reported 2016 on-stream rate for the ammonia plant at El Dorado was 64%. However, since going into operation, the on-stream rate has steadily improved on a quarterly basis with the on-stream rate for the fourth quarter of 73%. The on-stream rate continued to improve in the first quarter of 2017 to 90% and slightly declined to 87% for the second quarter of 2017. The decrease in the on-stream rate was due to 12 days of unplanned downtime during which we performed proactive adjustments to allow for the facility to operate at higher daily production on a sustained basis. We believe that the ammonia plant will operate at an average on-stream rate of approximately 95% for the remainder of 2017. The plant produces ammonia at a daily production rate of approximately 1,350 tons per day, above its nameplate capacity of 1,150 tons per day.</w:t>
      </w:r>
    </w:p>
    <w:p>
      <w:pPr>
        <w:spacing w:after="0" w:line="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of the improving ammonia production at the El Dorado Facility despite the 12 days of unplanned downtime noted above, during the second quarter of 2017 we sold approximately 53,000 tons of ammonia that were in excess of our internal needs at this facility.</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Selling Prices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2017, selling prices for our agricultural products decreased significantly compared to the 2016 second quarter selling prices. Average selling prices for our ammonia, UAN and HDAN decreased 21%, 14% and 5% respectively, compared to 2016 average selling prices for the same period. The decrease in ammonia selling prices was impacted by two of our competitors introducing new product capacity into the market resulting from recent facility expansion projects, which we expect this excess capacity to be absorbed by early 2018 based on these competitors’ disclosures. The decrease in UAN and HDAN selling prices were caused by lower average commodity prices and the nitrogen production capacity being added globally, and in North America specifically, that created uncertainty on the ability of producers to efficiently distribute the additional production</w:t>
      </w:r>
      <w:r>
        <w:rPr>
          <w:rFonts w:ascii="Times New Roman" w:cs="Times New Roman" w:eastAsia="Times New Roman" w:hAnsi="Times New Roman"/>
          <w:sz w:val="18"/>
          <w:szCs w:val="18"/>
          <w:b w:val="1"/>
          <w:bCs w:val="1"/>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8" w:name="page29"/>
    <w:bookmarkEnd w:id="2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second quarter of 2017 and 2016, depreciation expense was $17 million and $14 million, respectively. The increase is primarily due to our El Dorado expansion project being completed and placed into service during the second quarter of 2016.</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Debt and Interest Expense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second quarter of 2017 and 2016, interest expense was $9.3 million and $6.4 million, net of capitalized interest of $0.1 million and $5.0 million, respectively. Interest was capitalized based upon construction in progress of the El Dorado expansion and certain other capital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Results of Operations should be read in conjunction with our condensed consolidated financial statements for the three and six months ended June 30, 2017 and 2016 and accompanying notes and the discussions under “Overview” and “Liquidity and Capital Resources” included in this MD&amp;A.</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present the following information about our results of operations. Net sales to unaffiliated customers are reported in the consolidated financial statements and gross profit represents net sales less cost of sales. Net sales are reported on a gross basis with the cost of freight being recorded in cost of sales.</w:t>
      </w:r>
    </w:p>
    <w:p>
      <w:pPr>
        <w:spacing w:after="0" w:line="26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June 30, 2017 Compared to Three Months Ended June 30, 2016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financial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4"/>
          </w:tcPr>
          <w:p>
            <w:pPr>
              <w:jc w:val="right"/>
              <w:ind w:right="15"/>
              <w:spacing w:after="0"/>
              <w:rPr>
                <w:sz w:val="20"/>
                <w:szCs w:val="20"/>
                <w:color w:val="auto"/>
              </w:rPr>
            </w:pPr>
            <w:r>
              <w:rPr>
                <w:rFonts w:ascii="Times New Roman" w:cs="Times New Roman" w:eastAsia="Times New Roman" w:hAnsi="Times New Roman"/>
                <w:sz w:val="18"/>
                <w:szCs w:val="18"/>
                <w:color w:val="auto"/>
              </w:rPr>
              <w:t>June 30,</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Percentage</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Change</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Change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0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Agricultural products</w:t>
            </w:r>
          </w:p>
        </w:tc>
        <w:tc>
          <w:tcPr>
            <w:tcW w:w="6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57,236</w:t>
            </w:r>
          </w:p>
        </w:tc>
        <w:tc>
          <w:tcPr>
            <w:tcW w:w="220" w:type="dxa"/>
            <w:vAlign w:val="bottom"/>
          </w:tcPr>
          <w:p>
            <w:pPr>
              <w:spacing w:after="0"/>
              <w:rPr>
                <w:sz w:val="19"/>
                <w:szCs w:val="19"/>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60,258</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(3,022)</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Industrial acids and other chemical products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35,370</w:t>
            </w:r>
          </w:p>
        </w:tc>
        <w:tc>
          <w:tcPr>
            <w:tcW w:w="3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17,847</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Mining products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11,776</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(1,432)</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products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3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(522)</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net sales</w:t>
            </w:r>
          </w:p>
        </w:tc>
        <w:tc>
          <w:tcPr>
            <w:tcW w:w="4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122,853</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109,982</w:t>
            </w:r>
          </w:p>
        </w:tc>
        <w:tc>
          <w:tcPr>
            <w:tcW w:w="3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30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46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220" w:type="dxa"/>
            <w:vAlign w:val="bottom"/>
          </w:tcPr>
          <w:p>
            <w:pPr>
              <w:spacing w:after="0"/>
              <w:rPr>
                <w:sz w:val="21"/>
                <w:szCs w:val="21"/>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432.6%</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4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percentage (1)</w:t>
            </w: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vMerge w:val="continue"/>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4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4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bottom w:val="single" w:sz="8" w:color="CFF0FC"/>
            </w:tcBorders>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3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2368.1%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w:t>
            </w: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30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other expense (income), net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(3,970)</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(2,761)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(3,671)</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4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3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300" w:type="dxa"/>
            <w:vAlign w:val="bottom"/>
          </w:tcPr>
          <w:p>
            <w:pPr>
              <w:spacing w:after="0"/>
              <w:rPr>
                <w:sz w:val="22"/>
                <w:szCs w:val="22"/>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464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220" w:type="dxa"/>
            <w:vAlign w:val="bottom"/>
            <w:vMerge w:val="continue"/>
          </w:tcPr>
          <w:p>
            <w:pPr>
              <w:spacing w:after="0"/>
              <w:rPr>
                <w:sz w:val="23"/>
                <w:szCs w:val="23"/>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6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220" w:type="dxa"/>
            <w:vAlign w:val="bottom"/>
          </w:tcPr>
          <w:p>
            <w:pPr>
              <w:spacing w:after="0"/>
              <w:rPr>
                <w:sz w:val="23"/>
                <w:szCs w:val="23"/>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46,258</w:t>
            </w:r>
          </w:p>
        </w:tc>
        <w:tc>
          <w:tcPr>
            <w:tcW w:w="3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(38,670)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(83.6)%</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464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depletion and amortization of property, plant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equipment:</w:t>
            </w:r>
          </w:p>
        </w:tc>
        <w:tc>
          <w:tcPr>
            <w:tcW w:w="6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17,047</w:t>
            </w:r>
          </w:p>
        </w:tc>
        <w:tc>
          <w:tcPr>
            <w:tcW w:w="220" w:type="dxa"/>
            <w:vAlign w:val="bottom"/>
          </w:tcPr>
          <w:p>
            <w:pPr>
              <w:spacing w:after="0"/>
              <w:rPr>
                <w:sz w:val="20"/>
                <w:szCs w:val="20"/>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4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As a percentage of net sales</w:t>
            </w: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48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29</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tables provide key sales metrics for the agricultural products: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27"/>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5"/>
          </w:tcPr>
          <w:p>
            <w:pPr>
              <w:jc w:val="center"/>
              <w:ind w:left="47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Percentage</w:t>
            </w:r>
          </w:p>
        </w:tc>
        <w:tc>
          <w:tcPr>
            <w:tcW w:w="280" w:type="dxa"/>
            <w:vAlign w:val="bottom"/>
          </w:tcPr>
          <w:p>
            <w:pPr>
              <w:spacing w:after="0"/>
              <w:rPr>
                <w:sz w:val="19"/>
                <w:szCs w:val="19"/>
                <w:color w:val="auto"/>
              </w:rPr>
            </w:pPr>
          </w:p>
        </w:tc>
      </w:tr>
      <w:tr>
        <w:trPr>
          <w:trHeight w:val="241"/>
        </w:trPr>
        <w:tc>
          <w:tcPr>
            <w:tcW w:w="5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Product (tons sold)</w:t>
            </w:r>
          </w:p>
        </w:tc>
        <w:tc>
          <w:tcPr>
            <w:tcW w:w="396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Change</w:t>
            </w:r>
          </w:p>
        </w:tc>
        <w:tc>
          <w:tcPr>
            <w:tcW w:w="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Change</w:t>
            </w:r>
          </w:p>
        </w:tc>
        <w:tc>
          <w:tcPr>
            <w:tcW w:w="2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5060" w:type="dxa"/>
            <w:vAlign w:val="bottom"/>
            <w:tcBorders>
              <w:top w:val="single" w:sz="8" w:color="CFF0FC"/>
            </w:tcBorders>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UAN</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118,488</w:t>
            </w: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120,481</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0" w:type="dxa"/>
            <w:vAlign w:val="bottom"/>
          </w:tcPr>
          <w:p>
            <w:pPr>
              <w:spacing w:after="0"/>
              <w:rPr>
                <w:sz w:val="19"/>
                <w:szCs w:val="19"/>
                <w:color w:val="auto"/>
              </w:rPr>
            </w:pPr>
          </w:p>
        </w:tc>
        <w:tc>
          <w:tcPr>
            <w:tcW w:w="5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HDAN</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0" w:type="dxa"/>
            <w:vAlign w:val="bottom"/>
          </w:tcPr>
          <w:p>
            <w:pPr>
              <w:spacing w:after="0"/>
              <w:rPr>
                <w:sz w:val="19"/>
                <w:szCs w:val="19"/>
                <w:color w:val="auto"/>
              </w:rPr>
            </w:pPr>
          </w:p>
        </w:tc>
        <w:tc>
          <w:tcPr>
            <w:tcW w:w="506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(6,409)</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580" w:type="dxa"/>
            <w:vAlign w:val="bottom"/>
          </w:tcPr>
          <w:p>
            <w:pPr>
              <w:spacing w:after="0"/>
              <w:rPr>
                <w:sz w:val="19"/>
                <w:szCs w:val="19"/>
                <w:color w:val="auto"/>
              </w:rPr>
            </w:pPr>
          </w:p>
        </w:tc>
        <w:tc>
          <w:tcPr>
            <w:tcW w:w="5060" w:type="dxa"/>
            <w:vAlign w:val="bottom"/>
            <w:tcBorders>
              <w:bottom w:val="single" w:sz="8" w:color="CFF0FC"/>
            </w:tcBorders>
            <w:gridSpan w:val="3"/>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0" w:type="dxa"/>
            <w:vAlign w:val="bottom"/>
          </w:tcPr>
          <w:p>
            <w:pPr>
              <w:spacing w:after="0"/>
              <w:rPr>
                <w:sz w:val="19"/>
                <w:szCs w:val="19"/>
                <w:color w:val="auto"/>
              </w:rPr>
            </w:pPr>
          </w:p>
        </w:tc>
        <w:tc>
          <w:tcPr>
            <w:tcW w:w="5060" w:type="dxa"/>
            <w:vAlign w:val="bottom"/>
            <w:tcBorders>
              <w:bottom w:val="single" w:sz="8" w:color="CFF0FC"/>
            </w:tcBorders>
            <w:gridSpan w:val="3"/>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248,680</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238,063</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10,617</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08"/>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6"/>
          </w:tcPr>
          <w:p>
            <w:pPr>
              <w:jc w:val="center"/>
              <w:ind w:right="1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c>
          <w:tcPr>
            <w:tcW w:w="280" w:type="dxa"/>
            <w:vAlign w:val="bottom"/>
          </w:tcPr>
          <w:p>
            <w:pPr>
              <w:spacing w:after="0"/>
              <w:rPr>
                <w:sz w:val="19"/>
                <w:szCs w:val="19"/>
                <w:color w:val="auto"/>
              </w:rPr>
            </w:pPr>
          </w:p>
        </w:tc>
      </w:tr>
      <w:tr>
        <w:trPr>
          <w:trHeight w:val="241"/>
        </w:trPr>
        <w:tc>
          <w:tcPr>
            <w:tcW w:w="580" w:type="dxa"/>
            <w:vAlign w:val="bottom"/>
          </w:tcPr>
          <w:p>
            <w:pPr>
              <w:spacing w:after="0"/>
              <w:rPr>
                <w:sz w:val="20"/>
                <w:szCs w:val="20"/>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Average Selling Prices (price per ton)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Change</w:t>
            </w:r>
          </w:p>
        </w:tc>
        <w:tc>
          <w:tcPr>
            <w:tcW w:w="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c>
          <w:tcPr>
            <w:tcW w:w="2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2160" w:type="dxa"/>
            <w:vAlign w:val="bottom"/>
            <w:tcBorders>
              <w:top w:val="single" w:sz="8" w:color="auto"/>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UAN</w:t>
            </w:r>
          </w:p>
        </w:tc>
        <w:tc>
          <w:tcPr>
            <w:tcW w:w="29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79"/>
              </w:rPr>
              <w:t>(27)</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0" w:type="dxa"/>
            <w:vAlign w:val="bottom"/>
          </w:tcPr>
          <w:p>
            <w:pPr>
              <w:spacing w:after="0"/>
              <w:rPr>
                <w:sz w:val="19"/>
                <w:szCs w:val="19"/>
                <w:color w:val="auto"/>
              </w:rPr>
            </w:pPr>
          </w:p>
        </w:tc>
        <w:tc>
          <w:tcPr>
            <w:tcW w:w="50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HDAN</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9"/>
                <w:szCs w:val="19"/>
                <w:color w:val="auto"/>
              </w:rPr>
            </w:pP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580" w:type="dxa"/>
            <w:vAlign w:val="bottom"/>
          </w:tcPr>
          <w:p>
            <w:pPr>
              <w:spacing w:after="0"/>
              <w:rPr>
                <w:sz w:val="19"/>
                <w:szCs w:val="19"/>
                <w:color w:val="auto"/>
              </w:rPr>
            </w:pPr>
          </w:p>
        </w:tc>
        <w:tc>
          <w:tcPr>
            <w:tcW w:w="506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4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(80)</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sales of industrial, mining and other chemical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Percentage</w:t>
            </w:r>
          </w:p>
        </w:tc>
        <w:tc>
          <w:tcPr>
            <w:tcW w:w="280" w:type="dxa"/>
            <w:vAlign w:val="bottom"/>
          </w:tcPr>
          <w:p>
            <w:pPr>
              <w:spacing w:after="0"/>
              <w:rPr>
                <w:sz w:val="19"/>
                <w:szCs w:val="19"/>
                <w:color w:val="auto"/>
              </w:rPr>
            </w:pPr>
          </w:p>
        </w:tc>
      </w:tr>
      <w:tr>
        <w:trPr>
          <w:trHeight w:val="241"/>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Product (tons sold)</w:t>
            </w:r>
          </w:p>
        </w:tc>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Change</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Change</w:t>
            </w:r>
          </w:p>
        </w:tc>
        <w:tc>
          <w:tcPr>
            <w:tcW w:w="280" w:type="dxa"/>
            <w:vAlign w:val="bottom"/>
          </w:tcPr>
          <w:p>
            <w:pPr>
              <w:spacing w:after="0"/>
              <w:rPr>
                <w:sz w:val="20"/>
                <w:szCs w:val="20"/>
                <w:color w:val="auto"/>
              </w:rPr>
            </w:pP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Nitric Acid - Baytown</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113,192</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93,767</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19,425</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Nitric Acid - All Other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LDAN/HDAN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19,404</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14,044</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AN Solution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(14,899)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0"/>
        </w:trPr>
        <w:tc>
          <w:tcPr>
            <w:tcW w:w="52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66,313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18,378</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248,111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178,161</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second quarter 2017 agricultural sales were lower due to decreased UAN and ammonia average selling prices and sales volume for these agricultural products and unfavorable weather conditions partially offset by increased sales volume for HDAN, which experienced lower price erosion during the period. Industrial sales were higher due to ammonia sales volume partially offset by lower selling prices. Mining sales were lower due to volume and selling price decreases.</w:t>
      </w:r>
    </w:p>
    <w:p>
      <w:pPr>
        <w:spacing w:after="0" w:line="72" w:lineRule="exact"/>
        <w:rPr>
          <w:sz w:val="20"/>
          <w:szCs w:val="20"/>
          <w:color w:val="auto"/>
        </w:rPr>
      </w:pPr>
    </w:p>
    <w:p>
      <w:pPr>
        <w:jc w:val="both"/>
        <w:ind w:left="1040" w:hanging="519"/>
        <w:spacing w:after="0" w:line="254"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products sales decreased due to lower averages selling prices for ammonia, UAN and HDAN primarily as a result of lower average commodity prices and pricing pressures from North American ammonia inventory buildup and the nitrogen production capacity being added globally, and in North America specifically, that has created uncertainty on the ability of producers to efficiently distribute the additional production in addition to unfavorable weather conditions, which shortened the pre-plant application season. The impact from the decrease in selling prices was partially offset by higher sales volume of HDAN as a result of broadening our distribution to new markets and customers.</w:t>
      </w:r>
    </w:p>
    <w:p>
      <w:pPr>
        <w:spacing w:after="0" w:line="3" w:lineRule="exact"/>
        <w:rPr>
          <w:rFonts w:ascii="Times New Roman" w:cs="Times New Roman" w:eastAsia="Times New Roman" w:hAnsi="Times New Roman"/>
          <w:sz w:val="18"/>
          <w:szCs w:val="18"/>
          <w:color w:val="auto"/>
        </w:rPr>
      </w:pPr>
    </w:p>
    <w:p>
      <w:pPr>
        <w:ind w:left="1040" w:right="20" w:firstLine="107"/>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offsetting the HDAN sales volume increase were lower sales volumes of ammonia and UAN due primarily to increased import and domestic capacity and the unplanned downtime at our Pryor Facility which reduced UAN available for sale.</w:t>
      </w:r>
    </w:p>
    <w:p>
      <w:pPr>
        <w:spacing w:after="0" w:line="71" w:lineRule="exact"/>
        <w:rPr>
          <w:rFonts w:ascii="Times New Roman" w:cs="Times New Roman" w:eastAsia="Times New Roman" w:hAnsi="Times New Roman"/>
          <w:sz w:val="18"/>
          <w:szCs w:val="18"/>
          <w:color w:val="auto"/>
        </w:rPr>
      </w:pPr>
    </w:p>
    <w:p>
      <w:pPr>
        <w:jc w:val="both"/>
        <w:ind w:left="1040" w:hanging="519"/>
        <w:spacing w:after="0" w:line="261"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acids and other industrial chemical products sales increased as a result of strong industrial ammonia sales at our El Dorado Facility given the higher plant on-stream rates compared to the second quarter of 2016 and higher than nameplate daily production. In addition, nitric acid sales from El Dorado are continuing to expand and sales volume was significantly higher compared to the same quarter of 2016, although at lower net prices due to longer shipping distances and stronger market competitive pressures.</w:t>
      </w:r>
    </w:p>
    <w:p>
      <w:pPr>
        <w:spacing w:after="0" w:line="71"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products sales decreased primarily as the result of lower sales volume of AN solution from our Cherokee Facility as demand from our customers remains suppressed by overall market conditions and stronger market competitive pressures. Partially offsetting this decrease were increased sales volumes of LDAN from our El Dorado Facility.</w:t>
      </w:r>
    </w:p>
    <w:p>
      <w:pPr>
        <w:spacing w:after="0" w:line="68"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products consist of natural gas sales from our former working interests in certain natural gas properties that were sold during the second quarter of 2017 and sales of industrial machinery and related components.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noted in the table above, we recognized a gross profit of $11.3 million for the second quarter of 2017 compared to $2.1 million in the second quarter of 2016, or an increase of $9.2 million. In addition to the net positive effect from the higher sales discussed above, our gross profit improved primarily through:</w:t>
      </w:r>
    </w:p>
    <w:p>
      <w:pPr>
        <w:spacing w:after="0" w:line="54" w:lineRule="exact"/>
        <w:rPr>
          <w:sz w:val="20"/>
          <w:szCs w:val="20"/>
          <w:color w:val="auto"/>
        </w:rPr>
      </w:pPr>
    </w:p>
    <w:p>
      <w:pPr>
        <w:jc w:val="both"/>
        <w:ind w:left="1040" w:hanging="519"/>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our feedstock and other operating costs at our El Dorado Facility as (i) this facility produced ammonia from natural gas in the second quarter of 2017 compared to purchasing ammonia during a portion of the second quarter of 2016 and (ii) costs associated with the start-up and commissioning activities performed on the ammonia plant during the second quarter of 2016 were not incurred in the second quarter of 2017;</w:t>
      </w:r>
    </w:p>
    <w:p>
      <w:pPr>
        <w:spacing w:after="0" w:line="7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overall fixed plant expenses;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recovery of precious metals of $2.9 million in the second quarter of 2017, which metals had accumulated over time within certain manufacturing equipment;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absorption of fixed costs from improved on-stream rates at our Cherokee Facility.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gross profit was partially offset by an increase in overall depreciation expense of approximately $3.0 million primarily as our new ammonia plant at our El Dorado facility was in the start-up and commissioning phase during the second quarter of 2016 and did not have a full quarter of depreciation. In addition, higher average natural gas feedstock costs at the Cherokee and Pryor Facilities decreased gross profit.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SG&amp;A expenses were $8.2 million for the second quarter of 2017, a decrease of $2.6 million compared to the same period in 2016. The decrease was primarily driven by a $1.1 million reduction in compensation related cost, $0.7 million reduction in professional fees and $0.7 million reduction in insurance and other miscellaneous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other expense was $3.4 million for the second quarter of 2017 (minimal for the same period of 2016) primarily consisting of a total net loss on the sale of our working interest of certain natural gas properties and other non-core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 net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for the second quarter of 2017 was $9.3 million compared to $6.4 million for the same period in 2016. The net increase is due primarily to a reduction in capitalized interest of $4.9 million as the result of the completion of the El Dorado expansion project during the second quarter of 2016. This increase was partially offset by a decrease of $1.7 million relating to the 12% Senior Secured Notes sold in November 2015 and repaid in October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Non-operating Other Expense (Income),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Non-operating other expense for the second quarter of 2017 was $0.2 million compared to non-operating other income $4 million for the same period in 2016, which primarily related to an unrealized loss from the change in fair value associated with the embedded derivative included in the Series E Preferred.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 for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benefit for income taxes from continuing operations for the second quarter of 2017 was $2.8 million compared to $3.7 million for the same period in 2016. The resulting effective tax rate for the second quarters of 2017 and 2016 was 28% and 32%, respectively. For the second quarter of 2017, the effective tax rate is less than the statutory tax rate primarily due to the impact of the valuation allowances associated with state NOL carryforwards.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from Discontinued Operations, including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of our former Climate Control Business are presented as discontinued operations. For the second quarter of 2016, income from discontinued operations was $22.8 million, including a tax benefit of $17.8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940" w:type="dxa"/>
            <w:vAlign w:val="bottom"/>
            <w:gridSpan w:val="1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2017 Compared to Six Months Ended June 30, 2016</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gridSpan w:val="2"/>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contains certain financial information:</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color w:val="auto"/>
              </w:rPr>
              <w:t>Six Months Ended</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2016</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8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Agricultural products</w:t>
            </w:r>
          </w:p>
        </w:tc>
        <w:tc>
          <w:tcPr>
            <w:tcW w:w="5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120,499</w:t>
            </w:r>
          </w:p>
        </w:tc>
        <w:tc>
          <w:tcPr>
            <w:tcW w:w="60" w:type="dxa"/>
            <w:vAlign w:val="bottom"/>
          </w:tcPr>
          <w:p>
            <w:pPr>
              <w:spacing w:after="0"/>
              <w:rPr>
                <w:sz w:val="19"/>
                <w:szCs w:val="19"/>
                <w:color w:val="auto"/>
              </w:rPr>
            </w:pP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110,032</w:t>
            </w:r>
          </w:p>
        </w:tc>
        <w:tc>
          <w:tcPr>
            <w:tcW w:w="380" w:type="dxa"/>
            <w:vAlign w:val="bottom"/>
          </w:tcPr>
          <w:p>
            <w:pPr>
              <w:spacing w:after="0"/>
              <w:rPr>
                <w:sz w:val="19"/>
                <w:szCs w:val="19"/>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10,467</w:t>
            </w:r>
          </w:p>
        </w:tc>
        <w:tc>
          <w:tcPr>
            <w:tcW w:w="2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Industrial acids and other chemical products</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102,097</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72,238</w:t>
            </w:r>
          </w:p>
        </w:tc>
        <w:tc>
          <w:tcPr>
            <w:tcW w:w="3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29,859</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Mining products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(3,642)</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products</w:t>
            </w:r>
          </w:p>
        </w:tc>
        <w:tc>
          <w:tcPr>
            <w:tcW w:w="3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38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559</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6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246,197</w:t>
            </w: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208,954</w:t>
            </w:r>
          </w:p>
        </w:tc>
        <w:tc>
          <w:tcPr>
            <w:tcW w:w="3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37,243</w:t>
            </w:r>
          </w:p>
        </w:tc>
        <w:tc>
          <w:tcPr>
            <w:tcW w:w="28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vMerge w:val="continue"/>
          </w:tcPr>
          <w:p>
            <w:pPr>
              <w:spacing w:after="0"/>
              <w:rPr>
                <w:sz w:val="21"/>
                <w:szCs w:val="21"/>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5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22,955</w:t>
            </w:r>
          </w:p>
        </w:tc>
        <w:tc>
          <w:tcPr>
            <w:tcW w:w="60" w:type="dxa"/>
            <w:vAlign w:val="bottom"/>
          </w:tcPr>
          <w:p>
            <w:pPr>
              <w:spacing w:after="0"/>
              <w:rPr>
                <w:sz w:val="21"/>
                <w:szCs w:val="21"/>
                <w:color w:val="auto"/>
              </w:rPr>
            </w:pP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(4,035)</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26,990</w:t>
            </w:r>
          </w:p>
        </w:tc>
        <w:tc>
          <w:tcPr>
            <w:tcW w:w="28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tcBorders>
              <w:top w:val="single" w:sz="8" w:color="CFF0FC"/>
            </w:tcBorders>
            <w:gridSpan w:val="2"/>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(loss) percentage (1)</w:t>
            </w: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gridSpan w:val="2"/>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620" w:type="dxa"/>
            <w:vAlign w:val="bottom"/>
            <w:gridSpan w:val="2"/>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620" w:type="dxa"/>
            <w:vAlign w:val="bottom"/>
            <w:tcBorders>
              <w:top w:val="single" w:sz="8" w:color="CFF0FC"/>
              <w:bottom w:val="single" w:sz="8" w:color="CFF0FC"/>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CFF0FC"/>
            </w:tcBorders>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46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80" w:type="dxa"/>
            <w:vAlign w:val="bottom"/>
            <w:tcBorders>
              <w:right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1,766</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454.0%</w:t>
            </w:r>
          </w:p>
        </w:tc>
        <w:tc>
          <w:tcPr>
            <w:tcW w:w="0" w:type="dxa"/>
            <w:vAlign w:val="bottom"/>
          </w:tcPr>
          <w:p>
            <w:pPr>
              <w:spacing w:after="0"/>
              <w:rPr>
                <w:sz w:val="1"/>
                <w:szCs w:val="1"/>
                <w:color w:val="auto"/>
              </w:rPr>
            </w:pPr>
          </w:p>
        </w:tc>
      </w:tr>
      <w:tr>
        <w:trPr>
          <w:trHeight w:val="223"/>
        </w:trPr>
        <w:tc>
          <w:tcPr>
            <w:tcW w:w="52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28,215</w:t>
            </w:r>
          </w:p>
        </w:tc>
        <w:tc>
          <w:tcPr>
            <w:tcW w:w="2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38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10,854</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Non-operating other expense (income), net</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(2,014)</w:t>
            </w: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2,449</w:t>
            </w:r>
          </w:p>
        </w:tc>
        <w:tc>
          <w:tcPr>
            <w:tcW w:w="2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(8,521)</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4,478</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63"/>
        </w:trPr>
        <w:tc>
          <w:tcPr>
            <w:tcW w:w="52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3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(23,453)</w:t>
            </w:r>
          </w:p>
        </w:tc>
        <w:tc>
          <w:tcPr>
            <w:tcW w:w="3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10,434</w:t>
            </w:r>
          </w:p>
        </w:tc>
        <w:tc>
          <w:tcPr>
            <w:tcW w:w="28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2080" w:type="dxa"/>
            <w:vAlign w:val="bottom"/>
            <w:tcBorders>
              <w:top w:val="single" w:sz="8" w:color="CFF0FC"/>
            </w:tcBorders>
            <w:shd w:val="clear" w:color="auto" w:fill="CFF0FC"/>
          </w:tcPr>
          <w:p>
            <w:pPr>
              <w:spacing w:after="0"/>
              <w:rPr>
                <w:sz w:val="18"/>
                <w:szCs w:val="18"/>
                <w:color w:val="auto"/>
              </w:rPr>
            </w:pPr>
          </w:p>
        </w:tc>
        <w:tc>
          <w:tcPr>
            <w:tcW w:w="25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0" w:type="dxa"/>
            <w:vAlign w:val="bottom"/>
            <w:vMerge w:val="continue"/>
          </w:tcPr>
          <w:p>
            <w:pPr>
              <w:spacing w:after="0"/>
              <w:rPr>
                <w:sz w:val="23"/>
                <w:szCs w:val="23"/>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5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15,216</w:t>
            </w:r>
          </w:p>
        </w:tc>
        <w:tc>
          <w:tcPr>
            <w:tcW w:w="60" w:type="dxa"/>
            <w:vAlign w:val="bottom"/>
          </w:tcPr>
          <w:p>
            <w:pPr>
              <w:spacing w:after="0"/>
              <w:rPr>
                <w:sz w:val="23"/>
                <w:szCs w:val="23"/>
                <w:color w:val="auto"/>
              </w:rPr>
            </w:pP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140,405</w:t>
            </w:r>
          </w:p>
        </w:tc>
        <w:tc>
          <w:tcPr>
            <w:tcW w:w="380" w:type="dxa"/>
            <w:vAlign w:val="bottom"/>
          </w:tcPr>
          <w:p>
            <w:pPr>
              <w:spacing w:after="0"/>
              <w:rPr>
                <w:sz w:val="23"/>
                <w:szCs w:val="23"/>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(125,189)</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2080" w:type="dxa"/>
            <w:vAlign w:val="bottom"/>
            <w:tcBorders>
              <w:top w:val="single" w:sz="8" w:color="CFF0FC"/>
            </w:tcBorders>
            <w:shd w:val="clear" w:color="auto" w:fill="CFF0FC"/>
          </w:tcPr>
          <w:p>
            <w:pPr>
              <w:spacing w:after="0"/>
              <w:rPr>
                <w:sz w:val="18"/>
                <w:szCs w:val="18"/>
                <w:color w:val="auto"/>
              </w:rPr>
            </w:pPr>
          </w:p>
        </w:tc>
        <w:tc>
          <w:tcPr>
            <w:tcW w:w="25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0" w:type="dxa"/>
            <w:vAlign w:val="bottom"/>
            <w:vMerge w:val="continue"/>
          </w:tcPr>
          <w:p>
            <w:pPr>
              <w:spacing w:after="0"/>
              <w:rPr>
                <w:sz w:val="18"/>
                <w:szCs w:val="18"/>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depletion and amortization of property, plant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equipment:</w:t>
            </w:r>
          </w:p>
        </w:tc>
        <w:tc>
          <w:tcPr>
            <w:tcW w:w="5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34,162</w:t>
            </w:r>
          </w:p>
        </w:tc>
        <w:tc>
          <w:tcPr>
            <w:tcW w:w="60" w:type="dxa"/>
            <w:vAlign w:val="bottom"/>
          </w:tcPr>
          <w:p>
            <w:pPr>
              <w:spacing w:after="0"/>
              <w:rPr>
                <w:sz w:val="20"/>
                <w:szCs w:val="20"/>
                <w:color w:val="auto"/>
              </w:rPr>
            </w:pP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24,618</w:t>
            </w:r>
          </w:p>
        </w:tc>
        <w:tc>
          <w:tcPr>
            <w:tcW w:w="380" w:type="dxa"/>
            <w:vAlign w:val="bottom"/>
          </w:tcPr>
          <w:p>
            <w:pPr>
              <w:spacing w:after="0"/>
              <w:rPr>
                <w:sz w:val="20"/>
                <w:szCs w:val="20"/>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9,544</w:t>
            </w:r>
          </w:p>
        </w:tc>
        <w:tc>
          <w:tcPr>
            <w:tcW w:w="28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percentage of net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key sales metrics for the agricultural products: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6"/>
          </w:tcPr>
          <w:p>
            <w:pPr>
              <w:jc w:val="center"/>
              <w:ind w:right="15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5"/>
          </w:tcPr>
          <w:p>
            <w:pPr>
              <w:jc w:val="center"/>
              <w:ind w:left="47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Percentage</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41"/>
        </w:trPr>
        <w:tc>
          <w:tcPr>
            <w:tcW w:w="5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Product (tons sold)</w:t>
            </w:r>
          </w:p>
        </w:tc>
        <w:tc>
          <w:tcPr>
            <w:tcW w:w="2500" w:type="dxa"/>
            <w:vAlign w:val="bottom"/>
            <w:gridSpan w:val="2"/>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Change</w:t>
            </w:r>
          </w:p>
        </w:tc>
        <w:tc>
          <w:tcPr>
            <w:tcW w:w="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Change</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3600" w:type="dxa"/>
            <w:vAlign w:val="bottom"/>
            <w:tcBorders>
              <w:top w:val="single" w:sz="8" w:color="CFF0FC"/>
            </w:tcBorders>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UAN</w:t>
            </w:r>
          </w:p>
        </w:tc>
        <w:tc>
          <w:tcPr>
            <w:tcW w:w="16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276,272</w:t>
            </w: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214,787</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61,485</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HDAN</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196,286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142,236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16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56,490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00" w:type="dxa"/>
            <w:vAlign w:val="bottom"/>
            <w:tcBorders>
              <w:bottom w:val="single" w:sz="8" w:color="CFF0FC"/>
            </w:tcBorders>
            <w:gridSpan w:val="3"/>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17,740</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15,974</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00" w:type="dxa"/>
            <w:vAlign w:val="bottom"/>
            <w:tcBorders>
              <w:bottom w:val="single" w:sz="8" w:color="CFF0FC"/>
            </w:tcBorders>
            <w:gridSpan w:val="3"/>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546,788</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428,299</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118,489</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08"/>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6"/>
          </w:tcPr>
          <w:p>
            <w:pPr>
              <w:jc w:val="center"/>
              <w:ind w:right="15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41"/>
        </w:trPr>
        <w:tc>
          <w:tcPr>
            <w:tcW w:w="58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Average Selling Prices (price per ton)</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Change</w:t>
            </w:r>
          </w:p>
        </w:tc>
        <w:tc>
          <w:tcPr>
            <w:tcW w:w="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Change</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2160" w:type="dxa"/>
            <w:vAlign w:val="bottom"/>
            <w:tcBorders>
              <w:top w:val="single" w:sz="8" w:color="auto"/>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UAN</w:t>
            </w:r>
          </w:p>
        </w:tc>
        <w:tc>
          <w:tcPr>
            <w:tcW w:w="144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79"/>
              </w:rPr>
              <w:t>(29)</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HDAN</w:t>
            </w:r>
          </w:p>
        </w:tc>
        <w:tc>
          <w:tcPr>
            <w:tcW w:w="18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9"/>
                <w:szCs w:val="19"/>
                <w:color w:val="auto"/>
              </w:rPr>
            </w:pP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(34)</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18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shd w:val="clear" w:color="auto" w:fill="CFF0FC"/>
          </w:tcPr>
          <w:p>
            <w:pPr>
              <w:spacing w:after="0"/>
              <w:rPr>
                <w:sz w:val="19"/>
                <w:szCs w:val="19"/>
                <w:color w:val="auto"/>
              </w:rPr>
            </w:pPr>
          </w:p>
        </w:tc>
        <w:tc>
          <w:tcPr>
            <w:tcW w:w="4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(43)</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58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48" w:right="2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With respect to sales of industrial, mining and other chemical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4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Percentage</w:t>
            </w:r>
          </w:p>
        </w:tc>
        <w:tc>
          <w:tcPr>
            <w:tcW w:w="280" w:type="dxa"/>
            <w:vAlign w:val="bottom"/>
          </w:tcPr>
          <w:p>
            <w:pPr>
              <w:spacing w:after="0"/>
              <w:rPr>
                <w:sz w:val="19"/>
                <w:szCs w:val="19"/>
                <w:color w:val="auto"/>
              </w:rPr>
            </w:pPr>
          </w:p>
        </w:tc>
      </w:tr>
      <w:tr>
        <w:trPr>
          <w:trHeight w:val="241"/>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Product (tons sold)</w:t>
            </w:r>
          </w:p>
        </w:tc>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Change</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Change</w:t>
            </w:r>
          </w:p>
        </w:tc>
        <w:tc>
          <w:tcPr>
            <w:tcW w:w="280" w:type="dxa"/>
            <w:vAlign w:val="bottom"/>
          </w:tcPr>
          <w:p>
            <w:pPr>
              <w:spacing w:after="0"/>
              <w:rPr>
                <w:sz w:val="20"/>
                <w:szCs w:val="20"/>
                <w:color w:val="auto"/>
              </w:rPr>
            </w:pP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Nitric Acid - Baytown</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242,781</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218,268</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24,513</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Nitric Acid - All Other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LDAN/HDAN</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53,662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38,966</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14,696</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AN Solution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47,678</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52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Ammonia</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110,237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26,051</w:t>
            </w:r>
          </w:p>
        </w:tc>
        <w:tc>
          <w:tcPr>
            <w:tcW w:w="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84,186</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483,270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368,353</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114,917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Sales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agricultural sales for the first half of 2017 were higher due to increased sales volume for UAN, HDAN and ammonia partially offset by lower average prices for these products due to a weak pricing environment, unplanned downtime at our Pryor and El Dorado Facilities that reduced product available for sale and a shortened ammonia pre-plant application season due to unfavorable weather conditions. Industrial sales were higher due to ammonia sales volume partially offset by lower selling prices. Mining sales were lower due to volume and selling price decreases.</w:t>
      </w:r>
    </w:p>
    <w:p>
      <w:pPr>
        <w:spacing w:after="0" w:line="72" w:lineRule="exact"/>
        <w:rPr>
          <w:sz w:val="20"/>
          <w:szCs w:val="20"/>
          <w:color w:val="auto"/>
        </w:rPr>
      </w:pPr>
    </w:p>
    <w:p>
      <w:pPr>
        <w:jc w:val="both"/>
        <w:ind w:left="1040" w:hanging="519"/>
        <w:spacing w:after="0" w:line="255"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Agricultural products sales increased due primarily by higher sales volume across all product categories. This increase from improved sales volume was partially offset by significantly lower average selling prices of nitrogen based fertilizers. The increase in sales volume was primarily the result of improved on-stream rates/production at our Cherokee and El Dorado Facilities (despite certain unplanned downtime) and broadening our distribution of HDAN to new markets and customers partially offset by a shortened pre-application application season due to unfavorable weather conditions during the second quarter of 2017. The lower average selling prices were due primarily to lower average commodity prices and pricing pressures from North American ammonia inventory buildup and the nitrogen production capacity being added globally, and in North America specifically, that created uncertainty on the ability of producers to efficiently distribute the additional production.</w:t>
      </w:r>
    </w:p>
    <w:p>
      <w:pPr>
        <w:spacing w:after="0" w:line="77" w:lineRule="exact"/>
        <w:rPr>
          <w:rFonts w:ascii="Times New Roman" w:cs="Times New Roman" w:eastAsia="Times New Roman" w:hAnsi="Times New Roman"/>
          <w:sz w:val="18"/>
          <w:szCs w:val="18"/>
          <w:color w:val="auto"/>
        </w:rPr>
      </w:pPr>
    </w:p>
    <w:p>
      <w:pPr>
        <w:jc w:val="both"/>
        <w:ind w:left="1040" w:hanging="519"/>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acids and other chemical products sales increased driven by strong industrial ammonia sales at our El Dorado Facility with high plant on-stream rates (minimal production during the first half of 2016). In addition, nitric acid sales from El Dorado are continuing to expand and sales volume was significantly higher compared to the same period of 2016, although at lower net prices due to longer shipping distances and stronger market competitive pressures.</w:t>
      </w:r>
    </w:p>
    <w:p>
      <w:pPr>
        <w:spacing w:after="0" w:line="71" w:lineRule="exact"/>
        <w:rPr>
          <w:rFonts w:ascii="Times New Roman" w:cs="Times New Roman" w:eastAsia="Times New Roman" w:hAnsi="Times New Roman"/>
          <w:sz w:val="18"/>
          <w:szCs w:val="18"/>
          <w:color w:val="auto"/>
        </w:rPr>
      </w:pPr>
    </w:p>
    <w:p>
      <w:pPr>
        <w:jc w:val="both"/>
        <w:ind w:left="1040" w:hanging="519"/>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products sales decreased primarily as the result of lower sales volume of AN solution from our Cherokee Facility as demand from our customers remains suppressed by overall market conditions and increased competitive production capacity in our region. Partially offsetting this decrease were increased sales volumes of LDAN from our El Dorado Facility.</w:t>
      </w:r>
    </w:p>
    <w:p>
      <w:pPr>
        <w:spacing w:after="0" w:line="68"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products consist of natural gas sales from our former working interests in certain natural gas properties that were sold during the second quarter of 2017 and sales of industrial machinery and related components.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 (Loss)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noted in the table above, we recognized a gross profit of $23 million for the first half of 2017 compared to a gross loss of $4 million for the same period of 2016, or an increase of $27 million. In addition to the net positive effect from the higher sales discussed above, our gross profit improved primarily through:</w:t>
      </w:r>
    </w:p>
    <w:p>
      <w:pPr>
        <w:spacing w:after="0" w:line="54" w:lineRule="exact"/>
        <w:rPr>
          <w:sz w:val="20"/>
          <w:szCs w:val="20"/>
          <w:color w:val="auto"/>
        </w:rPr>
      </w:pPr>
    </w:p>
    <w:p>
      <w:pPr>
        <w:jc w:val="both"/>
        <w:ind w:left="1040" w:hanging="519"/>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our feedstock and other operating costs at our El Dorado Facility as (i) this facility produced ammonia from natural gas in the first half of 2017 compared to purchasing ammonia during most of the same period of 2016 and (ii) costs associated with the start-up and commissioning activities performed on the ammonia plant during the second quarter of 2016 were not incurred in the second quarter of 2017;</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overall fixed plant expenses;</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recovery of precious metals of $2.9 million during the second quarter of 2017, which metals had accumulated over time within certain manufacturing equipment;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absorption of fixed costs from improved on-stream rates at our Cherokee Facility.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during the first half of 2016, we incurred a one-time cost of $12.1 million relating to consulting services associated with the reduction of property taxes from fixing the assessed value for our El Dorado Facility. The increase in gross profit was partially offset by an increase in overall depreciation expense of approximately $9.5 million primarily as a result of our new ammonia plant at our El Dorado facility was in the start-up and commissioning phase during the second quarter of 2016 and did not have a full six-month period of depreciation and higher average natural gas feedstock cost at the Cherokee and Pryor Facilities decreased gross profit.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SG&amp;A expenses were $18.8 million for the first half of 2017, a decrease of $3.0 million compared to the same period in 2016. The decrease was driven by $1.1 million reduction in professional fees, $0.8 million reduction in compensation-related cost and $0.7 million reduction in insurance and other miscellaneous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Expense,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other expense for the first six months of 2017 was $2.2 million (minimal for the first half of 2016) primarily consisting of a total net loss of $4.2 million primarily relating to the sale of our working interest of certain natural gas properties and other non-core assets partially offset by the extinguishment and derecognition of a liability of approximately $1.4 million associated with a death benefit agreement as discussed in Note 12 to the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 net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for the first six months of 2017 was $18.7 million compared to $7.8 million for the same period in 2016. The increase is due primarily to a reduction in capitalized interest in the first half of 2017 of $14.7 million as a result of the El Dorado expansion project completion. This increase was partially offset by a decrease of $3.5 million relating to the 12% Senior Secured Notes sold in November 2015 and repaid in October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Benefit for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benefit for income taxes from continuing operations for the first half of 2017 was $4.0 million compared to $8.5 million for the same period in 2016. The resulting effective tax rate for the first half of 2017 and 2016 was 24% and 27%, respectively. For the first half of 2017, the effective tax rate is less than the statutory tax rate primarily due to the impact of the valuation allowances associated with state NOL carryforwards.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from Discontinued Operations, including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of our former Climate Control Business are presented as discontinued operations. For the first half of 2016, income from discontinued operations was $10.1 million including a tax benefit of $13.5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our continuing cash flow activities for the first half of 2017:</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Continuing Operating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continuing operating activities was $22.9 million as the result of a net loss of $13.0 million plus an adjustment of $34.2 million relating to depreciation, depletion and amortization of PP&amp;E, plus other adjustments of $2.9 million and net cash used of $1.2 million primarily from our working capital.</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Continuing Investing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continuing investing activities was $3.4 million primarily from net proceeds from the sale of our former working interests in certain natural gas properties and other property and equipment of $18.8 million partially offset by expenditures for PP&amp;E of $16.4 million.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Continuing Financing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by continuing financing activities was $17.3 million primarily for payments on long-term debt and short-term financing.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our total current cash, long-term debt, redeemable preferred stock and stockholders’ equity:</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June 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5"/>
          </w:tcPr>
          <w:p>
            <w:pPr>
              <w:jc w:val="right"/>
              <w:ind w:right="910"/>
              <w:spacing w:after="0"/>
              <w:rPr>
                <w:sz w:val="20"/>
                <w:szCs w:val="20"/>
                <w:color w:val="auto"/>
              </w:rPr>
            </w:pPr>
            <w:r>
              <w:rPr>
                <w:rFonts w:ascii="Times New Roman" w:cs="Times New Roman" w:eastAsia="Times New Roman" w:hAnsi="Times New Roman"/>
                <w:sz w:val="16"/>
                <w:szCs w:val="16"/>
                <w:color w:val="auto"/>
              </w:rPr>
              <w:t>(In Millions)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Working Capital Revolver Loan</w:t>
            </w:r>
          </w:p>
        </w:tc>
        <w:tc>
          <w:tcPr>
            <w:tcW w:w="1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Secured Notes due 2019</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Secured Promissory Note due 2017 (1)</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Secured Promissory Note due 2019</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Secured Promissory Note due 2021</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Secured Promissory Note due 2023</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debt, including current portion, net</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Series E and F redeemable preferred stock (2)</w:t>
            </w:r>
          </w:p>
        </w:tc>
        <w:tc>
          <w:tcPr>
            <w:tcW w:w="15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gridSpan w:val="2"/>
            <w:vMerge w:val="continue"/>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closing of the purchase and sale agreement, a portion of the net proceeds (approximately $3.5 million) from the sale was used to repay the remaining outstanding balance of this promissory note as discuss above under “Recent Developments”.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 of $173.1 million as of June 30, 2017.</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have a revolving credit facility, our Working Capital Revolver Loan, with a borrowing base of $50 million. As of June 30, 2017, our Working Capital Revolver Loan was undrawn and had approximately $40.8 million of availability.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planned capital additions (including capital additions associated with the Turnaround at our Pryor Facility completed during July) of approximately $16 million to $19 million for the remainder of 2017 for a total in 2017 of approximately $30 million to $35 million (which includes approximately $3.1 million associated with maintaining compliance with environmental laws, regulations and guidelines) and maintaining, enhancing safety and reliability. These capital additions do not include any capital spending to increase production capacity.</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after our successful sales of certain non-core assets during the first half of 2017 as discussed above under “Recent Developments”, we will continue our process of selling certain remaining non-core assets for a total of approximately $5 million to $6 million of cash proceeds.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Compliance with Long - Term Debt Covenants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below under “Loan Agreements” and in Note 7-Long-Term Debt, the Working Capital Revolver Loan requires, among other things, that we meet certain financial covenants. The Working Capital Revolver Loan does not include financial covenant requirements unless a defined covenant trigger event has occurred and is continuing. As of June 30, 2017, no trigger event had occurred.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Loan Agreements and Redeemable Preferred Stock</w:t>
      </w:r>
    </w:p>
    <w:p>
      <w:pPr>
        <w:spacing w:after="0" w:line="117" w:lineRule="exact"/>
        <w:rPr>
          <w:sz w:val="20"/>
          <w:szCs w:val="20"/>
          <w:color w:val="auto"/>
        </w:rPr>
      </w:pPr>
    </w:p>
    <w:p>
      <w:pPr>
        <w:jc w:val="both"/>
        <w:ind w:right="20" w:firstLine="5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Senior Secured Notes due 2019 </w:t>
      </w:r>
      <w:r>
        <w:rPr>
          <w:rFonts w:ascii="Times New Roman" w:cs="Times New Roman" w:eastAsia="Times New Roman" w:hAnsi="Times New Roman"/>
          <w:sz w:val="18"/>
          <w:szCs w:val="18"/>
          <w:color w:val="auto"/>
        </w:rPr>
        <w:t>- LSB has $375 million aggregate principal amount of the 8.5% Senior Secured Notes currently outstanding.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to be paid semiannually on February 1st and August 1st.</w:t>
      </w:r>
    </w:p>
    <w:p>
      <w:pPr>
        <w:spacing w:after="0" w:line="47"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Secured Promissory Note due 2019 </w:t>
      </w:r>
      <w:r>
        <w:rPr>
          <w:rFonts w:ascii="Times New Roman" w:cs="Times New Roman" w:eastAsia="Times New Roman" w:hAnsi="Times New Roman"/>
          <w:sz w:val="18"/>
          <w:szCs w:val="18"/>
          <w:color w:val="auto"/>
        </w:rPr>
        <w:t>- EDC is party to a secured promissory note due June 29, 2019. This promissory note bears interest at the annual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5.73%. Principal and interest are payable in equal monthly installments with a final balloon payment of approximately $6.7 million. This promissory note is secured by the cogeneration facility equipment and is guaranteed by LSB.</w:t>
      </w:r>
    </w:p>
    <w:p>
      <w:pPr>
        <w:spacing w:after="0" w:line="63" w:lineRule="exact"/>
        <w:rPr>
          <w:sz w:val="20"/>
          <w:szCs w:val="20"/>
          <w:color w:val="auto"/>
        </w:rPr>
      </w:pPr>
    </w:p>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Secured Promissory Note due 2021 </w:t>
      </w:r>
      <w:r>
        <w:rPr>
          <w:rFonts w:ascii="Times New Roman" w:cs="Times New Roman" w:eastAsia="Times New Roman" w:hAnsi="Times New Roman"/>
          <w:sz w:val="18"/>
          <w:szCs w:val="18"/>
          <w:color w:val="auto"/>
        </w:rPr>
        <w:t>- EDC is party to a secured promissory note due March 26, 2021. This promissory note bears interest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rate of 5.25%. Principal and interest are payable in monthly installments. This promissory note is secured by a natural gas pipeline at the El Dorado Facility and is guaranteed by LSB.</w:t>
      </w:r>
    </w:p>
    <w:p>
      <w:pPr>
        <w:spacing w:after="0" w:line="63" w:lineRule="exact"/>
        <w:rPr>
          <w:sz w:val="20"/>
          <w:szCs w:val="20"/>
          <w:color w:val="auto"/>
        </w:rPr>
      </w:pPr>
    </w:p>
    <w:p>
      <w:pPr>
        <w:jc w:val="both"/>
        <w:ind w:firstLine="51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Secured Promissory Note due 2023 </w:t>
      </w:r>
      <w:r>
        <w:rPr>
          <w:rFonts w:ascii="Times New Roman" w:cs="Times New Roman" w:eastAsia="Times New Roman" w:hAnsi="Times New Roman"/>
          <w:sz w:val="18"/>
          <w:szCs w:val="18"/>
          <w:color w:val="auto"/>
        </w:rPr>
        <w:t>- El Dorado Ammonia L.L.C. (“EDA”), one of our subsidiaries, is party to a secured promissory note due in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Principal and interest are payable in equal monthly installments with a final balloon payment of approximately $6.1 million. This promissory note bears interest at a rate that is based on the monthly LIBOR rate plus a base rate for a total of 5.31%. This promissory note is secured by the ammonia storage tank and related systems and is guaranteed by LSB.</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5" w:name="page36"/>
    <w:bookmarkEnd w:id="35"/>
    <w:p>
      <w:pPr>
        <w:jc w:val="both"/>
        <w:ind w:firstLine="51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Working Capital Revolver Loan - </w:t>
      </w:r>
      <w:r>
        <w:rPr>
          <w:rFonts w:ascii="Times New Roman" w:cs="Times New Roman" w:eastAsia="Times New Roman" w:hAnsi="Times New Roman"/>
          <w:sz w:val="18"/>
          <w:szCs w:val="18"/>
          <w:color w:val="auto"/>
        </w:rPr>
        <w:t>At June 30, 2017, there were no outstanding borrowings under the Working Capital Revolver Loan and the net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borrowings under our Working Capital Revolver Loan was approximately $40.8 million, based on our eligible collateral, less outstanding letters of credit as of that date. Also see discussion above under “Compliance with Long-Term Debt Covenants.</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Redemption of Series E Redeemable Preferred </w:t>
      </w:r>
      <w:r>
        <w:rPr>
          <w:rFonts w:ascii="Times New Roman" w:cs="Times New Roman" w:eastAsia="Times New Roman" w:hAnsi="Times New Roman"/>
          <w:sz w:val="18"/>
          <w:szCs w:val="18"/>
          <w:color w:val="auto"/>
        </w:rPr>
        <w:t>– At June 30, 2017, there were 139,768 outstanding shares of Series E Redeemable Preferred.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any time on or after August 2, 2019,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carrying values of the redeemable preferred stocks are being increased by periodic accretions (including the amount for dividends earned but not yet declared or paid) using the interest method so that the carrying amount will equal the redemption value as of August 2, 2019, the earliest possible redemption date by the holder, this accretion has and will continue to affect income (loss) per common share. In addition, this accretion could accelerate if the expected redemption date is earlier than August 2, 2019.</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2017, the aggregate liquidation preference (par value plus accrued dividends) was $173.1 million.</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Capital Additions – First Six Months of 2017</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additions during the first six months of 2017 primarily related to PP&amp;E of $15.2 million (which additions includes approximately $0.5 million associated with maintaining compliance with environmental laws, regulations and guidelines). The capital additions were funded primarily from cash and working capital.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discussion above under “Capitalization” for our expected annual capital additions.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specific federal and state environmental compliance laws, regulations and guidelines. As a result, we incurred expenses of $2.3 million during the first six months of 2017 in connection with environmental projects. For the remainder of 2017, we expect to incur expenses ranging from $2.0 million to $2.3 million in connection with additional environmental projects. However, it is possible that the actual costs could be significantly different than our estimates.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paid cash dividends on our outstanding common stock in many years, and we do not currently anticipate paying cash dividends on our outstanding common stock in the near future.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on the Series E Redeemable Preferred are cumulative and payable semi-annually (May 1 and November 1) in arrears at the annual rate of 14% of the liquidation value of $1,000 per share. Each share of Series E Redeemable Preferred is entitled to receive a semi-annual dividend, only when declared by our Board. In addition, dividends in arrears at the dividend date, until paid, shall compound additional dividends at the annual rate of 14%. The current semi-annual compounded dividend is approximately $84.76 per share for the current aggregate semi-annual dividend of $11.8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June 30, 2017, the amount of accumulated dividends on the Series E Redeemable Preferred was approximately $33.3 million.</w:t>
      </w:r>
    </w:p>
    <w:p>
      <w:pPr>
        <w:spacing w:after="0" w:line="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54" w:lineRule="exact"/>
        <w:rPr>
          <w:sz w:val="20"/>
          <w:szCs w:val="20"/>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$0.06 per share on our outstanding non-redeemable Series D Preferred for an aggregate dividend of $60,000,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 per share on our outstanding non-redeemable Series B Preferred for an aggregate dividend of $240,000.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2017, the amount of accumulated dividends on the Series D Preferred and Series B Preferred totaled approximately $0.5 million. All shares of the Series D Preferred and Series B Preferred are owned by the Golsen Holders. There are no optional or mandatory redemption rights with respect to the Series B Preferred or Series D Preferred.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fertilizer products sold to the agricultural industry are seasonal while sales into the industrial and mining sectors generally are not. The selling seasons for agricultural products are primarily during the spring and fall planting seasons, which typically extend from March through June and from September through November in the geographical markets in which the majority of our agricultural products are distributed. As a result, we typically increase our inventory of fertilizer products prior to the beginning of each planting season in order to meet demand for our products. In addition, the amount and timing of sales to the agricultural markets depend upon weather conditions and other circumstances beyond our control.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June 30, 2017, we have agreed to indemnify the sureties for payments, up to $10 million, made by them in respect of such bonds. These insurance bonds are expected to expire or be renewed in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Pronouncements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1 – Summary of Significant Accounting Policies in the accompanying Notes to the Condensed Consolidated Financial Statements for recently adopted and recently issued accounting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See “Critical Accounting Policies and Estimates,” Item 7 of our 2016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that require us to make estimates and assumptions, including costs relating to a corrective action study work plan approved by the KDHE discussed under footnote 3 – Other Environmental Matters of Note 8 included in this Form 10-Q and the lawsuits styled </w:t>
      </w:r>
      <w:r>
        <w:rPr>
          <w:rFonts w:ascii="Times New Roman" w:cs="Times New Roman" w:eastAsia="Times New Roman" w:hAnsi="Times New Roman"/>
          <w:sz w:val="18"/>
          <w:szCs w:val="18"/>
          <w:i w:val="1"/>
          <w:iCs w:val="1"/>
          <w:color w:val="auto"/>
        </w:rPr>
        <w:t>City of West, Texas vs. CF Industries, Inc., et al.,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BAE Systems Ordinance Systems,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al. vs. El Dorado Chemical Company</w:t>
      </w:r>
      <w:r>
        <w:rPr>
          <w:rFonts w:ascii="Times New Roman" w:cs="Times New Roman" w:eastAsia="Times New Roman" w:hAnsi="Times New Roman"/>
          <w:sz w:val="18"/>
          <w:szCs w:val="18"/>
          <w:color w:val="auto"/>
        </w:rPr>
        <w:t>, discussed under “Other Pending, Threatened or Settled Litigation” of Note 8.</w:t>
      </w: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considering selling certain non-core assets (total net book value of approximately $5 million) in the near term. Due to the nature of some of these assets, there may be a limited market. As a result, and depending on appraisals obtained and offers received, if any, from potential buyers, it is reasonably possible we could incur impairment charges or losses on sales of assets in the near term.</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 carrying values of the redeemable preferred stocks are being increased by periodic accretions (recorded to retained earnings and included in determining income or loss per share) using the interest method so that the carrying amount will equal the redemption value as of August 2, 2019, the earliest possible redemption date by the holder. However, the remaining accretion could accelerate if the expected redemption date is earlier than August 2, 2019.</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also reasonably possible that the estimates and assumptions utilized as of June 30, 2017 could change in the near term.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 as defined in Item 303(a)(4)(ii) of Regulation S-K under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Aggregate Contractual Obligations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operation of our businesses, we enter into contracts, leases and borrowing arrangements. As discussed in our 2016 Form 10-K, we had certain contractual obligations as of December 31, 2016, with various maturity dates, showing payments due for the next five years and thereafter related to the following:</w:t>
      </w:r>
    </w:p>
    <w:p>
      <w:pPr>
        <w:spacing w:after="0" w:line="1" w:lineRule="exact"/>
        <w:rPr>
          <w:sz w:val="20"/>
          <w:szCs w:val="20"/>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w:t>
      </w:r>
    </w:p>
    <w:p>
      <w:pPr>
        <w:spacing w:after="0" w:line="4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E Redeemable Preferred,</w:t>
      </w:r>
    </w:p>
    <w:p>
      <w:pPr>
        <w:spacing w:after="0" w:line="4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accrued on Series E Redeemable Preferred,</w:t>
      </w:r>
    </w:p>
    <w:p>
      <w:pPr>
        <w:spacing w:after="0" w:line="4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long-term debt,</w:t>
      </w:r>
    </w:p>
    <w:p>
      <w:pPr>
        <w:spacing w:after="0" w:line="4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capital expenditures,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7" w:name="page38"/>
    <w:bookmarkEnd w:id="37"/>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leases,</w:t>
      </w:r>
    </w:p>
    <w:p>
      <w:pPr>
        <w:spacing w:after="0" w:line="4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pipeline commitment,</w:t>
      </w:r>
    </w:p>
    <w:p>
      <w:pPr>
        <w:spacing w:after="0" w:line="4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firm purchase commitments and,</w:t>
      </w:r>
    </w:p>
    <w:p>
      <w:pPr>
        <w:spacing w:after="0" w:line="4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contractual obligations.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six month of 2017, we amended our working capital revolver loan agreement and paid off the secured promissory note due 2017 as discussed in Note 7 and under “Liquidity and Capital Resources” and in our 2016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and operating cash flows are impacted by changes in market prices of ammonia and natural gas and changes in market interest rates.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Periodically, we enter into forward firm sales commitments for products to be delivered in future periods. As a result, we could be exposed to embedded losses should our product costs exceed the firm sales prices. At June 30, 2017, we had no embedded losses associated with sales commitments with firm sales prices.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Commodity Price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We periodically enter into contracts to purchase natural gas for anticipated production needs.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June 30, 2017, we did not have any natural gas derivatives not meeting the definition of a normal purchase and sale.</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we are exposed to variable interest rate risk with respect to our revolving credit facility. As of June 30, 2017, we did not have any outstanding borrowings on this credit facility. We are also exposed to interest rate risk on variable rate borrowings for certain commercial loans in the amount of approximately $17.7 million. We currently do not hedge our interest rate risk associated with these variable interest loans.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June 30, 2017. Based on this evaluation, the Company's Chief Executive Officer and Chief Financial Officer have concluded that the Company's disclosure controls and procedures were effective as of June 30, 2017, at the reasonable assurance level.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SPECIAL NOTE REGARDING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9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are not limited to, the following:</w:t>
      </w:r>
    </w:p>
    <w:p>
      <w:pPr>
        <w:spacing w:after="0" w:line="66" w:lineRule="exact"/>
        <w:rPr>
          <w:sz w:val="20"/>
          <w:szCs w:val="20"/>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invest in projects that will generate best returns for our stockholders;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liquidity outlook;</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our chemical products and related markets;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effect on the nitrogen market from the current nitrogen expansion projects;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from the lack of non-seasonal volume;</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competition is based upon service, price, location of production and distribution sites, and product quality and performance;</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outlook for the coal industry;</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our product and market diversification strategy;</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fertilizer production;</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on-stream rates at our production facilities;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moderate risk inherent in agricultural markets;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to fund our cash needs and how this cash will be used;</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entering into the additional borrowings;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cost and timing of our capital projects;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covered under warranty provisions;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to our customers cost increases in the form of higher prices;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natural gas requirements;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the El Dorado Facility of the terms of its permits;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compliance with environmental laws, health laws, security regulations and transportation regulations;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when Turnarounds will be performed and completed;</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 connection with environmental projects;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litigation and other contingencies;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from the El Dorado expansion project;</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debt servicing and covenants;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debt maturities or redemption obligations when due; and</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as to whether we can meet all required covenant tests for the next twelve months.</w:t>
      </w:r>
    </w:p>
    <w:p>
      <w:pPr>
        <w:spacing w:after="0" w:line="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65" w:lineRule="exact"/>
        <w:rPr>
          <w:sz w:val="20"/>
          <w:szCs w:val="20"/>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both domestic and foreign;</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reductions in revenues;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interest rates;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9" w:name="page40"/>
    <w:bookmarkEnd w:id="39"/>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in a timely manner a material amount of receivables;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pressures;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increases in prices of raw materials;</w:t>
      </w:r>
    </w:p>
    <w:p>
      <w:pPr>
        <w:spacing w:after="0" w:line="90" w:lineRule="exact"/>
        <w:rPr>
          <w:rFonts w:ascii="Times New Roman" w:cs="Times New Roman" w:eastAsia="Times New Roman" w:hAnsi="Times New Roman"/>
          <w:sz w:val="18"/>
          <w:szCs w:val="18"/>
          <w:color w:val="auto"/>
        </w:rPr>
      </w:pPr>
    </w:p>
    <w:p>
      <w:pPr>
        <w:ind w:left="1040" w:hanging="519"/>
        <w:spacing w:after="0" w:line="25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state and local laws and regulations, especially environmental regulations or the American Reinvestment and Recovery Act, or in the interpretation of such;</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pollutants into the environment exceeding our permitted limits;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equipment, maintenance, operating or labor costs not presently anticipated by us;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use internally generated funds for purposes not presently anticipated;</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secure additional financing for planned capital expenditures or financing obligations due in the near future;</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existing indebtedness;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the cost of certain precious metals, natural gas, and ammonia;</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due to financial covenants;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competition;</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significant customer;</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to maintain internal controls over financial reporting;</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strategy or development plans;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fund the working capital and expansion of our businesses;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production efficiency of our facilities;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our contingencies including pending litigation;</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downtime at one or more of our chemical facilities;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rates at any of our chemical plants;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necessary raw materials and purchased components;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cost of raw materials;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our accounting estimates;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problems within our production equipment;</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or natural disasters;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or retain our insurance coverage;</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necessary permits;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third-party financing;</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proxy contests initiated by dissident stockholders;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fertilizer production;</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acres planted for crops requiring fertilizer;</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duties for products we sell resulting in an increase in imported products into the U.S.;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natural gas prices;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imported agricultural products; and</w:t>
      </w:r>
    </w:p>
    <w:p>
      <w:pPr>
        <w:spacing w:after="0" w:line="9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“Risk Factors” in our Form 10-K for the year ended December 31, 2016.</w:t>
      </w:r>
    </w:p>
    <w:p>
      <w:pPr>
        <w:spacing w:after="0" w:line="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ADEQ</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Arkansas Department of Environmental Quality.</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Ammonium nitrate.</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ARO</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retirement obligation.</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BAE</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BAE Systems Ordinance Systems, Inc.</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Baytown Facility</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nitric acid production facility located in Baytown, Texas.</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BKV</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BKV Chelsea L.L.C.</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CAO</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A consent administrative order.</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Cherokee Facility</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Our chemical production facility located in Cherokee, Alabama.</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Chevron</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Chevron Environmental Management Company.</w:t>
            </w:r>
          </w:p>
        </w:tc>
      </w:tr>
      <w:tr>
        <w:trPr>
          <w:trHeight w:val="292"/>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Covestro</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party with whom our subsidiary in Baytown has entered into an agreement for supply of nitric acid through</w:t>
            </w:r>
          </w:p>
        </w:tc>
      </w:tr>
      <w:tr>
        <w:trPr>
          <w:trHeight w:val="234"/>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 least June 2021, the Covestro Agreement.</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DOJ</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U.S. Department of Justice.</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Diesel Exhaust Fluid.</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EDA</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El Dorado Ammonia L.L.C.</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EDC</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El Dorado Chemical Company.</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EIA</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U.S. Energy Information Administration.</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 Dorado Facility</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Our chemical production facility located in El Dorado, Arkansas.</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Environmental and Health Laws</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Numerous federal, state and local environmental, health and safety laws.</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EPA</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U.S. Environmental Protection Agency.</w:t>
            </w:r>
          </w:p>
        </w:tc>
      </w:tr>
      <w:tr>
        <w:trPr>
          <w:trHeight w:val="3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Covenant</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Certain springing financial covenants associated with the working capital revolver loan.</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First Supplemental Indenture</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First Supplemental Indenture, dated as of September 7, 2016, to the Original 7.75% Indenture.</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Global</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Global Industrial, Inc., a subcontractor asserting mechanics liens for work rendered to LSB and EDC.</w:t>
            </w:r>
          </w:p>
        </w:tc>
      </w:tr>
      <w:tr>
        <w:trPr>
          <w:trHeight w:val="292"/>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Golsen Holders</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Jack E. Golsen, our Executive Chairman of the Board, and Barry H. Golsen, a member of the Board, entities</w:t>
            </w:r>
          </w:p>
        </w:tc>
      </w:tr>
      <w:tr>
        <w:trPr>
          <w:trHeight w:val="234"/>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owned by them and trusts for which they possess voting or dispositive power as trustee.</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Hallowell Facility</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A chemical facility previously owned by two of our subsidiaries located in Kansas.</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HDAN</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High density ammonium nitrate prills used in the agricultural industry.</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KDHE</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Kansas Department of Health and Environment.</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Indenture Amendments</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Certain amendments to the Original 7.75% Indenture.</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LDAN</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Low density ammonium nitrate prills used in the mining industry.</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Leidos</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Leidos Constructors L.L.C.</w:t>
            </w:r>
          </w:p>
        </w:tc>
      </w:tr>
      <w:tr>
        <w:trPr>
          <w:trHeight w:val="292"/>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The Series E Redeemable Preferred liquidation preference of $1,000 per share plus accrued and unpaid dividends</w:t>
            </w:r>
          </w:p>
        </w:tc>
      </w:tr>
      <w:tr>
        <w:trPr>
          <w:trHeight w:val="234"/>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plus the participation rights value.</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LSB</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LSB Industries, Inc.</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MD&amp;A</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Management’s Discussion and Analysis of Financial Condition and Results of Operations.</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MMBtu</w:t>
            </w:r>
          </w:p>
        </w:tc>
        <w:tc>
          <w:tcPr>
            <w:tcW w:w="8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Million Metric British thermal units.</w:t>
            </w:r>
          </w:p>
        </w:tc>
      </w:tr>
      <w:tr>
        <w:trPr>
          <w:trHeight w:val="311"/>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NOV</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Violation</w:t>
            </w:r>
          </w:p>
        </w:tc>
      </w:tr>
      <w:tr>
        <w:trPr>
          <w:trHeight w:val="554"/>
        </w:trPr>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3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41</w:t>
            </w:r>
          </w:p>
        </w:tc>
      </w:tr>
      <w:tr>
        <w:trPr>
          <w:trHeight w:val="115"/>
        </w:trPr>
        <w:tc>
          <w:tcPr>
            <w:tcW w:w="2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7" w:right="2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NPDES</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National Pollutant Discharge Elimination System.</w:t>
            </w:r>
          </w:p>
        </w:tc>
      </w:tr>
      <w:tr>
        <w:trPr>
          <w:trHeight w:val="3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ODEQ</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Oklahoma Department of Environmental Quality.</w:t>
            </w:r>
          </w:p>
        </w:tc>
      </w:tr>
      <w:tr>
        <w:trPr>
          <w:trHeight w:val="319"/>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Original 7.75% Indenture</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indenture, dated as of August 7, 2013, pursuant to which we issued the $425 million 7.75% Senior Secured</w:t>
            </w:r>
          </w:p>
        </w:tc>
      </w:tr>
      <w:tr>
        <w:trPr>
          <w:trHeight w:val="234"/>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due 2019.</w:t>
            </w:r>
          </w:p>
        </w:tc>
      </w:tr>
      <w:tr>
        <w:trPr>
          <w:trHeight w:val="3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PCC</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Pryor Chemical Company.</w:t>
            </w:r>
          </w:p>
        </w:tc>
      </w:tr>
      <w:tr>
        <w:trPr>
          <w:trHeight w:val="3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PP&amp;E</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Plant, property and equipment.</w:t>
            </w:r>
          </w:p>
        </w:tc>
      </w:tr>
      <w:tr>
        <w:trPr>
          <w:trHeight w:val="3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Project</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greenhouse reduction project being performed at our Baytown Facility.</w:t>
            </w:r>
          </w:p>
        </w:tc>
      </w:tr>
      <w:tr>
        <w:trPr>
          <w:trHeight w:val="319"/>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Zena’s former rights, title and interests in all of its oil and natural gas properties located in Wyoming County,</w:t>
            </w:r>
          </w:p>
        </w:tc>
      </w:tr>
      <w:tr>
        <w:trPr>
          <w:trHeight w:val="234"/>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Pennsylvania.</w:t>
            </w:r>
          </w:p>
        </w:tc>
      </w:tr>
      <w:tr>
        <w:trPr>
          <w:trHeight w:val="3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Pryor Facility</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Our chemical production facility located in Pryor, Oklahoma.</w:t>
            </w:r>
          </w:p>
        </w:tc>
      </w:tr>
      <w:tr>
        <w:trPr>
          <w:trHeight w:val="3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LSB Funding L.L.C.</w:t>
            </w:r>
          </w:p>
        </w:tc>
      </w:tr>
      <w:tr>
        <w:trPr>
          <w:trHeight w:val="3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Retirement Date</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2017.</w:t>
            </w:r>
          </w:p>
        </w:tc>
      </w:tr>
      <w:tr>
        <w:trPr>
          <w:trHeight w:val="3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U.S. Securities and Exchange Commission.</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Promissory Note due 2019</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secured promissory note between EDC and a lender which matures in June 2019.</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Promissory Note due 2021</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secured promissory note between EDC and a lender which matures in June 2021.</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Secured Promissory Note due 2023</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secured promissory note between EDA and a lender which matures in May 2023.</w:t>
            </w:r>
          </w:p>
        </w:tc>
      </w:tr>
      <w:tr>
        <w:trPr>
          <w:trHeight w:val="292"/>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Secured Notes</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Senior Secured Notes, subsequently amended under the Supplemental Indenture, with a current interest rate</w:t>
            </w:r>
          </w:p>
        </w:tc>
      </w:tr>
      <w:tr>
        <w:trPr>
          <w:trHeight w:val="234"/>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8.50%.</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B Preferred</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Series B 12% cumulative convertible Class C Preferred stock.</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D Preferred</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Series D 6% cumulative convertible Class C preferred stock.</w:t>
            </w:r>
          </w:p>
        </w:tc>
      </w:tr>
      <w:tr>
        <w:trPr>
          <w:trHeight w:val="292"/>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E Redeemable Preferred</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14% Series E Redeemable Preferred stock with participating rights and liquidating distributions based on a</w:t>
            </w:r>
          </w:p>
        </w:tc>
      </w:tr>
      <w:tr>
        <w:trPr>
          <w:trHeight w:val="234"/>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number of shares of our common stock.</w:t>
            </w:r>
          </w:p>
        </w:tc>
      </w:tr>
      <w:tr>
        <w:trPr>
          <w:trHeight w:val="292"/>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Series F Redeemable Preferred</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The Series F Redeemable Preferred stock have one share to vote as a single class on all matters with our common</w:t>
            </w:r>
          </w:p>
        </w:tc>
      </w:tr>
      <w:tr>
        <w:trPr>
          <w:trHeight w:val="234"/>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equal to 456,225 shares of our common stock.</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SG&amp;A</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Selling, general and administrative expense.</w:t>
            </w:r>
          </w:p>
        </w:tc>
      </w:tr>
      <w:tr>
        <w:trPr>
          <w:trHeight w:val="292"/>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Springing Maturity Date</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90 days prior to the maturity date of the Senior Secured Notes, to the extent the Senior Secured Notes are not</w:t>
            </w:r>
          </w:p>
        </w:tc>
      </w:tr>
      <w:tr>
        <w:trPr>
          <w:trHeight w:val="234"/>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refinanced or repaid prior to 90 days prior to January 17,2022.</w:t>
            </w:r>
          </w:p>
        </w:tc>
      </w:tr>
      <w:tr>
        <w:trPr>
          <w:trHeight w:val="3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Transition Agreement</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An agreement between Jack Golsen and LSB, dated June 30, 2017.</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TSA</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transition services agreement.</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Turnaround</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 planned major maintenance activity.</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UAN</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Urea ammonium nitrate.</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USDA</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United States Department of Agriculture.</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WASDE</w:t>
            </w:r>
          </w:p>
        </w:tc>
        <w:tc>
          <w:tcPr>
            <w:tcW w:w="8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World Agricultural Supply and Demand Estimates Report.</w:t>
            </w:r>
          </w:p>
        </w:tc>
      </w:tr>
      <w:tr>
        <w:trPr>
          <w:trHeight w:val="311"/>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West Fertilizer</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West Fertilizer Company.</w:t>
            </w:r>
          </w:p>
        </w:tc>
      </w:tr>
      <w:tr>
        <w:trPr>
          <w:trHeight w:val="432"/>
        </w:trPr>
        <w:tc>
          <w:tcPr>
            <w:tcW w:w="2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42</w:t>
            </w:r>
          </w:p>
        </w:tc>
      </w:tr>
      <w:tr>
        <w:trPr>
          <w:trHeight w:val="115"/>
        </w:trPr>
        <w:tc>
          <w:tcPr>
            <w:tcW w:w="2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8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Our secured revolving credit facility.</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Revolver Loan</w:t>
            </w:r>
          </w:p>
        </w:tc>
        <w:tc>
          <w:tcPr>
            <w:tcW w:w="8740" w:type="dxa"/>
            <w:vAlign w:val="bottom"/>
          </w:tcPr>
          <w:p>
            <w:pPr>
              <w:spacing w:after="0"/>
              <w:rPr>
                <w:sz w:val="20"/>
                <w:szCs w:val="20"/>
                <w:color w:val="auto"/>
              </w:rPr>
            </w:pPr>
          </w:p>
        </w:tc>
      </w:tr>
      <w:tr>
        <w:trPr>
          <w:trHeight w:val="28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Working Capital Revolver Loan</w:t>
            </w:r>
          </w:p>
        </w:tc>
        <w:tc>
          <w:tcPr>
            <w:tcW w:w="8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The senior secured revolving credit facility, amended effective January 17, 2017.</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Amendment</w:t>
            </w:r>
          </w:p>
        </w:tc>
        <w:tc>
          <w:tcPr>
            <w:tcW w:w="8740" w:type="dxa"/>
            <w:vAlign w:val="bottom"/>
          </w:tcPr>
          <w:p>
            <w:pPr>
              <w:spacing w:after="0"/>
              <w:rPr>
                <w:sz w:val="20"/>
                <w:szCs w:val="20"/>
                <w:color w:val="auto"/>
              </w:rPr>
            </w:pPr>
          </w:p>
        </w:tc>
      </w:tr>
      <w:tr>
        <w:trPr>
          <w:trHeight w:val="311"/>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Zena</w:t>
            </w:r>
          </w:p>
        </w:tc>
        <w:tc>
          <w:tcPr>
            <w:tcW w:w="8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Zena Energy L.L.C., a subsidiary of the Company.</w:t>
            </w:r>
          </w:p>
        </w:tc>
      </w:tr>
      <w:tr>
        <w:trPr>
          <w:trHeight w:val="837"/>
        </w:trPr>
        <w:tc>
          <w:tcPr>
            <w:tcW w:w="2700" w:type="dxa"/>
            <w:vAlign w:val="bottom"/>
          </w:tcPr>
          <w:p>
            <w:pPr>
              <w:spacing w:after="0"/>
              <w:rPr>
                <w:sz w:val="24"/>
                <w:szCs w:val="24"/>
                <w:color w:val="auto"/>
              </w:rPr>
            </w:pPr>
          </w:p>
        </w:tc>
        <w:tc>
          <w:tcPr>
            <w:tcW w:w="8740" w:type="dxa"/>
            <w:vAlign w:val="bottom"/>
          </w:tcPr>
          <w:p>
            <w:pPr>
              <w:jc w:val="right"/>
              <w:ind w:right="5550"/>
              <w:spacing w:after="0"/>
              <w:rPr>
                <w:sz w:val="20"/>
                <w:szCs w:val="20"/>
                <w:color w:val="auto"/>
              </w:rPr>
            </w:pPr>
            <w:r>
              <w:rPr>
                <w:rFonts w:ascii="Times New Roman" w:cs="Times New Roman" w:eastAsia="Times New Roman" w:hAnsi="Times New Roman"/>
                <w:sz w:val="18"/>
                <w:szCs w:val="18"/>
                <w:color w:val="auto"/>
              </w:rPr>
              <w:t>43</w:t>
            </w:r>
          </w:p>
        </w:tc>
      </w:tr>
      <w:tr>
        <w:trPr>
          <w:trHeight w:val="115"/>
        </w:trPr>
        <w:tc>
          <w:tcPr>
            <w:tcW w:w="2700" w:type="dxa"/>
            <w:vAlign w:val="bottom"/>
            <w:tcBorders>
              <w:bottom w:val="single" w:sz="8" w:color="9A9A9A"/>
            </w:tcBorders>
          </w:tcPr>
          <w:p>
            <w:pPr>
              <w:spacing w:after="0"/>
              <w:rPr>
                <w:sz w:val="10"/>
                <w:szCs w:val="10"/>
                <w:color w:val="auto"/>
              </w:rPr>
            </w:pPr>
          </w:p>
        </w:tc>
        <w:tc>
          <w:tcPr>
            <w:tcW w:w="8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28" w:right="21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8—Commitments and Contingencies—Legal Matters” in the Notes to the Condensed Consolidated Financial Statements in this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Item 1A of our 2016 Form 10-K, filed with the SEC on February 27, 2017 for our discussion regarding risk factors.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546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00" w:type="dxa"/>
            <w:vAlign w:val="bottom"/>
          </w:tcPr>
          <w:p>
            <w:pPr>
              <w:spacing w:after="0"/>
              <w:rPr>
                <w:sz w:val="13"/>
                <w:szCs w:val="13"/>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54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the Following</w:t>
            </w:r>
          </w:p>
        </w:tc>
        <w:tc>
          <w:tcPr>
            <w:tcW w:w="0" w:type="dxa"/>
            <w:vAlign w:val="bottom"/>
          </w:tcPr>
          <w:p>
            <w:pPr>
              <w:spacing w:after="0"/>
              <w:rPr>
                <w:sz w:val="1"/>
                <w:szCs w:val="1"/>
                <w:color w:val="auto"/>
              </w:rPr>
            </w:pPr>
          </w:p>
        </w:tc>
      </w:tr>
      <w:tr>
        <w:trPr>
          <w:trHeight w:val="313"/>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3(i).1</w:t>
            </w:r>
          </w:p>
        </w:tc>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Restated Certificate of Incorporation of LSB Industries, Inc., dated January</w:t>
            </w: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3(i).1  to  the  Company’s  Form  10-K  filed  on</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21, 1977, as amended August 27, 1987</w:t>
            </w: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28, 2013</w:t>
            </w:r>
          </w:p>
        </w:tc>
        <w:tc>
          <w:tcPr>
            <w:tcW w:w="0" w:type="dxa"/>
            <w:vAlign w:val="bottom"/>
          </w:tcPr>
          <w:p>
            <w:pPr>
              <w:spacing w:after="0"/>
              <w:rPr>
                <w:sz w:val="1"/>
                <w:szCs w:val="1"/>
                <w:color w:val="auto"/>
              </w:rPr>
            </w:pPr>
          </w:p>
        </w:tc>
      </w:tr>
      <w:tr>
        <w:trPr>
          <w:trHeight w:val="319"/>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3(ii).1</w:t>
            </w:r>
          </w:p>
        </w:tc>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Amended and Restated Bylaws of LSB Industries, Inc. dated August 20,</w:t>
            </w: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3(ii).1 to the Company’s Form 8-K filed August 27,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2009, as amended February 18, 2010, January 17, 2014, February 4, 2014</w:t>
            </w: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2014</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August 21, 2014</w:t>
            </w: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ectPr>
          <w:pgSz w:w="11900" w:h="16838" w:orient="portrait"/>
          <w:cols w:equalWidth="0" w:num="1">
            <w:col w:w="11420"/>
          </w:cols>
          <w:pgMar w:left="240" w:top="333" w:right="239" w:bottom="1440" w:gutter="0" w:footer="0" w:header="0"/>
        </w:sect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3(ii).2</w:t>
            </w:r>
          </w:p>
        </w:tc>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Fifth Amendment to the Amended and Restated Bylaws of LSB Industries,</w:t>
            </w:r>
          </w:p>
        </w:tc>
      </w:tr>
      <w:tr>
        <w:trPr>
          <w:trHeight w:val="234"/>
        </w:trPr>
        <w:tc>
          <w:tcPr>
            <w:tcW w:w="820" w:type="dxa"/>
            <w:vAlign w:val="bottom"/>
          </w:tcPr>
          <w:p>
            <w:pPr>
              <w:spacing w:after="0"/>
              <w:rPr>
                <w:sz w:val="20"/>
                <w:szCs w:val="20"/>
                <w:color w:val="auto"/>
              </w:rPr>
            </w:pPr>
          </w:p>
        </w:tc>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 dated as of April 26, 2015</w:t>
            </w:r>
          </w:p>
        </w:tc>
      </w:tr>
    </w:tbl>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Times New Roman" w:cs="Times New Roman" w:eastAsia="Times New Roman" w:hAnsi="Times New Roman"/>
          <w:sz w:val="18"/>
          <w:szCs w:val="18"/>
          <w:color w:val="auto"/>
        </w:rPr>
        <w:t>Exhibit 3(ii) to the Company’s Form 8-K filed April 30, 2015</w:t>
      </w:r>
    </w:p>
    <w:p>
      <w:pPr>
        <w:spacing w:after="0" w:line="328" w:lineRule="exact"/>
        <w:rPr>
          <w:sz w:val="20"/>
          <w:szCs w:val="20"/>
          <w:color w:val="auto"/>
        </w:rPr>
      </w:pPr>
    </w:p>
    <w:p>
      <w:pPr>
        <w:sectPr>
          <w:pgSz w:w="11900" w:h="16838" w:orient="portrait"/>
          <w:cols w:equalWidth="0" w:num="2">
            <w:col w:w="6740" w:space="120"/>
            <w:col w:w="4560"/>
          </w:cols>
          <w:pgMar w:left="240" w:top="333" w:right="239" w:bottom="1440" w:gutter="0" w:footer="0" w:header="0"/>
          <w:type w:val="continuous"/>
        </w:sect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3(ii).3</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Sixth Amendment to the Amended and Restated Bylaws of LSB Industries,</w:t>
            </w:r>
          </w:p>
        </w:tc>
      </w:tr>
      <w:tr>
        <w:trPr>
          <w:trHeight w:val="234"/>
        </w:trPr>
        <w:tc>
          <w:tcPr>
            <w:tcW w:w="820" w:type="dxa"/>
            <w:vAlign w:val="bottom"/>
          </w:tcPr>
          <w:p>
            <w:pPr>
              <w:spacing w:after="0"/>
              <w:rPr>
                <w:sz w:val="20"/>
                <w:szCs w:val="20"/>
                <w:color w:val="auto"/>
              </w:rPr>
            </w:pP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 dated as of December 2, 2015</w:t>
            </w:r>
          </w:p>
        </w:tc>
      </w:tr>
    </w:tbl>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Exhibit 3(ii) to the Company’s Form 8-K filed December 8, 2015</w:t>
      </w:r>
    </w:p>
    <w:p>
      <w:pPr>
        <w:spacing w:after="0" w:line="67" w:lineRule="exact"/>
        <w:rPr>
          <w:sz w:val="20"/>
          <w:szCs w:val="20"/>
          <w:color w:val="auto"/>
        </w:rPr>
      </w:pPr>
    </w:p>
    <w:p>
      <w:pPr>
        <w:sectPr>
          <w:pgSz w:w="11900" w:h="16838" w:orient="portrait"/>
          <w:cols w:equalWidth="0" w:num="2">
            <w:col w:w="6760" w:space="100"/>
            <w:col w:w="4560"/>
          </w:cols>
          <w:pgMar w:left="240" w:top="333" w:right="239" w:bottom="1440" w:gutter="0" w:footer="0" w:header="0"/>
          <w:type w:val="continuous"/>
        </w:sectPr>
      </w:pPr>
    </w:p>
    <w:p>
      <w:pPr>
        <w:ind w:left="1300" w:hanging="1192"/>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3(ii).4</w:t>
      </w:r>
      <w:r>
        <w:rPr>
          <w:sz w:val="20"/>
          <w:szCs w:val="20"/>
          <w:color w:val="auto"/>
        </w:rPr>
        <w:tab/>
      </w:r>
      <w:r>
        <w:rPr>
          <w:rFonts w:ascii="Times New Roman" w:cs="Times New Roman" w:eastAsia="Times New Roman" w:hAnsi="Times New Roman"/>
          <w:sz w:val="18"/>
          <w:szCs w:val="18"/>
          <w:color w:val="auto"/>
        </w:rPr>
        <w:t>Seventh Amendment to the Amended and Restated Bylaws of LSB Industries, Inc., dated as of December 22, 2015</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Exhibit 3(ii) to the Company’s Form 8-K filed December 29, 2015</w:t>
      </w:r>
    </w:p>
    <w:p>
      <w:pPr>
        <w:spacing w:after="0" w:line="200" w:lineRule="exact"/>
        <w:rPr>
          <w:sz w:val="20"/>
          <w:szCs w:val="20"/>
          <w:color w:val="auto"/>
        </w:rPr>
      </w:pPr>
    </w:p>
    <w:p>
      <w:pPr>
        <w:sectPr>
          <w:pgSz w:w="11900" w:h="16838" w:orient="portrait"/>
          <w:cols w:equalWidth="0" w:num="2">
            <w:col w:w="6760" w:space="100"/>
            <w:col w:w="4560"/>
          </w:cols>
          <w:pgMar w:left="240" w:top="333" w:right="239" w:bottom="1440" w:gutter="0" w:footer="0" w:header="0"/>
          <w:type w:val="continuous"/>
        </w:sectPr>
      </w:pP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and Sale Agreement between Zena Energy L.L.C. and BKV</w:t>
            </w: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Exhibit 10.1 to the Company’s Form 8-K filed May 15, 2017</w:t>
            </w:r>
          </w:p>
        </w:tc>
      </w:tr>
      <w:tr>
        <w:trPr>
          <w:trHeight w:val="234"/>
        </w:trPr>
        <w:tc>
          <w:tcPr>
            <w:tcW w:w="1080" w:type="dxa"/>
            <w:vAlign w:val="bottom"/>
          </w:tcPr>
          <w:p>
            <w:pPr>
              <w:spacing w:after="0"/>
              <w:rPr>
                <w:sz w:val="20"/>
                <w:szCs w:val="20"/>
                <w:color w:val="auto"/>
              </w:rPr>
            </w:pP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Chelsea, LLC, dated May 11, 2017</w:t>
            </w:r>
          </w:p>
        </w:tc>
        <w:tc>
          <w:tcPr>
            <w:tcW w:w="4440" w:type="dxa"/>
            <w:vAlign w:val="bottom"/>
          </w:tcPr>
          <w:p>
            <w:pPr>
              <w:spacing w:after="0"/>
              <w:rPr>
                <w:sz w:val="20"/>
                <w:szCs w:val="20"/>
                <w:color w:val="auto"/>
              </w:rPr>
            </w:pPr>
          </w:p>
        </w:tc>
      </w:tr>
      <w:tr>
        <w:trPr>
          <w:trHeight w:val="319"/>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Transition Agreement by and between LSB Industries, Inc. and Jack E.</w:t>
            </w: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Exhibit 10.1 to the Company’s Form 8-K filed June 30, 2017</w:t>
            </w:r>
          </w:p>
        </w:tc>
      </w:tr>
      <w:tr>
        <w:trPr>
          <w:trHeight w:val="234"/>
        </w:trPr>
        <w:tc>
          <w:tcPr>
            <w:tcW w:w="1080" w:type="dxa"/>
            <w:vAlign w:val="bottom"/>
          </w:tcPr>
          <w:p>
            <w:pPr>
              <w:spacing w:after="0"/>
              <w:rPr>
                <w:sz w:val="20"/>
                <w:szCs w:val="20"/>
                <w:color w:val="auto"/>
              </w:rPr>
            </w:pP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Golsen, dated June 30, 2017</w:t>
            </w:r>
          </w:p>
        </w:tc>
        <w:tc>
          <w:tcPr>
            <w:tcW w:w="4440" w:type="dxa"/>
            <w:vAlign w:val="bottom"/>
          </w:tcPr>
          <w:p>
            <w:pPr>
              <w:spacing w:after="0"/>
              <w:rPr>
                <w:sz w:val="20"/>
                <w:szCs w:val="20"/>
                <w:color w:val="auto"/>
              </w:rPr>
            </w:pPr>
          </w:p>
        </w:tc>
      </w:tr>
      <w:tr>
        <w:trPr>
          <w:trHeight w:val="535"/>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31.1(a)</w:t>
            </w: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Daniel D. Greenwell, Chief Executive Officer, pursuant to</w:t>
            </w:r>
          </w:p>
        </w:tc>
        <w:tc>
          <w:tcPr>
            <w:tcW w:w="444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Sarbanes-Oxley Act of 2002, Section 302</w:t>
            </w:r>
          </w:p>
        </w:tc>
        <w:tc>
          <w:tcPr>
            <w:tcW w:w="4440" w:type="dxa"/>
            <w:vAlign w:val="bottom"/>
          </w:tcPr>
          <w:p>
            <w:pPr>
              <w:spacing w:after="0"/>
              <w:rPr>
                <w:sz w:val="20"/>
                <w:szCs w:val="20"/>
                <w:color w:val="auto"/>
              </w:rPr>
            </w:pPr>
          </w:p>
        </w:tc>
      </w:tr>
      <w:tr>
        <w:trPr>
          <w:trHeight w:val="319"/>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31.2(a)</w:t>
            </w: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Mark T. Behrman, Chief Financial Officer, pursuant to</w:t>
            </w:r>
          </w:p>
        </w:tc>
        <w:tc>
          <w:tcPr>
            <w:tcW w:w="444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Sarbanes-Oxley Act of 2002, Section 302</w:t>
            </w:r>
          </w:p>
        </w:tc>
        <w:tc>
          <w:tcPr>
            <w:tcW w:w="4440" w:type="dxa"/>
            <w:vAlign w:val="bottom"/>
          </w:tcPr>
          <w:p>
            <w:pPr>
              <w:spacing w:after="0"/>
              <w:rPr>
                <w:sz w:val="20"/>
                <w:szCs w:val="20"/>
                <w:color w:val="auto"/>
              </w:rPr>
            </w:pPr>
          </w:p>
        </w:tc>
      </w:tr>
      <w:tr>
        <w:trPr>
          <w:trHeight w:val="319"/>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32.1(b)</w:t>
            </w: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Daniel D. Greenwell, Chief Executive Officer, furnished</w:t>
            </w:r>
          </w:p>
        </w:tc>
        <w:tc>
          <w:tcPr>
            <w:tcW w:w="444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pursuant to Sarbanes-Oxley Act of 2002, Section 906</w:t>
            </w:r>
          </w:p>
        </w:tc>
        <w:tc>
          <w:tcPr>
            <w:tcW w:w="4440" w:type="dxa"/>
            <w:vAlign w:val="bottom"/>
          </w:tcPr>
          <w:p>
            <w:pPr>
              <w:spacing w:after="0"/>
              <w:rPr>
                <w:sz w:val="20"/>
                <w:szCs w:val="20"/>
                <w:color w:val="auto"/>
              </w:rPr>
            </w:pPr>
          </w:p>
        </w:tc>
      </w:tr>
      <w:tr>
        <w:trPr>
          <w:trHeight w:val="319"/>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32.2(b)</w:t>
            </w: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Certification of Mark T. Behrman, Chief Financial Officer, furnished</w:t>
            </w:r>
          </w:p>
        </w:tc>
        <w:tc>
          <w:tcPr>
            <w:tcW w:w="444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pursuant to Sarbanes-Oxley Act of 2002, Section 906</w:t>
            </w:r>
          </w:p>
        </w:tc>
        <w:tc>
          <w:tcPr>
            <w:tcW w:w="4440" w:type="dxa"/>
            <w:vAlign w:val="bottom"/>
          </w:tcPr>
          <w:p>
            <w:pPr>
              <w:spacing w:after="0"/>
              <w:rPr>
                <w:sz w:val="20"/>
                <w:szCs w:val="20"/>
                <w:color w:val="auto"/>
              </w:rPr>
            </w:pP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101.INS(a)</w:t>
            </w: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c>
          <w:tcPr>
            <w:tcW w:w="4440" w:type="dxa"/>
            <w:vAlign w:val="bottom"/>
          </w:tcPr>
          <w:p>
            <w:pPr>
              <w:spacing w:after="0"/>
              <w:rPr>
                <w:sz w:val="24"/>
                <w:szCs w:val="24"/>
                <w:color w:val="auto"/>
              </w:rPr>
            </w:pP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101.SCH(a)</w:t>
            </w: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440" w:type="dxa"/>
            <w:vAlign w:val="bottom"/>
          </w:tcPr>
          <w:p>
            <w:pPr>
              <w:spacing w:after="0"/>
              <w:rPr>
                <w:sz w:val="24"/>
                <w:szCs w:val="24"/>
                <w:color w:val="auto"/>
              </w:rPr>
            </w:pP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101.CAL(a)</w:t>
            </w: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4440" w:type="dxa"/>
            <w:vAlign w:val="bottom"/>
          </w:tcPr>
          <w:p>
            <w:pPr>
              <w:spacing w:after="0"/>
              <w:rPr>
                <w:sz w:val="24"/>
                <w:szCs w:val="24"/>
                <w:color w:val="auto"/>
              </w:rPr>
            </w:pP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101.DEF(a)</w:t>
            </w: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4440" w:type="dxa"/>
            <w:vAlign w:val="bottom"/>
          </w:tcPr>
          <w:p>
            <w:pPr>
              <w:spacing w:after="0"/>
              <w:rPr>
                <w:sz w:val="24"/>
                <w:szCs w:val="24"/>
                <w:color w:val="auto"/>
              </w:rPr>
            </w:pP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101.LAB(a)</w:t>
            </w: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4440" w:type="dxa"/>
            <w:vAlign w:val="bottom"/>
          </w:tcPr>
          <w:p>
            <w:pPr>
              <w:spacing w:after="0"/>
              <w:rPr>
                <w:sz w:val="24"/>
                <w:szCs w:val="24"/>
                <w:color w:val="auto"/>
              </w:rPr>
            </w:pP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101.PRE(a)</w:t>
            </w: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4440" w:type="dxa"/>
            <w:vAlign w:val="bottom"/>
          </w:tcPr>
          <w:p>
            <w:pPr>
              <w:spacing w:after="0"/>
              <w:rPr>
                <w:sz w:val="24"/>
                <w:szCs w:val="24"/>
                <w:color w:val="auto"/>
              </w:rPr>
            </w:pPr>
          </w:p>
        </w:tc>
      </w:tr>
    </w:tbl>
    <w:p>
      <w:pPr>
        <w:spacing w:after="0" w:line="238"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Plan or Arrangement</w:t>
      </w:r>
    </w:p>
    <w:p>
      <w:pPr>
        <w:spacing w:after="0" w:line="27"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Company has caused the undersigned, duly authorized, to sign this report on its behalf on this 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July 2017.</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of Finance and Chief Financial</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Harold L. Rieker, Jr.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President and Corporate Controller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33"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D. Greenwell, certify that:</w:t>
      </w:r>
    </w:p>
    <w:p>
      <w:pPr>
        <w:spacing w:after="0" w:line="117"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Daniel D. Greenwell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333"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506"/>
        <w:spacing w:after="0" w:line="282" w:lineRule="auto"/>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25,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420"/>
          </w:cols>
          <w:pgMar w:left="240" w:top="333"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LSB Industries, Inc. (“LSB”) on Form 10-Q for the period ended June 30, 2017 as filed with the Securities and Exchange Commission on the date hereof (the “Report”). I, Daniel D. Greenwell, President and Chief Executive Officer of LSB, certify pursuant to 18 U.S.C. §1350, as adopted pursuant to §906 of the Sarbanes-Oxley Act of 2002, that:</w:t>
      </w:r>
    </w:p>
    <w:p>
      <w:pPr>
        <w:spacing w:after="0" w:line="68" w:lineRule="exact"/>
        <w:rPr>
          <w:sz w:val="20"/>
          <w:szCs w:val="20"/>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Daniel D. Greenwell</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2017</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333"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LSB Industries, Inc. (“LSB”) on Form 10-Q for the period ended June 30, 2017 as filed with the Securities and Exchange Commission on the date hereof (the “Report”), I, Mark T. Behrman, Executive Vice President of Finance and Chief Financial Officer of LSB, certify pursuant to 18 U.S.C. §1350, as adopted pursuant to §906 of the Sarbanes-Oxley Act of 2002, that:</w:t>
      </w:r>
    </w:p>
    <w:p>
      <w:pPr>
        <w:spacing w:after="0" w:line="68" w:lineRule="exact"/>
        <w:rPr>
          <w:sz w:val="20"/>
          <w:szCs w:val="20"/>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2017</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upperLetter"/>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2019-12-29T05:20:15Z</dcterms:created>
  <dcterms:modified xsi:type="dcterms:W3CDTF">2019-12-29T05:20:15Z</dcterms:modified>
</cp:coreProperties>
</file>