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xu-20260630.htm"/>
      <w:bookmarkStart w:id="1" w:name="kslxu20260630"/>
      <w:bookmarkEnd w:id="0"/>
      <w:bookmarkEnd w:id="1"/>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both"/>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40" w:after="283"/>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60" w:after="283"/>
        <w:jc w:val="both"/>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1-7677</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LSB Industries,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73-1015226</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tbl>
      <w:tblPr>
        <w:tblW w:w="6178" w:type="dxa"/>
        <w:jc w:val="left"/>
        <w:tblInd w:w="0" w:type="dxa"/>
        <w:tblLayout w:type="fixed"/>
        <w:tblCellMar>
          <w:top w:w="28" w:type="dxa"/>
          <w:left w:w="28" w:type="dxa"/>
          <w:bottom w:w="28" w:type="dxa"/>
          <w:right w:w="28" w:type="dxa"/>
        </w:tblCellMar>
      </w:tblPr>
      <w:tblGrid>
        <w:gridCol w:w="5101"/>
        <w:gridCol w:w="146"/>
        <w:gridCol w:w="931"/>
      </w:tblGrid>
      <w:tr>
        <w:trPr/>
        <w:tc>
          <w:tcPr>
            <w:tcW w:w="5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5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3503 NW 63</w:t>
            </w:r>
            <w:r>
              <w:rPr>
                <w:rFonts w:ascii="Times New Roman" w:hAnsi="Times New Roman"/>
                <w:b/>
                <w:color w:val="000000"/>
                <w:sz w:val="13"/>
              </w:rPr>
              <w:t>rd</w:t>
            </w:r>
            <w:r>
              <w:rPr>
                <w:rFonts w:ascii="Times New Roman" w:hAnsi="Times New Roman"/>
                <w:color w:val="000000"/>
                <w:sz w:val="20"/>
              </w:rPr>
              <w:t xml:space="preserve"> </w:t>
            </w:r>
            <w:r>
              <w:rPr>
                <w:rFonts w:ascii="Times New Roman" w:hAnsi="Times New Roman"/>
                <w:b/>
                <w:color w:val="000000"/>
                <w:sz w:val="20"/>
              </w:rPr>
              <w:t>Street, Suite 500, Oklahoma City, Oklahoma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73116</w:t>
            </w:r>
          </w:p>
        </w:tc>
      </w:tr>
      <w:tr>
        <w:trPr/>
        <w:tc>
          <w:tcPr>
            <w:tcW w:w="5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(405) 235-4546</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930" w:type="dxa"/>
        <w:jc w:val="left"/>
        <w:tblInd w:w="0" w:type="dxa"/>
        <w:tblLayout w:type="fixed"/>
        <w:tblCellMar>
          <w:top w:w="28" w:type="dxa"/>
          <w:left w:w="28" w:type="dxa"/>
          <w:bottom w:w="28" w:type="dxa"/>
          <w:right w:w="28" w:type="dxa"/>
        </w:tblCellMar>
      </w:tblPr>
      <w:tblGrid>
        <w:gridCol w:w="2866"/>
        <w:gridCol w:w="146"/>
        <w:gridCol w:w="1456"/>
        <w:gridCol w:w="146"/>
        <w:gridCol w:w="3316"/>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8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8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Common Stock, Par Value $.10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Preferred Stock Purchase Rights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LXU</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New York Stock Exchange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Stock Exchange</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both"/>
        <w:rPr/>
      </w:pPr>
      <w:r>
        <w:rPr/>
        <w:t> </w:t>
      </w:r>
    </w:p>
    <w:tbl>
      <w:tblPr>
        <w:tblW w:w="4942" w:type="dxa"/>
        <w:jc w:val="left"/>
        <w:tblInd w:w="0" w:type="dxa"/>
        <w:tblLayout w:type="fixed"/>
        <w:tblCellMar>
          <w:top w:w="28" w:type="dxa"/>
          <w:left w:w="28" w:type="dxa"/>
          <w:bottom w:w="28" w:type="dxa"/>
          <w:right w:w="28" w:type="dxa"/>
        </w:tblCellMar>
      </w:tblPr>
      <w:tblGrid>
        <w:gridCol w:w="1666"/>
        <w:gridCol w:w="146"/>
        <w:gridCol w:w="43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number of shares outstanding of the registrant's common stock was 71,997,504 shares as of July 24, 2026.</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FORM 10-Q OF LSB INDUSTRIES,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TABLE OF CONTENTS</w:t>
      </w:r>
    </w:p>
    <w:tbl>
      <w:tblPr>
        <w:tblW w:w="8920" w:type="dxa"/>
        <w:jc w:val="left"/>
        <w:tblInd w:w="0" w:type="dxa"/>
        <w:tblLayout w:type="fixed"/>
        <w:tblCellMar>
          <w:top w:w="28" w:type="dxa"/>
          <w:left w:w="28" w:type="dxa"/>
          <w:bottom w:w="28" w:type="dxa"/>
          <w:right w:w="28" w:type="dxa"/>
        </w:tblCellMar>
      </w:tblPr>
      <w:tblGrid>
        <w:gridCol w:w="811"/>
        <w:gridCol w:w="146"/>
        <w:gridCol w:w="7336"/>
        <w:gridCol w:w="146"/>
        <w:gridCol w:w="48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PART I – Financial Information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Page</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PART II – Other Information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5_or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6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bl>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FINANCIAL INFORMATION</w:t>
      </w:r>
    </w:p>
    <w:p>
      <w:pPr>
        <w:pStyle w:val="TextBody"/>
        <w:bidi w:val="0"/>
        <w:spacing w:before="0" w:after="120"/>
        <w:jc w:val="both"/>
        <w:rPr>
          <w:rFonts w:ascii="Times New Roman" w:hAnsi="Times New Roman"/>
          <w:b/>
          <w:color w:val="000000"/>
          <w:sz w:val="20"/>
          <w:u w:val="single"/>
        </w:rPr>
      </w:pPr>
      <w:bookmarkStart w:id="3" w:name="item_1_financial_statements"/>
      <w:bookmarkEnd w:id="3"/>
      <w:r>
        <w:rPr>
          <w:rFonts w:ascii="Times New Roman" w:hAnsi="Times New Roman"/>
          <w:b/>
          <w:color w:val="000000"/>
          <w:sz w:val="20"/>
          <w:u w:val="single"/>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(Information at June 30, 2026 is unaudited)</w:t>
      </w:r>
    </w:p>
    <w:tbl>
      <w:tblPr>
        <w:tblW w:w="9855" w:type="dxa"/>
        <w:jc w:val="left"/>
        <w:tblInd w:w="0" w:type="dxa"/>
        <w:tblLayout w:type="fixed"/>
        <w:tblCellMar>
          <w:top w:w="28" w:type="dxa"/>
          <w:left w:w="28" w:type="dxa"/>
          <w:bottom w:w="28" w:type="dxa"/>
          <w:right w:w="28" w:type="dxa"/>
        </w:tblCellMar>
      </w:tblPr>
      <w:tblGrid>
        <w:gridCol w:w="6061"/>
        <w:gridCol w:w="146"/>
        <w:gridCol w:w="215"/>
        <w:gridCol w:w="910"/>
        <w:gridCol w:w="166"/>
        <w:gridCol w:w="146"/>
        <w:gridCol w:w="287"/>
        <w:gridCol w:w="1213"/>
        <w:gridCol w:w="711"/>
      </w:tblGrid>
      <w:tr>
        <w:trPr/>
        <w:tc>
          <w:tcPr>
            <w:tcW w:w="6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19,511</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128,960</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57,609</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Allowance for doubtful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57,208</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16,705</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1,605</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18,310</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Supplies, prepaid items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12,588</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Precious metals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14,538</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33,399</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5,380</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supplies, prepaid items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65,905</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3,400</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293,294</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833,525</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45,571</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Intangible and other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1,149</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46,720</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1,224,600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1,173,539</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64,514</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10,686</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29,551</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105,511</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440,295</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37,668</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income taxes,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69,557</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$.10</w:t>
            </w:r>
            <w:r>
              <w:rPr>
                <w:rFonts w:ascii="Times New Roman" w:hAnsi="Times New Roman"/>
                <w:color w:val="000000"/>
                <w:sz w:val="20"/>
              </w:rPr>
              <w:t> </w:t>
            </w:r>
            <w:r>
              <w:rPr>
                <w:rFonts w:ascii="Times New Roman" w:hAnsi="Times New Roman"/>
                <w:color w:val="000000"/>
                <w:sz w:val="18"/>
              </w:rPr>
              <w:t>par value per share; 150</w:t>
            </w:r>
            <w:r>
              <w:rPr>
                <w:rFonts w:ascii="Times New Roman" w:hAnsi="Times New Roman"/>
                <w:color w:val="000000"/>
                <w:sz w:val="20"/>
              </w:rPr>
              <w:t> </w:t>
            </w:r>
            <w:r>
              <w:rPr>
                <w:rFonts w:ascii="Times New Roman" w:hAnsi="Times New Roman"/>
                <w:color w:val="000000"/>
                <w:sz w:val="18"/>
              </w:rPr>
              <w:t xml:space="preserve">million shares authorized, </w:t>
              <w:br/>
              <w:t>   91.2</w:t>
            </w:r>
            <w:r>
              <w:rPr>
                <w:rFonts w:ascii="Times New Roman" w:hAnsi="Times New Roman"/>
                <w:color w:val="000000"/>
                <w:sz w:val="20"/>
              </w:rPr>
              <w:t> </w:t>
            </w:r>
            <w:r>
              <w:rPr>
                <w:rFonts w:ascii="Times New Roman" w:hAnsi="Times New Roman"/>
                <w:color w:val="000000"/>
                <w:sz w:val="18"/>
              </w:rPr>
              <w:t>million shares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9,117</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Capital in excess of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506,821</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232,275</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748,213</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treasury stock,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18"/>
              </w:rPr>
              <w:t>Common stock, 19.2</w:t>
            </w:r>
            <w:r>
              <w:rPr>
                <w:rFonts w:ascii="Times New Roman" w:hAnsi="Times New Roman"/>
                <w:color w:val="000000"/>
                <w:sz w:val="20"/>
              </w:rPr>
              <w:t> </w:t>
            </w:r>
            <w:r>
              <w:rPr>
                <w:rFonts w:ascii="Times New Roman" w:hAnsi="Times New Roman"/>
                <w:color w:val="000000"/>
                <w:sz w:val="18"/>
              </w:rPr>
              <w:t>million shares (19.5</w:t>
            </w:r>
            <w:r>
              <w:rPr>
                <w:rFonts w:ascii="Times New Roman" w:hAnsi="Times New Roman"/>
                <w:color w:val="000000"/>
                <w:sz w:val="20"/>
              </w:rPr>
              <w:t> </w:t>
            </w:r>
            <w:r>
              <w:rPr>
                <w:rFonts w:ascii="Times New Roman" w:hAnsi="Times New Roman"/>
                <w:color w:val="000000"/>
                <w:sz w:val="18"/>
              </w:rPr>
              <w:t>million shares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228,240</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519,973</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1,224,600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1,173,539</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tbl>
      <w:tblPr>
        <w:tblW w:w="9302" w:type="dxa"/>
        <w:jc w:val="left"/>
        <w:tblInd w:w="0" w:type="dxa"/>
        <w:tblLayout w:type="fixed"/>
        <w:tblCellMar>
          <w:top w:w="28" w:type="dxa"/>
          <w:left w:w="28" w:type="dxa"/>
          <w:bottom w:w="28" w:type="dxa"/>
          <w:right w:w="28" w:type="dxa"/>
        </w:tblCellMar>
      </w:tblPr>
      <w:tblGrid>
        <w:gridCol w:w="3661"/>
        <w:gridCol w:w="146"/>
        <w:gridCol w:w="211"/>
        <w:gridCol w:w="781"/>
        <w:gridCol w:w="166"/>
        <w:gridCol w:w="146"/>
        <w:gridCol w:w="211"/>
        <w:gridCol w:w="781"/>
        <w:gridCol w:w="166"/>
        <w:gridCol w:w="146"/>
        <w:gridCol w:w="211"/>
        <w:gridCol w:w="781"/>
        <w:gridCol w:w="166"/>
        <w:gridCol w:w="146"/>
        <w:gridCol w:w="211"/>
        <w:gridCol w:w="781"/>
        <w:gridCol w:w="5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Amounts)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294,728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257,171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37,557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b/>
          <w:color w:val="000000"/>
          <w:sz w:val="20"/>
        </w:rPr>
      </w:pPr>
      <w:bookmarkStart w:id="6" w:name="condensed_consolidated_statement_stockho"/>
      <w:bookmarkEnd w:id="6"/>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63"/>
        <w:gridCol w:w="146"/>
        <w:gridCol w:w="149"/>
        <w:gridCol w:w="617"/>
        <w:gridCol w:w="146"/>
        <w:gridCol w:w="146"/>
        <w:gridCol w:w="146"/>
        <w:gridCol w:w="662"/>
        <w:gridCol w:w="166"/>
        <w:gridCol w:w="146"/>
        <w:gridCol w:w="212"/>
        <w:gridCol w:w="554"/>
        <w:gridCol w:w="146"/>
        <w:gridCol w:w="146"/>
        <w:gridCol w:w="196"/>
        <w:gridCol w:w="691"/>
        <w:gridCol w:w="166"/>
        <w:gridCol w:w="146"/>
        <w:gridCol w:w="262"/>
        <w:gridCol w:w="927"/>
        <w:gridCol w:w="166"/>
        <w:gridCol w:w="146"/>
        <w:gridCol w:w="196"/>
        <w:gridCol w:w="751"/>
        <w:gridCol w:w="166"/>
        <w:gridCol w:w="146"/>
        <w:gridCol w:w="196"/>
        <w:gridCol w:w="691"/>
        <w:gridCol w:w="214"/>
      </w:tblGrid>
      <w:tr>
        <w:trPr/>
        <w:tc>
          <w:tcPr>
            <w:tcW w:w="1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Stock</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br/>
              <w:t xml:space="preserve">Common </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 xml:space="preserve">Stock </w:t>
              <w:br/>
              <w:t xml:space="preserve">Par </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Capital in </w:t>
              <w:br/>
              <w:t>Excess of</w:t>
              <w:br/>
              <w:t xml:space="preserve">Par </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br/>
              <w:t>Common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2"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519,973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19,685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equity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Shares withheld upon vesting </w:t>
              <w:br/>
              <w:t>  of equity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(1,497</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507,655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542,949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(6,189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equity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Shares withheld upon vesting </w:t>
              <w:br/>
              <w:t>  of equity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508,493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245,771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539,217</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491,640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equity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Shares withheld upon vesting </w:t>
              <w:br/>
              <w:t>  of equity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(1,170</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490,563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equity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Shares withheld upon vesting </w:t>
              <w:br/>
              <w:t>  of equity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503,496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(225,841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495,800</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894" w:type="dxa"/>
        <w:jc w:val="left"/>
        <w:tblInd w:w="0" w:type="dxa"/>
        <w:tblLayout w:type="fixed"/>
        <w:tblCellMar>
          <w:top w:w="28" w:type="dxa"/>
          <w:left w:w="28" w:type="dxa"/>
          <w:bottom w:w="28" w:type="dxa"/>
          <w:right w:w="28" w:type="dxa"/>
        </w:tblCellMar>
      </w:tblPr>
      <w:tblGrid>
        <w:gridCol w:w="6721"/>
        <w:gridCol w:w="146"/>
        <w:gridCol w:w="211"/>
        <w:gridCol w:w="841"/>
        <w:gridCol w:w="166"/>
        <w:gridCol w:w="146"/>
        <w:gridCol w:w="211"/>
        <w:gridCol w:w="841"/>
        <w:gridCol w:w="61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Write-downs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provided (used) by 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Supplies, prepaid items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Expenditures for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Development of carbon capture and sequestration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Recovery of property, plant and equipment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Repurchases of 6.25% Senior Secured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(32,076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other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short-term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of treasury stock,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paid on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40" w:after="283"/>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 Summary of Significant Accounting Policies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All references to “LSB Industries,” “LSB,” the “Company,” “we,” “us,” and “our” refer to LSB Industries, Inc. and its subsidiaries on a consolidated basis, except where the context makes clear that the reference is only to LSB Industries, Inc. itself and not its subsidiaries. The accompanying unaudited condensed consolidated interim financial statements and notes of LSB have been prepared pursuant to the rules and regulations of the Securities and Exchange Commission (the “SEC”). Pursuant to such rules and regulations, certain disclosures normally included in financial statements prepared in accordance with United States generally accepted accounting principles (“U.S. GAAP”) have been omitted. The accompanying unaudited condensed consolidated interim financial statements and notes should be read in conjunction with the financial statements and notes included in the Company’s Annual Report on Form 10-K for the year ended December 31, 2025 (our “2025 Form 10-K”), filed with the SEC on February 26, 2026. The accompanying unaudited interim financial statements in this report reflect all adjustments that are, in the opinion of management, necessary for a fair statement of the Company’s results of operations and cash flows for the three and six months ended June 30, 2026 and 2025 and the Company’s financial position as of June 30, 2026. </w:t>
      </w:r>
    </w:p>
    <w:p>
      <w:pPr>
        <w:pStyle w:val="TextBody"/>
        <w:bidi w:val="0"/>
        <w:spacing w:before="100" w:after="283"/>
        <w:jc w:val="left"/>
        <w:rPr>
          <w:rFonts w:ascii="Times New Roman" w:hAnsi="Times New Roman"/>
          <w:sz w:val="20"/>
        </w:rPr>
      </w:pPr>
      <w:r>
        <w:rPr>
          <w:rFonts w:ascii="Times New Roman" w:hAnsi="Times New Roman"/>
          <w:b/>
          <w:color w:val="000000"/>
          <w:sz w:val="20"/>
        </w:rPr>
        <w:t>Basis of Consolidation</w:t>
      </w:r>
      <w:r>
        <w:rPr>
          <w:rFonts w:ascii="Times New Roman" w:hAnsi="Times New Roman"/>
          <w:color w:val="000000"/>
          <w:sz w:val="20"/>
        </w:rPr>
        <w:t xml:space="preserve"> – LSB Industries, Inc. and its subsidiaries are consolidated in the accompanying unaudited condensed consolidated interim financial statements. All intercompany accounts and transactions have been eliminated. Certain prior period amounts reported in our unaudited condensed consolidated interim financial statements and notes thereto have been reclassified to conform to current period presentation.</w:t>
      </w:r>
    </w:p>
    <w:p>
      <w:pPr>
        <w:pStyle w:val="TextBody"/>
        <w:bidi w:val="0"/>
        <w:spacing w:before="100" w:after="283"/>
        <w:jc w:val="left"/>
        <w:rPr>
          <w:rFonts w:ascii="Times New Roman" w:hAnsi="Times New Roman"/>
          <w:sz w:val="20"/>
        </w:rPr>
      </w:pPr>
      <w:r>
        <w:rPr>
          <w:rFonts w:ascii="Times New Roman" w:hAnsi="Times New Roman"/>
          <w:b/>
          <w:color w:val="000000"/>
          <w:sz w:val="20"/>
        </w:rPr>
        <w:t>Nature of Business –</w:t>
      </w:r>
      <w:r>
        <w:rPr>
          <w:rFonts w:ascii="Times New Roman" w:hAnsi="Times New Roman"/>
          <w:color w:val="000000"/>
          <w:sz w:val="20"/>
        </w:rPr>
        <w:t xml:space="preserve"> We are engaged in the manufacture and sale of chemical products. The chemical products we primarily manufacture, market and sell are (i) ammonia and urea ammonia nitrate (“UAN”) for agricultural applications, and (ii) high purity and commercial grade ammonia, high purity ammonium nitrate, sulfuric acids, concentrated, blended and regular nitric acid, mixed nitrating acids, carbon dioxide, and industrial grade ammonium nitrate (“LDAN”) and ammonium nitrate (“AN”) solutions for industrial applications. We manufacture and distribute products in four facilities; three of which we own and are located in El Dorado, Arkansas (the “El Dorado Facility”); Cherokee, Alabama (the “Cherokee Facility”); and Pryor, Oklahoma (the “Pryor Facility”); and one of which we operate on behalf of Covestro LLC in Baytown, Texas.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customers include farmers, ranchers, fertilizer dealers and distributors primarily in the ranch land and grain production markets in the United States; industrial users of acids throughout the United States and parts of Canada; and explosives manufacturers in United States and other parts of North America.</w:t>
      </w:r>
    </w:p>
    <w:p>
      <w:pPr>
        <w:pStyle w:val="TextBody"/>
        <w:bidi w:val="0"/>
        <w:spacing w:before="100" w:after="283"/>
        <w:jc w:val="left"/>
        <w:rPr>
          <w:rFonts w:ascii="Times New Roman" w:hAnsi="Times New Roman"/>
          <w:sz w:val="20"/>
        </w:rPr>
      </w:pPr>
      <w:r>
        <w:rPr>
          <w:rFonts w:ascii="Times New Roman" w:hAnsi="Times New Roman"/>
          <w:b/>
          <w:color w:val="000000"/>
          <w:sz w:val="20"/>
        </w:rPr>
        <w:t>Seasonality</w:t>
      </w:r>
      <w:r>
        <w:rPr>
          <w:rFonts w:ascii="Times New Roman" w:hAnsi="Times New Roman"/>
          <w:color w:val="000000"/>
          <w:sz w:val="20"/>
        </w:rPr>
        <w:t xml:space="preserve"> – 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pStyle w:val="TextBody"/>
        <w:bidi w:val="0"/>
        <w:spacing w:before="10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 The preparation of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w:t>
      </w:r>
    </w:p>
    <w:p>
      <w:pPr>
        <w:pStyle w:val="TextBody"/>
        <w:bidi w:val="0"/>
        <w:spacing w:before="120" w:after="283"/>
        <w:jc w:val="left"/>
        <w:rPr>
          <w:rFonts w:ascii="Times New Roman" w:hAnsi="Times New Roman"/>
          <w:sz w:val="20"/>
        </w:rPr>
      </w:pPr>
      <w:r>
        <w:rPr>
          <w:rFonts w:ascii="Times New Roman" w:hAnsi="Times New Roman"/>
          <w:b/>
          <w:color w:val="000000"/>
          <w:sz w:val="20"/>
        </w:rPr>
        <w:t>Equity Awards</w:t>
      </w:r>
      <w:r>
        <w:rPr>
          <w:rFonts w:ascii="Times New Roman" w:hAnsi="Times New Roman"/>
          <w:color w:val="000000"/>
          <w:sz w:val="20"/>
        </w:rPr>
        <w:t xml:space="preserve"> – Equity award transactions with employees are measured based on the estimated fair value of the equity awards issued. For equity awards with only a service condition, the grant date fair value is based on the market price of our common stock and compensation is recognized so long as the service condition is met. For equity awards with simultaneous service, market and performance conditions, the grant date fair value is based on a Monte Carlo simulation, and compensation is recognized so long as the service condition is met and it is probable the performance condition will be achieved without regard to the outcome of the market condition. For equity awards with a service and market condition, the grant date fair value is based on a Monte Carlo simulation, and compensation cost is recognized so long as the service condition is met, without regard to the outcome of the market condition. For equity awards with service conditions that have a graded vesting period, we recognize compensation cost on a straight-line basis over the requisite service period for the entire award. Forfeitures are accounted for as they occur.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10, 2026, we entered into a side letter agreement (the “Side Letter”) with our Chief Executive Officer, Mark T. Behrman, which modifies all of Mr. Behrman’s outstanding equity awards to incorporate qualifying retirement provisions. Pursuant to the Side Letter, upon a qualifying retirement, all of Mr. Behrman’s outstanding time-based restricted stock units (“RSU”) will accelerate and vest in full. Additionally, all outstanding performance-based RSUs will accelerate and vest at the greater of (i) target or (ii) actual performance through the retirement date, as determined by our Compensation Committee of the Board of Directors. For the purposes of the Side Letter, a “qualifying retirement” is defined as a voluntary retirement occurring (i) on or after age 63 with at least five years of service, (ii) more than one year after the applicable grant date, and (iii) absent of any determination by us of grounds for termination for cause. All future equity awards granted to Mr. Behrman shall also include the same qualifying retirement provisions, unless otherwise agreed in writing by us and Mr. Behrman.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execution of the Side Letter, Mr. Behrman met the criteria for a qualifying retirement with respect to his equity awards granted in 2024 and 2025. As a result of the shortened amount of time that Mr. Behrman would be required to serve in order to be eligible for vesting, we accelerated recognition of the remaining compensation cost associated with those grants in the amount of $3.1 million during the first quarter of 2026. The modification impacted the timing of expense recognition for the impacted awards by bringing it forward but did not increase total compensation cost.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24, 2026, the Company made a one-time retention grant of 706,880 time-based RSUs to Mr. Behrman under the 2025 Long-Term Incentive Plan. The RSUs are subject to cliff vesting and will vest on March 31, 2029, subject to Mr. Behrman’s continued service with the Company. </w:t>
      </w:r>
    </w:p>
    <w:p>
      <w:pPr>
        <w:pStyle w:val="TextBody"/>
        <w:bidi w:val="0"/>
        <w:spacing w:before="100" w:after="120"/>
        <w:jc w:val="left"/>
        <w:rPr>
          <w:rFonts w:ascii="Times New Roman" w:hAnsi="Times New Roman"/>
          <w:sz w:val="20"/>
        </w:rPr>
      </w:pPr>
      <w:r>
        <w:rPr>
          <w:rFonts w:ascii="Times New Roman" w:hAnsi="Times New Roman"/>
          <w:b/>
          <w:color w:val="000000"/>
          <w:sz w:val="20"/>
        </w:rPr>
        <w:t>Cash and Cash Equivalents –</w:t>
      </w:r>
      <w:r>
        <w:rPr>
          <w:rFonts w:ascii="Times New Roman" w:hAnsi="Times New Roman"/>
          <w:color w:val="000000"/>
          <w:sz w:val="20"/>
        </w:rPr>
        <w:t xml:space="preserve"> Investments, which consist of highly liquid investments with original maturities of three months or less, are considered cash equivalents.</w:t>
      </w:r>
    </w:p>
    <w:p>
      <w:pPr>
        <w:pStyle w:val="TextBody"/>
        <w:bidi w:val="0"/>
        <w:jc w:val="left"/>
        <w:rPr>
          <w:rFonts w:ascii="Times New Roman" w:hAnsi="Times New Roman"/>
          <w:sz w:val="20"/>
        </w:rPr>
      </w:pPr>
      <w:r>
        <w:rPr>
          <w:rFonts w:ascii="Times New Roman" w:hAnsi="Times New Roman"/>
          <w:b/>
          <w:color w:val="000000"/>
          <w:sz w:val="20"/>
        </w:rPr>
        <w:t xml:space="preserve">Short-Term Investments </w:t>
      </w:r>
      <w:r>
        <w:rPr>
          <w:rFonts w:ascii="Times New Roman" w:hAnsi="Times New Roman"/>
          <w:color w:val="000000"/>
          <w:sz w:val="20"/>
        </w:rPr>
        <w:t xml:space="preserve">– Investments, which consist of U.S. treasury securities with remaining maturity at the time of purchase greater than three months but less than 12 months, are considered short-term investments and are classified as Level 1 under the fair value hierarchy. These investments are classified as held to maturity, consistent with our intent to hold these investments to maturity. U.S. treasury bills with remaining maturity at the time of purchase of three months or less are included in cash and cash equivalents. Due to the nature of these investments as U.S. treasury securities, no impairment is anticipated. See “Note 6. Financial Instruments” for more information regarding our short-term investments. </w:t>
      </w:r>
    </w:p>
    <w:p>
      <w:pPr>
        <w:pStyle w:val="TextBody"/>
        <w:bidi w:val="0"/>
        <w:spacing w:before="100" w:after="283"/>
        <w:jc w:val="left"/>
        <w:rPr>
          <w:rFonts w:ascii="Times New Roman" w:hAnsi="Times New Roman"/>
          <w:sz w:val="20"/>
        </w:rPr>
      </w:pPr>
      <w:r>
        <w:rPr>
          <w:rFonts w:ascii="Times New Roman" w:hAnsi="Times New Roman"/>
          <w:b/>
          <w:color w:val="000000"/>
          <w:sz w:val="20"/>
        </w:rPr>
        <w:t xml:space="preserve">Accounts Receivable </w:t>
      </w:r>
      <w:r>
        <w:rPr>
          <w:rFonts w:ascii="Times New Roman" w:hAnsi="Times New Roman"/>
          <w:color w:val="000000"/>
          <w:sz w:val="20"/>
        </w:rPr>
        <w:t>– Substantially all of our accounts receivable consists of trade receivables from customers. We have recognized an appropriate allowance for estimated uncollectible accounts to reflect any estimate of expected credit losses. Our estimate is based on historical experience and periodic assessment, particularly on accounts that are past due (based upon the terms of the sale). Our periodic assessment is based on our best estimate of amounts that are not recoverable, which includes a present collectability review and forward-looking assessment, where applicable. We write off accounts receivable when we deem them uncollectible and record recoveries of accounts receivable previously written off when received.</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Property, Plant and Equipment </w:t>
      </w:r>
      <w:r>
        <w:rPr>
          <w:rFonts w:ascii="Times New Roman" w:hAnsi="Times New Roman"/>
          <w:color w:val="000000"/>
          <w:sz w:val="20"/>
        </w:rPr>
        <w:t>– Property, plant and equipment (“PP&amp;E”) are stated at cost or fair market value in the case of assets acquired through acquisitions, or otherwise at reduced values to the extent there have been asset impairment write-downs, net of accumulated depreciation and amortization. Major renewals and improvements that increase the life, value, or productive capacity of assets are capitalized in PP&amp;E while maintenance, repairs and minor renewals, including planned maintenance turnarounds, are expensed as incurred. Interest cost related to the construction of qualifying assets is capitalized as part of the construction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financial reporting purposes, depreciation of the costs of PP&amp;E is computed using the straight-line method over the estimated useful lives of the assets. No provision for depreciation is made on construction in progress or capital spare parts until such time as the relevant assets are put into service. Depreciation expense is recognized in cost of sales or selling, general and administrative expense within the condensed consolidated statements of operations consistent with the utilization of the underlying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When PP&amp;E is retired, sold, or otherwise disposed, the asset’s carrying amount and related accumulated depreciation and amortization is removed from the accounts and any gain or loss is included in other (income) expense, net in our condensed consolidated statements of operations.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Impairment of Long-Lived Assets </w:t>
      </w:r>
      <w:r>
        <w:rPr>
          <w:rFonts w:ascii="Times New Roman" w:hAnsi="Times New Roman"/>
          <w:color w:val="000000"/>
          <w:sz w:val="20"/>
        </w:rPr>
        <w:t xml:space="preserve">– Long-lived assets are reviewed for impairment whenever events or changes in circumstances indicate that the carrying amount of an asset (asset group) may not be recoverable. An asset’s fair value must be determined when the carrying amount of an asset (asset group) exceeds the estimated undiscounted future cash flows expected to result from the use of the asset (asset group) and/or its eventual disposition. If assets to be held and used are considered to be impaired, the impairment to be recognized is the amount by which the carrying amounts of the assets exceed the fair values of the assets as measured by the present value of future net cash flows expected to be generated by the assets or their appraised value. In general, our asset groups are reviewed for impairment on a facility-by-facility basis (such as the Cherokee, El Dorado or Pryor Facility) unless it is determined that the asset being evaluated will generate cash flows that are independent from the rest of the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the event or change in circumstance relates to the probable sale of an asset (or group of assets), the specific asset (or group of assets) is reviewed for impairment.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 2026, asset write-downs were not material. For the three and six months ended June 30, 2025, we recorded asset write-downs in the amount of $2.5 million and $2.6 million, respectively. These asset write-downs are included in “Other (income) expense, net” on our condensed consolidated statements of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Assets Held For Sale </w:t>
      </w:r>
      <w:r>
        <w:rPr>
          <w:rFonts w:ascii="Times New Roman" w:hAnsi="Times New Roman"/>
          <w:color w:val="000000"/>
          <w:sz w:val="20"/>
        </w:rPr>
        <w:t xml:space="preserve">– In general, assets held for sale are reported at the lower of the carrying amounts of the assets or fair values less costs to sell.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2025, we received an offer with respect to a parcel of land we own, for which we are currently negotiating a purchase and sale agreement. As the offer price was less than the carrying value of the land at the time, we recorded an impairment of $1.5 million on the parcel of land.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Assets classified as held for sale on the condensed consolidated balance sheet as of June 30, 2026, reflect the net book value of the parcel of land for which a sale is pending.</w:t>
      </w:r>
    </w:p>
    <w:p>
      <w:pPr>
        <w:pStyle w:val="TextBody"/>
        <w:bidi w:val="0"/>
        <w:spacing w:before="120" w:after="283"/>
        <w:jc w:val="left"/>
        <w:rPr>
          <w:rFonts w:ascii="Times New Roman" w:hAnsi="Times New Roman"/>
          <w:sz w:val="20"/>
        </w:rPr>
      </w:pPr>
      <w:r>
        <w:rPr>
          <w:rFonts w:ascii="Times New Roman" w:hAnsi="Times New Roman"/>
          <w:b/>
          <w:color w:val="000000"/>
          <w:sz w:val="20"/>
        </w:rPr>
        <w:t>Short-Term Financing</w:t>
      </w:r>
      <w:r>
        <w:rPr>
          <w:rFonts w:ascii="Times New Roman" w:hAnsi="Times New Roman"/>
          <w:color w:val="000000"/>
          <w:sz w:val="20"/>
        </w:rPr>
        <w:t xml:space="preserve"> – Our short-term financing represents the short-term note related to financing of our insurance premium, which is renewed annually.</w:t>
      </w:r>
    </w:p>
    <w:p>
      <w:pPr>
        <w:pStyle w:val="TextBody"/>
        <w:bidi w:val="0"/>
        <w:spacing w:before="120" w:after="283"/>
        <w:jc w:val="left"/>
        <w:rPr>
          <w:rFonts w:ascii="Times New Roman" w:hAnsi="Times New Roman"/>
          <w:sz w:val="20"/>
        </w:rPr>
      </w:pPr>
      <w:r>
        <w:rPr>
          <w:rFonts w:ascii="Times New Roman" w:hAnsi="Times New Roman"/>
          <w:b/>
          <w:color w:val="000000"/>
          <w:sz w:val="20"/>
        </w:rPr>
        <w:t>Contingencies</w:t>
      </w:r>
      <w:r>
        <w:rPr>
          <w:rFonts w:ascii="Times New Roman" w:hAnsi="Times New Roman"/>
          <w:color w:val="000000"/>
          <w:sz w:val="20"/>
        </w:rPr>
        <w:t xml:space="preserve"> – Certain conditions may exist which may result in a loss, but which will only be resolved when future events occur. We assess such contingent liabilities, and such assessment inherently involves an exercise of judgment. If the assessment of a contingency indicates that it is probable that a loss has been incurred, we accrue for such contingent loss when such loss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when the contingencies have been resolved (generally at the time a settlement has been reached).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Partial Settlement of Global Industrial Matter and Related Claims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 previously disclosed, since 2016, the Company has been involved in litigation with respect to engineering and procurement contracts related to the construction of the ammonia plant at the El Dorado Facility. On April 2, 2026, the Company, certain of the Company’s wholly owned subsidiaries, and Benham Constructors, LLC (f/k/a Leidos Constructors, LLC, f/k/a SAIC Constructors, LLC) (“Benham”) entered into a Settlement and Mutual Release Agreement (the “Settlement Agreement”), effective March 26, 2026 (“Settlement Effective Date”), to settle certain claims asserted in the following matters: </w:t>
      </w:r>
      <w:r>
        <w:rPr>
          <w:rFonts w:ascii="Times New Roman" w:hAnsi="Times New Roman"/>
          <w:i/>
          <w:color w:val="000000"/>
          <w:sz w:val="20"/>
        </w:rPr>
        <w:t>Global Industrial, Inc. d/b/a Global Turnaround (Plaintiff) v. Benham Constructors, LLC, et al (Defendants)</w:t>
      </w:r>
      <w:r>
        <w:rPr>
          <w:rFonts w:ascii="Times New Roman" w:hAnsi="Times New Roman"/>
          <w:color w:val="000000"/>
          <w:sz w:val="20"/>
        </w:rPr>
        <w:t xml:space="preserve">, and </w:t>
      </w:r>
      <w:r>
        <w:rPr>
          <w:rFonts w:ascii="Times New Roman" w:hAnsi="Times New Roman"/>
          <w:i/>
          <w:color w:val="000000"/>
          <w:sz w:val="20"/>
        </w:rPr>
        <w:t>LSB Industries, Inc. et al. (Cross-Claimants and Counter Cross-Defendants) v. Benham Constructors, LLC, et al. (Cross-Defendants and Counter Cross-Claimants)</w:t>
      </w:r>
      <w:r>
        <w:rPr>
          <w:rFonts w:ascii="Times New Roman" w:hAnsi="Times New Roman"/>
          <w:color w:val="000000"/>
          <w:sz w:val="20"/>
        </w:rPr>
        <w:t>, Union County Circuit Court, Civil Division, Case No. 70CV-16-76 (collectively, the “Action”).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terms of the Settlement Agreement, Benham agreed to pay the Company approximately $20.9 million within 60 days of the Settlement Effective Date. Subject to the terms of the Settlement Agreement, the Company and Benham agreed to dismiss their respective claims in the Action against each other, with prejudice. In addition to the cash component, the dismissal allowed us to reverse $2.9 million of payables related to this matter. The Settlement Agreement does not include any admission of liability by any party. The settlement payment was received during the second quarter of 2026 and recorded as a reduction in the carrying value of plant, property and equipment, which will reduce depreciation expense on a prospective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Settlement Agreement did not release or otherwise discharge any claims, rights or remedies the Company has, may have had or may have in the future against Leidos Inc. (f/k/a Science Applications International Corporation) or Leidos Engineering, LLC (“Leidos Engineering”), including its claims for fraud and breach of contract. The Company plans to continue its vigorous prosecution of its filed claims against Leidos Inc. and Leidos Engineering and continues to seek actual and punitive damages in excess of $300 million. The trial for the Company’s claims against Leidos Inc. and Leidos Engineering is scheduled to begin in October 2026. We can provide no assurance as to the ultimate outcome of the pending litigation.</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Derivatives, Hedges and Financial Instruments </w:t>
      </w:r>
      <w:r>
        <w:rPr>
          <w:rFonts w:ascii="Times New Roman" w:hAnsi="Times New Roman"/>
          <w:color w:val="000000"/>
          <w:sz w:val="20"/>
        </w:rPr>
        <w:t>– In order to mitigate a portion of the commodity price risk associated with natural gas, which we utilize in our manufacturing process, we periodically enter into natural gas forward contracts or volume purchase commitments. Such contracts are required to be accounted for as derivatives under applicable accounting guidance unless they are eligible for and we elect the normal purchase normal sale (“NPNS”) exception. We are eligible for the NPNS exception when these contracts provide for the purchase of natural gas that will be delivered in quantities expected to be used over a reasonable period of time in the normal course of business and are documented as such. In the event that we have natural gas derivatives that we do not elect or do not qualify for the NPNS exception, we would account for such contracts as derivatives by recognizing them in the balance sheet at fair value with changes in fair value recognized in the statement of operations. Such derivatives are not designated as hedges for accounting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Assets and liabilities measured at fair value are classified using the following hierarchy, which is based upon the transparency of inputs to the valuation as of the measurement date: </w:t>
      </w:r>
    </w:p>
    <w:p>
      <w:pPr>
        <w:pStyle w:val="TextBody"/>
        <w:bidi w:val="0"/>
        <w:spacing w:before="120" w:after="283"/>
        <w:jc w:val="left"/>
        <w:rPr>
          <w:rFonts w:ascii="Times New Roman" w:hAnsi="Times New Roman"/>
          <w:sz w:val="20"/>
        </w:rPr>
      </w:pPr>
      <w:r>
        <w:rPr>
          <w:rFonts w:ascii="Times New Roman" w:hAnsi="Times New Roman"/>
          <w:b/>
          <w:color w:val="000000"/>
          <w:sz w:val="20"/>
        </w:rPr>
        <w:t>Level 1</w:t>
      </w:r>
      <w:r>
        <w:rPr>
          <w:rFonts w:ascii="Times New Roman" w:hAnsi="Times New Roman"/>
          <w:color w:val="000000"/>
          <w:sz w:val="20"/>
        </w:rPr>
        <w:t xml:space="preserve"> - Valuations of assets and liabilities classified as Level 1 are based on quoted prices in active markets for identical contracts.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Level 2</w:t>
      </w:r>
      <w:r>
        <w:rPr>
          <w:rFonts w:ascii="Times New Roman" w:hAnsi="Times New Roman"/>
          <w:color w:val="000000"/>
          <w:sz w:val="20"/>
        </w:rPr>
        <w:t xml:space="preserve"> - Valuations of assets and liabilities classified as Level 2 are based on quoted prices for similar contracts and valuation inputs other than quoted prices that are observable for these contracts. </w:t>
      </w:r>
    </w:p>
    <w:p>
      <w:pPr>
        <w:pStyle w:val="TextBody"/>
        <w:bidi w:val="0"/>
        <w:spacing w:before="120" w:after="283"/>
        <w:jc w:val="left"/>
        <w:rPr>
          <w:rFonts w:ascii="Times New Roman" w:hAnsi="Times New Roman"/>
          <w:sz w:val="20"/>
        </w:rPr>
      </w:pPr>
      <w:r>
        <w:rPr>
          <w:rFonts w:ascii="Times New Roman" w:hAnsi="Times New Roman"/>
          <w:b/>
          <w:color w:val="000000"/>
          <w:sz w:val="20"/>
        </w:rPr>
        <w:t>Level 3</w:t>
      </w:r>
      <w:r>
        <w:rPr>
          <w:rFonts w:ascii="Times New Roman" w:hAnsi="Times New Roman"/>
          <w:color w:val="000000"/>
          <w:sz w:val="20"/>
        </w:rPr>
        <w:t xml:space="preserve"> - Valuations of assets and liabilities classified as Level 3 are based on prices or valuation techniques that require inputs that are both unobservable and significant to the overall fair value measurement.</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Leases </w:t>
      </w:r>
      <w:r>
        <w:rPr>
          <w:rFonts w:ascii="Times New Roman" w:hAnsi="Times New Roman"/>
          <w:color w:val="000000"/>
          <w:sz w:val="20"/>
        </w:rPr>
        <w:t>– We are the lessee in most of the lease arrangements we enter into. We determine if an arrangement is a lease at inception or modification of a contract and classify each lease as either an operating or finance lease based on the terms of the contract. We reassess lease classification subsequent to commencement upon a change to the expected lease term or a modification to the contract. A contract contains a lease if the contract conveys the right to control the use of the identified property or equipment, explicitly or implicitly, for a period of time in exchange for consideration. Control of an underlying asset is conveyed if we obtain the rights to direct the use of and obtain substantially all of the economic benefit from the use of the underlying asset.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operating lease asset represents our right to use the underlying asset as a lessee for the lease term and an operating lease liability represents our obligation to make lease payments arising from the lease. Currently, most of our leases are classified as operating leases and primarily relate to railcars, other equipment and office space. Our leases that are classified as finance leases primarily relate to railcars. Variable payments are excluded from the present value of lease payments and are recognized in the period in which the payment is made. Our current leases do not contain residual value guarantees. Most of our leases do not include options to extend or terminate the lease prior to the end of the term. Leases with a term of 12 months or less are not recognized in the balance sheet.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a lessee, we use our incremental borrowing rate based on the lease term and other information available at the commencement date in determining the present value of lease payments. Lease expense is recognized on a straight-line basis over the applicable lease term.</w:t>
      </w:r>
    </w:p>
    <w:p>
      <w:pPr>
        <w:pStyle w:val="TextBody"/>
        <w:bidi w:val="0"/>
        <w:jc w:val="left"/>
        <w:rPr>
          <w:rFonts w:ascii="Times New Roman" w:hAnsi="Times New Roman"/>
          <w:color w:val="000000"/>
          <w:sz w:val="20"/>
        </w:rPr>
      </w:pPr>
      <w:r>
        <w:rPr>
          <w:rFonts w:ascii="Times New Roman" w:hAnsi="Times New Roman"/>
          <w:color w:val="000000"/>
          <w:sz w:val="20"/>
        </w:rPr>
        <w:t>From time to time when we have excess freight capacity, we may sublease a portion of our railcars fleet on a short-term basis to other parties. The income from these subleases is recorded as a component of “Other income, net” in our condensed consolidated statements of operations. For the six months ended June 30, 2026 and 2025, sublease income was not material.</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As of June 30, 2026, we had an executed operating lease for railcars with a lease </w:t>
      </w:r>
      <w:r>
        <w:rPr>
          <w:rFonts w:ascii="Times New Roman" w:hAnsi="Times New Roman"/>
          <w:color w:val="111827"/>
          <w:sz w:val="20"/>
        </w:rPr>
        <w:t>that has not yet commenced. The lease has a term greater than one year, with aggregate lease payments of approximately $6.8 million.</w:t>
      </w:r>
    </w:p>
    <w:p>
      <w:pPr>
        <w:pStyle w:val="TextBody"/>
        <w:bidi w:val="0"/>
        <w:jc w:val="left"/>
        <w:rPr>
          <w:rFonts w:ascii="Times New Roman" w:hAnsi="Times New Roman"/>
          <w:sz w:val="20"/>
        </w:rPr>
      </w:pPr>
      <w:r>
        <w:rPr>
          <w:rFonts w:ascii="Times New Roman" w:hAnsi="Times New Roman"/>
          <w:b/>
          <w:color w:val="000000"/>
          <w:sz w:val="20"/>
        </w:rPr>
        <w:t>Recently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ASU 2025-05 - </w:t>
      </w:r>
      <w:r>
        <w:rPr>
          <w:rFonts w:ascii="Times New Roman" w:hAnsi="Times New Roman"/>
          <w:color w:val="000000"/>
          <w:sz w:val="20"/>
        </w:rPr>
        <w:t xml:space="preserve">In July 2025, the Financial Accounting Standards Board (“FASB”) issued ASU 2025-05, </w:t>
      </w:r>
      <w:r>
        <w:rPr>
          <w:rFonts w:ascii="Times New Roman" w:hAnsi="Times New Roman"/>
          <w:i/>
          <w:color w:val="000000"/>
          <w:sz w:val="20"/>
        </w:rPr>
        <w:t xml:space="preserve">Financial Instruments—Credit Losses (Topic 326): Measurements of Credit Losses for Accounts Receivable and Contract Assets </w:t>
      </w:r>
      <w:r>
        <w:rPr>
          <w:rFonts w:ascii="Times New Roman" w:hAnsi="Times New Roman"/>
          <w:color w:val="000000"/>
          <w:sz w:val="20"/>
        </w:rPr>
        <w:t>(“ASU 2025-05”). The amendments in this ASU provide a practical expedient related to the estimation of expected credit losses for current accounts receivable and current contract assets that arise from our sales transactions. The practical expedient permits us to assume current conditions as of the balance sheet date that do not change for the remaining life of the current accounts receivable and current contract assets. Public business entities are not permitted to elect the optional accounting policy to consider subsequent cash collections. We adopted ASU 2025</w:t>
        <w:noBreakHyphen/>
        <w:t>05 on January 1, 2026, on a prospective basis. The adoption did not have a material impact on our condensed consolidated financial statements. No changes were made to our credit</w:t>
        <w:noBreakHyphen/>
        <w:t>loss estimation methodologies.</w:t>
      </w:r>
    </w:p>
    <w:p>
      <w:pPr>
        <w:pStyle w:val="TextBody"/>
        <w:bidi w:val="0"/>
        <w:spacing w:before="12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ASU 2024-03 - </w:t>
      </w:r>
      <w:r>
        <w:rPr>
          <w:rFonts w:ascii="Times New Roman" w:hAnsi="Times New Roman"/>
          <w:color w:val="000000"/>
          <w:sz w:val="20"/>
        </w:rPr>
        <w:t xml:space="preserve">In November 2024, the FASB issued Accounting Standards Update (“ASU”) 2024-03, </w:t>
      </w:r>
      <w:r>
        <w:rPr>
          <w:rFonts w:ascii="Times New Roman" w:hAnsi="Times New Roman"/>
          <w:i/>
          <w:color w:val="000000"/>
          <w:sz w:val="20"/>
        </w:rPr>
        <w:t>Income Statement – Reporting Comprehensive Income – Expense Disaggregation Disclosures (Subtopic 220-40): Disaggregation of Income Statement Expenses</w:t>
      </w:r>
      <w:r>
        <w:rPr>
          <w:rFonts w:ascii="Times New Roman" w:hAnsi="Times New Roman"/>
          <w:color w:val="000000"/>
          <w:sz w:val="20"/>
        </w:rPr>
        <w:t>. This ASU requires an entity to disclose the amounts of purchases of inventory, employee compensation, depreciation, and intangible asset amortization included in each relevant expense caption. It also requires an entity to include certain amounts that are already required to be disclosed under current U.S.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The amendments in the ASU are effective for annual reporting periods beginning after December 15, 2026 and interim reporting periods beginning after December 15, 2027, with early adoption permitted. An entity may apply the amendments prospectively for reporting periods after the effective date or retrospectively to any or all prior periods presented in the financial statements. While we are currently evaluating the effect of adopting this ASU on the disclosures in our financial statements, we do not expect this ASU to impact our financial condition and results of operations.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ASU 2025-11 - </w:t>
      </w:r>
      <w:r>
        <w:rPr>
          <w:rFonts w:ascii="Times New Roman" w:hAnsi="Times New Roman"/>
          <w:color w:val="000000"/>
          <w:sz w:val="20"/>
        </w:rPr>
        <w:t xml:space="preserve">In December 2025, the FASB issued ASU 2025-11, </w:t>
      </w:r>
      <w:r>
        <w:rPr>
          <w:rFonts w:ascii="Times New Roman" w:hAnsi="Times New Roman"/>
          <w:i/>
          <w:color w:val="000000"/>
          <w:sz w:val="20"/>
        </w:rPr>
        <w:t xml:space="preserve">Interim Reporting (Topic 270): Narrow-Scope Improvements. </w:t>
      </w:r>
      <w:r>
        <w:rPr>
          <w:rFonts w:ascii="Times New Roman" w:hAnsi="Times New Roman"/>
          <w:color w:val="000000"/>
          <w:sz w:val="20"/>
        </w:rPr>
        <w:t xml:space="preserve">The update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The guidance is effective for us beginning in the fiscal year ending December 31, 2027, including interim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periods within those fiscal years. While we are currently evaluating the effect of adopting this ASU on the disclosures in our financial statements, we do not expect this ASU to impact our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U.S. GAAP are established by the FASB in the form of ASUs to the FASB’s Accounting Standards Codification. We considered all ASUs issued and outstanding or that became effective since January 1, 2026 through the date of these financial statements and determined them not to be applicable or materially impact our financial statements other than those ASUs specifically addressed above.</w:t>
      </w:r>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b/>
          <w:color w:val="000000"/>
          <w:sz w:val="20"/>
        </w:rPr>
        <w:t>2. Net (Loss) Income per Common Share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449"/>
        <w:gridCol w:w="146"/>
        <w:gridCol w:w="228"/>
        <w:gridCol w:w="732"/>
        <w:gridCol w:w="179"/>
        <w:gridCol w:w="157"/>
        <w:gridCol w:w="228"/>
        <w:gridCol w:w="732"/>
        <w:gridCol w:w="146"/>
        <w:gridCol w:w="146"/>
        <w:gridCol w:w="211"/>
        <w:gridCol w:w="676"/>
        <w:gridCol w:w="146"/>
        <w:gridCol w:w="146"/>
        <w:gridCol w:w="211"/>
        <w:gridCol w:w="676"/>
        <w:gridCol w:w="996"/>
      </w:tblGrid>
      <w:tr>
        <w:trPr/>
        <w:tc>
          <w:tcPr>
            <w:tcW w:w="44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Amounts)</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Numerator for basic and diluted net </w:t>
              <w:br/>
              <w:t>  (loss) income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Denominator for basic net (loss) income per</w:t>
              <w:br/>
              <w:t>    common share - adjusted weighted-average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72,439</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71,874</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Unvested restricted stock and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Dilutive potential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Denominator for diluted net (loss) income per</w:t>
              <w:br/>
              <w:t>    common share - adjusted weighted-average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72,439</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72,137</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(loss) income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(loss) income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securities were not included in the computation of diluted net income per common share as their effect would have been antidilutive:</w:t>
      </w:r>
    </w:p>
    <w:tbl>
      <w:tblPr>
        <w:tblW w:w="7373" w:type="dxa"/>
        <w:jc w:val="left"/>
        <w:tblInd w:w="0" w:type="dxa"/>
        <w:tblLayout w:type="fixed"/>
        <w:tblCellMar>
          <w:top w:w="28" w:type="dxa"/>
          <w:left w:w="28" w:type="dxa"/>
          <w:bottom w:w="28" w:type="dxa"/>
          <w:right w:w="28" w:type="dxa"/>
        </w:tblCellMar>
      </w:tblPr>
      <w:tblGrid>
        <w:gridCol w:w="2701"/>
        <w:gridCol w:w="146"/>
        <w:gridCol w:w="952"/>
        <w:gridCol w:w="178"/>
        <w:gridCol w:w="1135"/>
        <w:gridCol w:w="146"/>
        <w:gridCol w:w="868"/>
        <w:gridCol w:w="162"/>
        <w:gridCol w:w="1085"/>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and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921,145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592,296</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1,321,184</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921,145</w:t>
            </w:r>
          </w:p>
        </w:tc>
        <w:tc>
          <w:tcPr>
            <w:tcW w:w="17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1,289,035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86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592,296</w:t>
            </w:r>
          </w:p>
        </w:tc>
        <w:tc>
          <w:tcPr>
            <w:tcW w:w="16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8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1,321,184</w:t>
            </w:r>
          </w:p>
        </w:tc>
      </w:tr>
    </w:tbl>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3. Accrued and Other Liabilities</w:t>
      </w:r>
    </w:p>
    <w:p>
      <w:pPr>
        <w:pStyle w:val="TextBody"/>
        <w:bidi w:val="0"/>
        <w:jc w:val="both"/>
        <w:rPr/>
      </w:pPr>
      <w:r>
        <w:rPr/>
        <w:t> </w:t>
      </w:r>
    </w:p>
    <w:tbl>
      <w:tblPr>
        <w:tblW w:w="7155" w:type="dxa"/>
        <w:jc w:val="left"/>
        <w:tblInd w:w="0" w:type="dxa"/>
        <w:tblLayout w:type="fixed"/>
        <w:tblCellMar>
          <w:top w:w="28" w:type="dxa"/>
          <w:left w:w="28" w:type="dxa"/>
          <w:bottom w:w="28" w:type="dxa"/>
          <w:right w:w="28" w:type="dxa"/>
        </w:tblCellMar>
      </w:tblPr>
      <w:tblGrid>
        <w:gridCol w:w="3901"/>
        <w:gridCol w:w="146"/>
        <w:gridCol w:w="267"/>
        <w:gridCol w:w="858"/>
        <w:gridCol w:w="146"/>
        <w:gridCol w:w="146"/>
        <w:gridCol w:w="357"/>
        <w:gridCol w:w="1143"/>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noncurrent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9"/>
        </w:rPr>
      </w:pPr>
      <w:r>
        <w:rPr>
          <w:rFonts w:ascii="Times New Roman" w:hAnsi="Times New Roman"/>
          <w:color w:val="000000"/>
          <w:sz w:val="9"/>
        </w:rPr>
        <w:t>_____________________________</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sz w:val="20"/>
        </w:rPr>
      </w:pPr>
      <w:r>
        <w:rPr>
          <w:rFonts w:ascii="Times New Roman" w:hAnsi="Times New Roman"/>
          <w:color w:val="000000"/>
          <w:sz w:val="16"/>
        </w:rPr>
        <w:t>Includes accrued legal fees of $2.1</w:t>
      </w:r>
      <w:r>
        <w:rPr>
          <w:rFonts w:ascii="Times New Roman" w:hAnsi="Times New Roman"/>
          <w:color w:val="000000"/>
          <w:sz w:val="20"/>
        </w:rPr>
        <w:t xml:space="preserve"> </w:t>
      </w:r>
      <w:r>
        <w:rPr>
          <w:rFonts w:ascii="Times New Roman" w:hAnsi="Times New Roman"/>
          <w:color w:val="000000"/>
          <w:sz w:val="16"/>
        </w:rPr>
        <w:t>million.</w:t>
      </w:r>
    </w:p>
    <w:p>
      <w:pPr>
        <w:pStyle w:val="TextBody"/>
        <w:bidi w:val="0"/>
        <w:jc w:val="both"/>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4. Long-Term 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long-term debt consists of the following: </w:t>
      </w:r>
    </w:p>
    <w:p>
      <w:pPr>
        <w:pStyle w:val="TextBody"/>
        <w:bidi w:val="0"/>
        <w:jc w:val="both"/>
        <w:rPr/>
      </w:pPr>
      <w:r>
        <w:rPr/>
        <w:t> </w:t>
      </w:r>
    </w:p>
    <w:tbl>
      <w:tblPr>
        <w:tblW w:w="8710" w:type="dxa"/>
        <w:jc w:val="left"/>
        <w:tblInd w:w="0" w:type="dxa"/>
        <w:tblLayout w:type="fixed"/>
        <w:tblCellMar>
          <w:top w:w="28" w:type="dxa"/>
          <w:left w:w="28" w:type="dxa"/>
          <w:bottom w:w="28" w:type="dxa"/>
          <w:right w:w="28" w:type="dxa"/>
        </w:tblCellMar>
      </w:tblPr>
      <w:tblGrid>
        <w:gridCol w:w="5416"/>
        <w:gridCol w:w="146"/>
        <w:gridCol w:w="239"/>
        <w:gridCol w:w="886"/>
        <w:gridCol w:w="166"/>
        <w:gridCol w:w="146"/>
        <w:gridCol w:w="319"/>
        <w:gridCol w:w="1181"/>
        <w:gridCol w:w="211"/>
      </w:tblGrid>
      <w:tr>
        <w:trPr/>
        <w:tc>
          <w:tcPr>
            <w:tcW w:w="5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Notes due 2028, with an interest rate of 6.25%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438,580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Unamortized debt issuance costs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due after one year,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440,575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440,295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9"/>
        </w:rPr>
      </w:pPr>
      <w:r>
        <w:rPr>
          <w:rFonts w:ascii="Times New Roman" w:hAnsi="Times New Roman"/>
          <w:color w:val="000000"/>
          <w:sz w:val="9"/>
        </w:rPr>
        <w:t>_____________________________</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pPr>
      <w:r>
        <w:rPr>
          <w:rFonts w:ascii="Times New Roman" w:hAnsi="Times New Roman"/>
          <w:color w:val="000000"/>
          <w:sz w:val="16"/>
        </w:rPr>
        <w:t>Debt issuance costs as of June 30, 2026 and December 31, 2025 of approximately $0.4</w:t>
      </w:r>
      <w:r>
        <w:rPr>
          <w:color w:val="000000"/>
        </w:rPr>
        <w:t xml:space="preserve"> </w:t>
      </w:r>
      <w:r>
        <w:rPr>
          <w:rFonts w:ascii="Times New Roman" w:hAnsi="Times New Roman"/>
          <w:color w:val="000000"/>
          <w:sz w:val="16"/>
        </w:rPr>
        <w:t>million and</w:t>
      </w:r>
      <w:r>
        <w:rPr>
          <w:color w:val="000000"/>
        </w:rPr>
        <w:t xml:space="preserve"> </w:t>
      </w:r>
      <w:r>
        <w:rPr>
          <w:rFonts w:ascii="Times New Roman" w:hAnsi="Times New Roman"/>
          <w:color w:val="000000"/>
          <w:sz w:val="16"/>
        </w:rPr>
        <w:t>$0.5</w:t>
      </w:r>
      <w:r>
        <w:rPr>
          <w:color w:val="000000"/>
        </w:rPr>
        <w:t xml:space="preserve"> </w:t>
      </w:r>
      <w:r>
        <w:rPr>
          <w:rFonts w:ascii="Times New Roman" w:hAnsi="Times New Roman"/>
          <w:color w:val="000000"/>
          <w:sz w:val="16"/>
        </w:rPr>
        <w:t>million, respectively, relating to our Revolving Credit Facility (defined below) are not included in Unamortized debt issuance costs. Such costs are included in our condensed consolidated balance sheet in “Intangible and other assets, net.”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left"/>
        <w:rPr/>
      </w:pPr>
      <w:r>
        <w:rPr>
          <w:rFonts w:ascii="Times New Roman" w:hAnsi="Times New Roman"/>
          <w:color w:val="000000"/>
          <w:sz w:val="20"/>
        </w:rPr>
        <w:t>The revolving credit facility pursuant to a credit agreement, dated December 21, 2023, between us, the lenders identified on the signature pages thereof and JPMorgan Chase Bank, N.A, as administrative agent (the “Revolving Credit Facility”),</w:t>
      </w:r>
      <w:r>
        <w:rPr>
          <w:color w:val="000000"/>
        </w:rPr>
        <w:t xml:space="preserve"> </w:t>
      </w:r>
      <w:r>
        <w:rPr>
          <w:rFonts w:ascii="Times New Roman" w:hAnsi="Times New Roman"/>
          <w:color w:val="000000"/>
          <w:sz w:val="20"/>
        </w:rPr>
        <w:t>provides for borrowings up to an initial maximum of $75</w:t>
      </w:r>
      <w:r>
        <w:rPr>
          <w:color w:val="000000"/>
        </w:rPr>
        <w:t xml:space="preserve"> </w:t>
      </w:r>
      <w:r>
        <w:rPr>
          <w:rFonts w:ascii="Times New Roman" w:hAnsi="Times New Roman"/>
          <w:color w:val="000000"/>
          <w:sz w:val="20"/>
        </w:rPr>
        <w:t>million, with an option to increase the maximum by an additional $25</w:t>
      </w:r>
      <w:r>
        <w:rPr>
          <w:color w:val="000000"/>
        </w:rPr>
        <w:t xml:space="preserve"> </w:t>
      </w:r>
      <w:r>
        <w:rPr>
          <w:rFonts w:ascii="Times New Roman" w:hAnsi="Times New Roman"/>
          <w:color w:val="000000"/>
          <w:sz w:val="20"/>
        </w:rPr>
        <w:t>million (which amount is uncommitted). Availability under the Revolving Credit Facility is subject to a borrowing base and is also subject to an availability block of $7.5</w:t>
      </w:r>
      <w:r>
        <w:rPr>
          <w:color w:val="000000"/>
        </w:rPr>
        <w:t xml:space="preserve"> </w:t>
      </w:r>
      <w:r>
        <w:rPr>
          <w:rFonts w:ascii="Times New Roman" w:hAnsi="Times New Roman"/>
          <w:color w:val="000000"/>
          <w:sz w:val="20"/>
        </w:rPr>
        <w:t>million (which can be removed by us at our sole discretion, subject to the satisfaction of certain conditions) (the “Availability Block”). The Availability Block is applied against the $75</w:t>
      </w:r>
      <w:r>
        <w:rPr>
          <w:color w:val="000000"/>
        </w:rPr>
        <w:t xml:space="preserve"> </w:t>
      </w:r>
      <w:r>
        <w:rPr>
          <w:rFonts w:ascii="Times New Roman" w:hAnsi="Times New Roman"/>
          <w:color w:val="000000"/>
          <w:sz w:val="20"/>
        </w:rPr>
        <w:t>million maximum. The Revolving Credit Facility provides for a sub-facility for the issuance of letters of credit in an aggregate amount not to exceed $10</w:t>
      </w:r>
      <w:r>
        <w:rPr>
          <w:color w:val="000000"/>
        </w:rPr>
        <w:t xml:space="preserve"> </w:t>
      </w:r>
      <w:r>
        <w:rPr>
          <w:rFonts w:ascii="Times New Roman" w:hAnsi="Times New Roman"/>
          <w:color w:val="000000"/>
          <w:sz w:val="20"/>
        </w:rPr>
        <w:t>million, with the outstanding amount of any such letters of credit reducing availability for borrowings. As of June 30, 2026, our Revolving Credit Facility was undrawn and had approximately $51</w:t>
      </w:r>
      <w:r>
        <w:rPr>
          <w:color w:val="000000"/>
        </w:rPr>
        <w:t xml:space="preserve"> </w:t>
      </w:r>
      <w:r>
        <w:rPr>
          <w:rFonts w:ascii="Times New Roman" w:hAnsi="Times New Roman"/>
          <w:color w:val="000000"/>
          <w:sz w:val="20"/>
        </w:rPr>
        <w:t xml:space="preserve">million of availability, based on our eligible collateral.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Revolving Credit Facility matures on December 21, 2028, subject to springing maturity to the date that is 90 days prior to the stated maturity date of our existing Senior Secured Notes (defined below), which is currently October 15, 2028 (unless such Senior Secured Notes have been repaid or redeemed in full prior thereto). Borrowings outstanding under the Revolving Credit Facility will bear interest at a rate per annum equal to, at our option, either (a) term Secured Overnight Financing Rate (“SOFR”) for a period of one month (with a fallback to the prime rate if such rate is unavailable), plus 0.10%, plus an applicable margin of 1.625% or (b) term SOFR for a period of one, three or six months (at our election), plus 0.10%, plus an applicable margin of 1.625%, in each case with a floor of 0.00%.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LSB Industries, Inc. and all of its subsidiaries (collectively, the “Borrowers”) are co-borrowers under the Revolving Credit Facility. Obligations under the Revolving Credit Facility are secured by a first priority security interest in substantially all of our current assets, including accounts receivable and inventory, subject to certain exceptions.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Revolving Credit Facility contains a financial covenant, which requires that, solely if we elect to remove the Availability Block, then the Borrowers must maintain a minimum fixed charge coverage ratio of not less than 1.00:1.00. The financial covenant, if triggered, is tested monthly. The financial covenant was not triggered as of June 30, 2026.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120" w:after="283"/>
        <w:jc w:val="left"/>
        <w:rPr/>
      </w:pPr>
      <w:r>
        <w:rPr>
          <w:rFonts w:ascii="Times New Roman" w:hAnsi="Times New Roman"/>
          <w:color w:val="000000"/>
          <w:sz w:val="20"/>
        </w:rPr>
        <w:t>We previously issued at par an aggregate total of $700</w:t>
      </w:r>
      <w:r>
        <w:rPr>
          <w:color w:val="000000"/>
        </w:rPr>
        <w:t xml:space="preserve"> </w:t>
      </w:r>
      <w:r>
        <w:rPr>
          <w:rFonts w:ascii="Times New Roman" w:hAnsi="Times New Roman"/>
          <w:color w:val="000000"/>
          <w:sz w:val="20"/>
        </w:rPr>
        <w:t>million principal value of our Senior Secured Notes due 2028</w:t>
      </w:r>
      <w:r>
        <w:rPr>
          <w:color w:val="000000"/>
        </w:rPr>
        <w:t xml:space="preserve"> </w:t>
      </w:r>
      <w:r>
        <w:rPr>
          <w:rFonts w:ascii="Times New Roman" w:hAnsi="Times New Roman"/>
          <w:color w:val="000000"/>
          <w:sz w:val="20"/>
        </w:rPr>
        <w:t xml:space="preserve">(“Senior Secured Notes”). The Senior Secured Notes, which mature in October 2028, bear interest at a rate of 6.25% paid in arrears on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15 and October 15 of each year. From time to time, we have engaged in open market repurchases to extinguish a portion of the outstanding balance. We did not repurchase any of our Senior Secured Notes during the three and six months ended June 30, 2026. During the six months ended June 30, 2025, we repurchased $32.4 million in principal amount of our Senior Secured Notes for approximately $32.1 million, which was accounted for as an extinguishment of debt. Including our write-off of the associated remaining portion of unamortized debt issuance costs, we recognized a loss on extinguishment of debt of approximately $0.1 million.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Finance leases consist primarily of leases on railcars.</w:t>
      </w:r>
    </w:p>
    <w:p>
      <w:pPr>
        <w:pStyle w:val="TextBody"/>
        <w:bidi w:val="0"/>
        <w:jc w:val="both"/>
        <w:rPr>
          <w:rFonts w:ascii="Times New Roman" w:hAnsi="Times New Roman"/>
          <w:b/>
          <w:color w:val="000000"/>
          <w:sz w:val="20"/>
        </w:rPr>
      </w:pPr>
      <w:r>
        <w:rPr>
          <w:rFonts w:ascii="Times New Roman" w:hAnsi="Times New Roman"/>
          <w:b/>
          <w:color w:val="000000"/>
          <w:sz w:val="20"/>
        </w:rPr>
        <w:t>5. Commitments and Contingencies</w:t>
      </w:r>
    </w:p>
    <w:p>
      <w:pPr>
        <w:pStyle w:val="TextBody"/>
        <w:bidi w:val="0"/>
        <w:spacing w:before="120" w:after="283"/>
        <w:jc w:val="left"/>
        <w:rPr>
          <w:rFonts w:ascii="Times New Roman" w:hAnsi="Times New Roman"/>
          <w:sz w:val="20"/>
        </w:rPr>
      </w:pPr>
      <w:r>
        <w:rPr>
          <w:rFonts w:ascii="Times New Roman" w:hAnsi="Times New Roman"/>
          <w:b/>
          <w:i/>
          <w:color w:val="000000"/>
          <w:sz w:val="20"/>
        </w:rPr>
        <w:t>Outstanding Natural Gas Purchase Commitments</w:t>
      </w:r>
      <w:r>
        <w:rPr>
          <w:rFonts w:ascii="Times New Roman" w:hAnsi="Times New Roman"/>
          <w:color w:val="000000"/>
          <w:sz w:val="20"/>
        </w:rPr>
        <w:t xml:space="preserve"> – Certain of our natural gas contracts qualify for the NPNS exception under U.S. GAAP and thus are not financial instruments for which we mark-to-market. We did not have any natural gas contracts outstanding at June 30, 2026. </w:t>
      </w:r>
      <w:r>
        <w:rPr>
          <w:rFonts w:ascii="Times New Roman" w:hAnsi="Times New Roman"/>
          <w:color w:val="242424"/>
          <w:sz w:val="20"/>
        </w:rPr>
        <w:t xml:space="preserve">From time to time, when we exceed the funding threshold in our natural gas purchase commitments, we are required to fund cash collateral to our counterparty. </w:t>
      </w:r>
      <w:r>
        <w:rPr>
          <w:rFonts w:ascii="Times New Roman" w:hAnsi="Times New Roman"/>
          <w:color w:val="000000"/>
          <w:sz w:val="20"/>
        </w:rPr>
        <w:t xml:space="preserve">As of June 30, 2026, we had no counterparty cash collateral funding requirements.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Legal Matters - </w:t>
      </w:r>
      <w:r>
        <w:rPr>
          <w:rFonts w:ascii="Times New Roman" w:hAnsi="Times New Roman"/>
          <w:color w:val="000000"/>
          <w:sz w:val="20"/>
        </w:rPr>
        <w:t>The following is a summary of certain legal matters involving the Company: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 Environmental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claims for damages to persons or property, including natural resources, may result from the environmental, health and safety effects of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our accrued liabilities for environmental matters totaled approximately $0.4 million relating primarily to the matters discussed below. Estimates of the most likely costs for our environmental matters are generally based on preliminary or completed assessment studies, preliminary results of studies, or our experience with other similar matters. It is reasonably possible that a change in the estimate of our liability could occur in the near term.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Discharge Water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United States Environmental Protection Agency (the “EPA”). These permits limit the type and volume of effluents that can be discharged and control the method of such discharge.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2017, the Company filed a Permit Renewal Application for its Non-Hazardous Injection Well Permit at the Pryor Facility. Although the Injection Well Permit expired in 2018, we continue to operate the injection well in accordance with an executed November 2023 Consent Order with the Oklahoma Department of Environmental Quality (“ODEQ”) that allows for the continued use of the injection well until a wastewater treatment process is designed, built and operational. The Company continues to work with the ODEQ under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the Consent Order. We have identified and selected a wastewater treatment technology using biological processes that can and will treat the nitrogen-containing wastewater streams at our Pryor Facility. We are unable to estimate the costs related to the replacement of the disposal well at this time as we are in the early stages of design for the wastewater treatment process with a wastewater process design engineering firm. We have also commenced preliminary discussions with the ODEQ on permitting the treated wastewater discharges but have not received any confirmation from the ODEQ on their preliminary acceptance of our treated wastewater stream.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2006, the Company entered into a Consent Administrative Order (“CAO”) that recognizes the presence of nitrate contamination in the shallow groundwater at our El Dorado Facility. The CAO required us to perform semi-annual groundwater monitoring, continue operation of a groundwater recovery system, submit a human health and ecological risk assessment and submit a remedial action plan. The risk assessment was submitted in 2007. In 2015, the Arkansas Department of Environmental Quality (“ADEQ”) stated that the El Dorado Facility was meeting the requirements of the CAO and should continue semi-annual monitoring. A CAO was signed in 2018, which required an Evaluation Report of the data and effectiveness of the groundwater remedy for nitrate contamination. During 2019, the Evaluation Report was submitted to the ADEQ and the ADEQ approved the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Other Environmental Matters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develop a corrective action strategy based on the investigation and implement such strategy. In addition, certain of our subsidiaries agreed to indemnify the buyer of such assets for these environmental matters.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the successor to a prior owner of the Hallowell Facility, Chevron Environmental Management Company (“Chevron”) agreed in writing, within certain limitations, to pay and has been paying one-half of the costs of the investigation and interim measures relating to this matter as approved by the Kansas Department of Health and Environment (the “KDHE”), subject to reallocation.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this process, our subsidiary and Chevron retained an environmental consultant that prepared and performed a corrective action study work plan as to the appropriate method to remediate the Hallowell Facility. During 2020, the KDHE selected a remedy of annual monitoring and the implementation of an Environmental Use Control (“EUC”). This remedy primarily relates to long-term surface and groundwater monitoring to track the natural decline in contamination and is subject to a periodic review with the KDHE. At this time there is no review scheduled.</w:t>
      </w:r>
    </w:p>
    <w:p>
      <w:pPr>
        <w:pStyle w:val="TextBody"/>
        <w:bidi w:val="0"/>
        <w:jc w:val="left"/>
        <w:rPr>
          <w:rFonts w:ascii="Times New Roman" w:hAnsi="Times New Roman"/>
          <w:color w:val="000000"/>
          <w:sz w:val="20"/>
        </w:rPr>
      </w:pPr>
      <w:r>
        <w:rPr>
          <w:rFonts w:ascii="Times New Roman" w:hAnsi="Times New Roman"/>
          <w:color w:val="000000"/>
          <w:sz w:val="20"/>
        </w:rPr>
        <w:t>The final remedy, including the EUC, the finalization of the cost estimates and any required financial assurances remains under discussion with the KDHE. Pending the results from our discussions regarding the final remedy, we continue to accrue our allocable portion of costs primarily for the additional testing, monitoring and risk assessments that could be reasonably estimated, which amount is included in our accrued liabilities for environmental matters discussed above. The estimated amount is not discounted to its present value. As more information becomes available, our estimated accrual will be refined, as necessary.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 Other Pending, Threatened or Settled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involved in various other claims and legal actions (including matters involving gain contingencies) in the ordinary course of our business. While it is possible that the actual claims results could differ from our estimates, after consultation with legal counsel, we believe that any such differences will not have a material effect on our business, financial condition, results of operations or cash flows.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Performance and Payment Bonds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June 30, 2026, we have agreed to indemnify the sureties for payments, up to $10.2 million, made by them in respect of such bonds.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6. Financial Instruments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Natural Gas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Periodically, we enter into certain forward natural gas contracts or volume purchase commitments, which are derivatives. We utilize these natural gas contracts as economic hedges for risk management purposes, but the contracts are not designated as hedging instruments. At June 30, 2026 and December 31, 2025, we had no outstanding forward natural gas contracts or volume purchase commitments accounted for as derivatives. When present in the past, the valuations of the natural gas contracts were classified as a Level 2 fair value measurement.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Financial Instruments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At June 30, 2026 and December 31, 2025, we did not have any financial instruments with fair values materially different from their carrying amounts (which excludes issuance costs, if applicable) except for our Senior Secured Notes. Fair value of our Senior Secured Notes is classified as a Level 2 fair value measurement while the treasury securities that comprise our short-term investments are a Level 1 fair value measurement. The fair value of financial instruments is not indicative of the overall fair value of our assets and liabilities since financial instruments do not include all assets, including intangibles, and all liabilities.</w:t>
      </w:r>
    </w:p>
    <w:tbl>
      <w:tblPr>
        <w:tblW w:w="6418" w:type="dxa"/>
        <w:jc w:val="left"/>
        <w:tblInd w:w="0" w:type="dxa"/>
        <w:tblLayout w:type="fixed"/>
        <w:tblCellMar>
          <w:top w:w="28" w:type="dxa"/>
          <w:left w:w="28" w:type="dxa"/>
          <w:bottom w:w="28" w:type="dxa"/>
          <w:right w:w="28" w:type="dxa"/>
        </w:tblCellMar>
      </w:tblPr>
      <w:tblGrid>
        <w:gridCol w:w="1861"/>
        <w:gridCol w:w="146"/>
        <w:gridCol w:w="267"/>
        <w:gridCol w:w="514"/>
        <w:gridCol w:w="146"/>
        <w:gridCol w:w="146"/>
        <w:gridCol w:w="303"/>
        <w:gridCol w:w="582"/>
        <w:gridCol w:w="146"/>
        <w:gridCol w:w="146"/>
        <w:gridCol w:w="267"/>
        <w:gridCol w:w="514"/>
        <w:gridCol w:w="152"/>
        <w:gridCol w:w="152"/>
        <w:gridCol w:w="303"/>
        <w:gridCol w:w="582"/>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Senior Secured Notes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9"/>
        </w:rPr>
      </w:pPr>
      <w:r>
        <w:rPr>
          <w:rFonts w:ascii="Times New Roman" w:hAnsi="Times New Roman"/>
          <w:color w:val="000000"/>
          <w:sz w:val="9"/>
        </w:rPr>
        <w:t>_____________________________</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(1)</w:t>
      </w:r>
    </w:p>
    <w:p>
      <w:pPr>
        <w:pStyle w:val="TextBody"/>
        <w:bidi w:val="0"/>
        <w:spacing w:before="120" w:after="283"/>
        <w:jc w:val="both"/>
        <w:rPr>
          <w:rFonts w:ascii="Times New Roman" w:hAnsi="Times New Roman"/>
          <w:sz w:val="20"/>
        </w:rPr>
      </w:pPr>
      <w:r>
        <w:rPr>
          <w:rFonts w:ascii="Times New Roman" w:hAnsi="Times New Roman"/>
          <w:color w:val="000000"/>
          <w:sz w:val="17"/>
        </w:rPr>
        <w:t>Based on a quoted price</w:t>
      </w:r>
      <w:r>
        <w:rPr>
          <w:rFonts w:ascii="Times New Roman" w:hAnsi="Times New Roman"/>
          <w:color w:val="000000"/>
          <w:sz w:val="20"/>
        </w:rPr>
        <w:t xml:space="preserve"> </w:t>
      </w:r>
      <w:r>
        <w:rPr>
          <w:rFonts w:ascii="Times New Roman" w:hAnsi="Times New Roman"/>
          <w:color w:val="000000"/>
          <w:sz w:val="17"/>
        </w:rPr>
        <w:t>of 99.0</w:t>
      </w:r>
      <w:r>
        <w:rPr>
          <w:rFonts w:ascii="Times New Roman" w:hAnsi="Times New Roman"/>
          <w:color w:val="000000"/>
          <w:sz w:val="20"/>
        </w:rPr>
        <w:t xml:space="preserve"> </w:t>
      </w:r>
      <w:r>
        <w:rPr>
          <w:rFonts w:ascii="Times New Roman" w:hAnsi="Times New Roman"/>
          <w:color w:val="000000"/>
          <w:sz w:val="17"/>
        </w:rPr>
        <w:t>at June 30, 2026</w:t>
      </w:r>
      <w:r>
        <w:rPr>
          <w:rFonts w:ascii="Times New Roman" w:hAnsi="Times New Roman"/>
          <w:color w:val="000000"/>
          <w:sz w:val="20"/>
        </w:rPr>
        <w:t xml:space="preserve"> </w:t>
      </w:r>
      <w:r>
        <w:rPr>
          <w:rFonts w:ascii="Times New Roman" w:hAnsi="Times New Roman"/>
          <w:color w:val="000000"/>
          <w:sz w:val="17"/>
        </w:rPr>
        <w:t>and 99.5</w:t>
      </w:r>
      <w:r>
        <w:rPr>
          <w:rFonts w:ascii="Times New Roman" w:hAnsi="Times New Roman"/>
          <w:color w:val="000000"/>
          <w:sz w:val="20"/>
        </w:rPr>
        <w:t xml:space="preserve"> </w:t>
      </w:r>
      <w:r>
        <w:rPr>
          <w:rFonts w:ascii="Times New Roman" w:hAnsi="Times New Roman"/>
          <w:color w:val="000000"/>
          <w:sz w:val="17"/>
        </w:rPr>
        <w:t>at December 31, 2025. Also see discussion in Note 4</w:t>
      </w:r>
      <w:r>
        <w:rPr>
          <w:rFonts w:ascii="Times New Roman" w:hAnsi="Times New Roman"/>
          <w:color w:val="000000"/>
          <w:sz w:val="20"/>
        </w:rPr>
        <w:t xml:space="preserve"> </w:t>
      </w:r>
      <w:r>
        <w:rPr>
          <w:rFonts w:ascii="Times New Roman" w:hAnsi="Times New Roman"/>
          <w:color w:val="000000"/>
          <w:sz w:val="17"/>
        </w:rPr>
        <w:t>(B).</w:t>
      </w:r>
    </w:p>
    <w:p>
      <w:pPr>
        <w:pStyle w:val="TextBody"/>
        <w:bidi w:val="0"/>
        <w:spacing w:before="120" w:after="283"/>
        <w:jc w:val="both"/>
        <w:rPr>
          <w:rFonts w:ascii="Times New Roman" w:hAnsi="Times New Roman"/>
          <w:sz w:val="20"/>
        </w:rPr>
      </w:pPr>
      <w:r>
        <w:rPr>
          <w:rFonts w:ascii="Times New Roman" w:hAnsi="Times New Roman"/>
          <w:b/>
          <w:color w:val="000000"/>
          <w:sz w:val="20"/>
        </w:rPr>
        <w:t>7. Income Taxes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(Benefit) Provision for income taxes is as follows: </w:t>
      </w:r>
    </w:p>
    <w:tbl>
      <w:tblPr>
        <w:tblW w:w="9265" w:type="dxa"/>
        <w:jc w:val="left"/>
        <w:tblInd w:w="0" w:type="dxa"/>
        <w:tblLayout w:type="fixed"/>
        <w:tblCellMar>
          <w:top w:w="28" w:type="dxa"/>
          <w:left w:w="28" w:type="dxa"/>
          <w:bottom w:w="28" w:type="dxa"/>
          <w:right w:w="28" w:type="dxa"/>
        </w:tblCellMar>
      </w:tblPr>
      <w:tblGrid>
        <w:gridCol w:w="3706"/>
        <w:gridCol w:w="146"/>
        <w:gridCol w:w="246"/>
        <w:gridCol w:w="738"/>
        <w:gridCol w:w="194"/>
        <w:gridCol w:w="170"/>
        <w:gridCol w:w="246"/>
        <w:gridCol w:w="668"/>
        <w:gridCol w:w="146"/>
        <w:gridCol w:w="146"/>
        <w:gridCol w:w="244"/>
        <w:gridCol w:w="731"/>
        <w:gridCol w:w="192"/>
        <w:gridCol w:w="169"/>
        <w:gridCol w:w="244"/>
        <w:gridCol w:w="488"/>
        <w:gridCol w:w="7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(6,663</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color w:val="000000"/>
              </w:rPr>
            </w:pPr>
            <w:r>
              <w:rPr>
                <w:color w:val="000000"/>
              </w:rPr>
              <w:t> </w:t>
            </w:r>
            <w:r>
              <w:rPr>
                <w:rFonts w:ascii="Times New Roman" w:hAnsi="Times New Roman"/>
                <w:color w:val="000000"/>
                <w:sz w:val="20"/>
              </w:rPr>
              <w:t>(Benefit)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income tax benefit for the six months ended June 30, 2026, was $4.0 million (42.8% benefit on pre-tax income). The tax provision for the six months ended June 30, 2025, was $0.8 million (37.0% provision on pre-tax income). For 2026, the effective tax rate was lower than the statutory tax rate primarily due to the release of state valuation allowances described below, partially offset by nondeductible compensation expense. For 2025, the effective tax rate was higher than the statutory tax rate primarily due to nondeductible compensation expense and state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considered both positive and negative evidence in our determination of the need for valuation allowances for deferred tax assets. Information evaluated includes our financial position and results of operations for the current and preceding years, the availability of deferred tax liabilities and tax carrybacks, as well as an evaluation of currently available information about future years. Valuation allowances are reflective of our quarterly analysis of the four sources of taxable income, including the calculation of the reversal of existing tax assets and liabilities, the impact of financing activities and our quarterly results. Based on our analysis, we have determined that it is more-likely-than-not that all of our federal deferred tax assets and a portion of our state deferred tax assets will be utilized.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first quarter of 2026, our results of operations and expected results for the remainder of 2026 and future years significantly improved compared to our prior year-end forecast, primarily due to a favorable shift in pricing conditions across our product portfolio resulting from global supply constraints. This improvement supported the inclusion of future taxable income in our quarterly analysis of the four sources of taxable income and represented a change in the weight of positive evidence relative to the negative evidence that had existed at year-end. As a result of this change, we recognized a discrete income tax benefit of $6.2 million during the first quarter of 2026, representing the release of a portion of our beginning-of-year state valuation allowances. As of June 30, 2026, our remaining state valuation allowance of $8.0 million relates to net operating loss carryforwards and interest expense limitation carryforwards in certain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continue to evaluate both the positive and negative evidence on a quarterly basis in determining the need for a valuation allowance with respect to our deferred tax assets. Changes in positive and negative evidence, including differences between estimated and actual results, could result in changes in the valuation of our deferred tax assets that could have a material impact on our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condensed consolidated financial statements. Changes in existing tax laws could also affect actual tax results and the realization of deferred tax assets over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LSB Industries, Inc. and certain of its subsidiaries file income tax returns in the U.S. federal jurisdiction and various state jurisdictions. With few exceptions, the 2022-2025 years remain open for all purposes of examination by the U.S. Internal Revenue Service and other major tax jurisdictions. Additionally, the 2015-2020 years remain subject to examination for determining the amount of net operating loss and other carryforwards.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8. Net Sales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Disaggregated Net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primarily derive our revenues from the sales of various chemical products. The Company’s net sales disaggregation is consistent with other financial information utilized or provided outside of our condensed consolidated financial statements. Accordingly, this approach is reflected in disaggregated net sales, mirroring how the Company manages its net sales by product through contracts with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our net sales disaggregated by our products, which disaggregation is consistent with other financial information utilized or provided outside of our condensed consolidated financial statements:</w:t>
      </w:r>
    </w:p>
    <w:p>
      <w:pPr>
        <w:pStyle w:val="TextBody"/>
        <w:bidi w:val="0"/>
        <w:jc w:val="both"/>
        <w:rPr/>
      </w:pPr>
      <w:r>
        <w:rPr/>
        <w:t> </w:t>
      </w:r>
    </w:p>
    <w:tbl>
      <w:tblPr>
        <w:tblW w:w="8377" w:type="dxa"/>
        <w:jc w:val="left"/>
        <w:tblInd w:w="0" w:type="dxa"/>
        <w:tblLayout w:type="fixed"/>
        <w:tblCellMar>
          <w:top w:w="28" w:type="dxa"/>
          <w:left w:w="28" w:type="dxa"/>
          <w:bottom w:w="28" w:type="dxa"/>
          <w:right w:w="28" w:type="dxa"/>
        </w:tblCellMar>
      </w:tblPr>
      <w:tblGrid>
        <w:gridCol w:w="2796"/>
        <w:gridCol w:w="146"/>
        <w:gridCol w:w="211"/>
        <w:gridCol w:w="781"/>
        <w:gridCol w:w="146"/>
        <w:gridCol w:w="146"/>
        <w:gridCol w:w="211"/>
        <w:gridCol w:w="781"/>
        <w:gridCol w:w="146"/>
        <w:gridCol w:w="146"/>
        <w:gridCol w:w="211"/>
        <w:gridCol w:w="781"/>
        <w:gridCol w:w="146"/>
        <w:gridCol w:w="146"/>
        <w:gridCol w:w="211"/>
        <w:gridCol w:w="781"/>
        <w:gridCol w:w="591"/>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4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119,325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96,127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60,102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294,728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b/>
          <w:i/>
          <w:color w:val="000000"/>
          <w:sz w:val="20"/>
        </w:rPr>
        <w:t>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our contracts with a duration greater than one year at contract inception, the average remaining expected duration was approximately 35 months at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Liabilities associated with contracts with customers (contract liabilities) primarily relate to deferred revenue and customer deposits associated with cash payments received in advance from customers for product shipments.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contract liabilities as of June 30, 2026 and December 31, 2025 were minimal. For the three and six months ended June 30, 2026, revenues recognized from contract liabilities included in the balances as of March 31, 2026 and December 31, 2025, respectively, were minimal. For the three and six months ended June 30, 2025, we recognized revenues of $10.3 million and $1.1 million, respectively, from amounts included in contract liabilities as of March 31, 2025 and December 31, 2024, respectively. Our contract assets consist of unconditional rights to payment from our customers, which are reflected as accounts receivable in our condensed consolidated balance sheets.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most of our contracts with customers, the transaction price from the inception of a contract is limited to a short period of time (generally one month) as these contracts contain terms with variable consideration related to both price and quantity. At June 30, 2026, we had remaining performance obligations with certain customer contracts, excluding contracts with original durations of less than one year and for service contracts for which we have elected the practical expedient for consideration recognized in revenue as invoiced. As of June 30, 2026, the remaining performance obligations totaled approximately $158.0 million, of which approximately 66% relates to 2026 through 2028, approximately 21% relates to 2029 through 2030, with the remainder thereafter.</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9. Supplemental Cash Flow Information</w:t>
      </w:r>
      <w:r>
        <w:rPr>
          <w:rFonts w:ascii="Times New Roman" w:hAnsi="Times New Roman"/>
          <w:color w:val="000000"/>
          <w:sz w:val="20"/>
        </w:rPr>
        <w:t xml:space="preserve"> </w:t>
      </w:r>
    </w:p>
    <w:p>
      <w:pPr>
        <w:pStyle w:val="TextBody"/>
        <w:bidi w:val="0"/>
        <w:spacing w:before="60" w:after="60"/>
        <w:jc w:val="both"/>
        <w:rPr>
          <w:rFonts w:ascii="Times New Roman" w:hAnsi="Times New Roman"/>
          <w:color w:val="000000"/>
          <w:sz w:val="20"/>
        </w:rPr>
      </w:pPr>
      <w:r>
        <w:rPr>
          <w:rFonts w:ascii="Times New Roman" w:hAnsi="Times New Roman"/>
          <w:color w:val="000000"/>
          <w:sz w:val="20"/>
        </w:rPr>
        <w:t xml:space="preserve">The following provides additional information relating to cash flow activities: </w:t>
      </w:r>
    </w:p>
    <w:tbl>
      <w:tblPr>
        <w:tblW w:w="8859" w:type="dxa"/>
        <w:jc w:val="left"/>
        <w:tblInd w:w="0" w:type="dxa"/>
        <w:tblLayout w:type="fixed"/>
        <w:tblCellMar>
          <w:top w:w="28" w:type="dxa"/>
          <w:left w:w="28" w:type="dxa"/>
          <w:bottom w:w="28" w:type="dxa"/>
          <w:right w:w="28" w:type="dxa"/>
        </w:tblCellMar>
      </w:tblPr>
      <w:tblGrid>
        <w:gridCol w:w="6216"/>
        <w:gridCol w:w="146"/>
        <w:gridCol w:w="211"/>
        <w:gridCol w:w="676"/>
        <w:gridCol w:w="166"/>
        <w:gridCol w:w="146"/>
        <w:gridCol w:w="211"/>
        <w:gridCol w:w="676"/>
        <w:gridCol w:w="411"/>
      </w:tblGrid>
      <w:tr>
        <w:trPr/>
        <w:tc>
          <w:tcPr>
            <w:tcW w:w="6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 (refunds/reduction)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long-term debt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plant and equipment acquired and not yet paid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10. Segment</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is managed on a consolidated basis with a single reportable segment, chemical manufacturing, which is not an aggregation of individual operating segments. There have been no changes in the basis of segmentation or in the basis of measurement of segment profit or loss since the filing of our 2025 Form 10-K. Information about reported segment revenue, measures of a segment’s profit or loss, significant segment expenses, and measure of a segment's assets: </w:t>
      </w:r>
    </w:p>
    <w:tbl>
      <w:tblPr>
        <w:tblW w:w="9220" w:type="dxa"/>
        <w:jc w:val="left"/>
        <w:tblInd w:w="0" w:type="dxa"/>
        <w:tblLayout w:type="fixed"/>
        <w:tblCellMar>
          <w:top w:w="28" w:type="dxa"/>
          <w:left w:w="28" w:type="dxa"/>
          <w:bottom w:w="28" w:type="dxa"/>
          <w:right w:w="28" w:type="dxa"/>
        </w:tblCellMar>
      </w:tblPr>
      <w:tblGrid>
        <w:gridCol w:w="4501"/>
        <w:gridCol w:w="146"/>
        <w:gridCol w:w="1046"/>
        <w:gridCol w:w="172"/>
        <w:gridCol w:w="1046"/>
        <w:gridCol w:w="146"/>
        <w:gridCol w:w="886"/>
        <w:gridCol w:w="146"/>
        <w:gridCol w:w="113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73" w:type="dxa"/>
            <w:gridSpan w:val="7"/>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(In Thousands)</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$168,092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$294,728</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Cost of sales excluding depreciation, amortization</w:t>
              <w:br/>
              <w:t>  and turnaround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105,952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211,857</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40,680</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Turnaround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28,801</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4,634</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20"/>
              </w:rPr>
              <w:t>Total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156,631</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257,171</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Wages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12,257</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20"/>
              </w:rPr>
              <w:t>Other 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4,950</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7,740</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12,931</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19,997</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15,950</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59</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Loss from asset write-down and disposals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2,599</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801</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segment (income) expense, net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(3,215)</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Segment 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1,366</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Reconciliation of profit or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Adjustments and reconciling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right"/>
              <w:rPr>
                <w:color w:val="000000"/>
              </w:rPr>
            </w:pPr>
            <w:r>
              <w:rPr>
                <w:color w:val="00000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Consolidated 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r>
    </w:tbl>
    <w:p>
      <w:pPr>
        <w:pStyle w:val="TextBody"/>
        <w:bidi w:val="0"/>
        <w:jc w:val="both"/>
        <w:rPr>
          <w:rFonts w:ascii="Times New Roman" w:hAnsi="Times New Roman"/>
          <w:color w:val="000000"/>
          <w:sz w:val="9"/>
        </w:rPr>
      </w:pPr>
      <w:r>
        <w:rPr>
          <w:rFonts w:ascii="Times New Roman" w:hAnsi="Times New Roman"/>
          <w:color w:val="000000"/>
          <w:sz w:val="9"/>
        </w:rPr>
        <w:t>_____________________________</w:t>
      </w:r>
    </w:p>
    <w:p>
      <w:pPr>
        <w:pStyle w:val="TextBody"/>
        <w:bidi w:val="0"/>
        <w:jc w:val="left"/>
        <w:rPr>
          <w:rFonts w:ascii="Times New Roman" w:hAnsi="Times New Roman"/>
          <w:color w:val="000000"/>
          <w:sz w:val="16"/>
        </w:rPr>
      </w:pPr>
      <w:r>
        <w:rPr>
          <w:rFonts w:ascii="Times New Roman" w:hAnsi="Times New Roman"/>
          <w:color w:val="000000"/>
          <w:sz w:val="16"/>
        </w:rPr>
        <w:t>(a) For the periods presented, amount consisted primarily of interest income.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measure of our chemical manufacturing segment assets is reported on the condensed consolidated balance sheet as total assets. Expenditures for long-lived chemical manufacturing segment assets are reported on our condensed consolidated statement of cash flows.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Asset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18, 2026, we acquired full ownership of the carbon capture and sequestration project currently underway at our El Dorado, Arkansas facility (the “Project”) from Lapis Carbon Solutions. The total purchase price and remaining completion capital associated with the Project are estimated at approximately $95 million. The acquisition was accounted for as an asset acquisition.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purchase and sale agreement for the acquisition, the contingent purchase consideration becomes payable in three separate installments upon achievement of three defined Project milestones and completion activities, none of which had occurred as of June 30, 2026. No amount of the purchase price was paid during the three and six months ended June 30, 2026. As of June 30, 2026, management concluded that the contractual conditions giving rise to the contingent purchase consideration had not met the applicable recognition criteria. Accordingly, no liability for the contingent purchase consideration has been recognized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incur development and construction costs associated with the Project, which are capitalized as incurred in accordance with the Company’s accounting policies. For the three and six months ended June 30, 2026, our cash expenditure on the Project was $10.8 million. This amount did not include any portion of the acquisition purchase price. We will recognize the contingent purchase consideration as an additional cost of the acquired assets when payment becomes probable and reasonably estimable.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u w:val="single"/>
        </w:rPr>
      </w:pPr>
      <w:bookmarkStart w:id="8" w:name="item_2_managements_discussion_analysis_f"/>
      <w:bookmarkEnd w:id="8"/>
      <w:r>
        <w:rPr>
          <w:rFonts w:ascii="Times New Roman" w:hAnsi="Times New Roman"/>
          <w:b/>
          <w:color w:val="000000"/>
          <w:sz w:val="20"/>
          <w:u w:val="single"/>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This discussion is intended to provide a reader of our financial statements with management’s perspective on our financial condition, results of operations, liquidity, and certain other factors that may affect our future results. Investors should read the following discussion and analysis in conjunction with the consolidated financial statements and related notes included in “</w:t>
      </w:r>
      <w:r>
        <w:rPr>
          <w:rFonts w:ascii="Times New Roman" w:hAnsi="Times New Roman"/>
          <w:i/>
          <w:color w:val="000000"/>
          <w:sz w:val="20"/>
        </w:rPr>
        <w:t>Item 1. Financial Statements</w:t>
      </w:r>
      <w:r>
        <w:rPr>
          <w:rFonts w:ascii="Times New Roman" w:hAnsi="Times New Roman"/>
          <w:color w:val="000000"/>
          <w:sz w:val="20"/>
        </w:rPr>
        <w:t>.” Notes referenced in this discussion and analysis refer to the notes to consolidated financial statements that are found in “</w:t>
      </w:r>
      <w:r>
        <w:rPr>
          <w:rFonts w:ascii="Times New Roman" w:hAnsi="Times New Roman"/>
          <w:i/>
          <w:color w:val="000000"/>
          <w:sz w:val="20"/>
        </w:rPr>
        <w:t>Item 1. Financial Statements—Notes to Condensed Consolidated Financial Statements</w:t>
      </w:r>
      <w:r>
        <w:rPr>
          <w:rFonts w:ascii="Times New Roman" w:hAnsi="Times New Roman"/>
          <w:color w:val="000000"/>
          <w:sz w:val="20"/>
        </w:rPr>
        <w:t>.” Certain statements contained in this discussion may be deemed to be forward-looking statements. See “</w:t>
      </w:r>
      <w:r>
        <w:rPr>
          <w:rFonts w:ascii="Times New Roman" w:hAnsi="Times New Roman"/>
          <w:i/>
          <w:color w:val="000000"/>
          <w:sz w:val="20"/>
        </w:rPr>
        <w:t>Special Note Regarding Forward-Looking Statements</w:t>
      </w:r>
      <w:r>
        <w:rPr>
          <w:rFonts w:ascii="Times New Roman" w:hAnsi="Times New Roman"/>
          <w:color w:val="000000"/>
          <w:sz w:val="20"/>
        </w:rPr>
        <w:t>.” Actual results could differ materially from those discussed in or implied by forward-looking statements as a result of various factors, including those discussed below and in our Annual Report on Form 10-K for the year ended December 31, 2025, particularly in the section entitled “</w:t>
      </w:r>
      <w:r>
        <w:rPr>
          <w:rFonts w:ascii="Times New Roman" w:hAnsi="Times New Roman"/>
          <w:i/>
          <w:color w:val="000000"/>
          <w:sz w:val="20"/>
        </w:rPr>
        <w:t>Risk Factors</w:t>
      </w:r>
      <w:r>
        <w:rPr>
          <w:rFonts w:ascii="Times New Roman" w:hAnsi="Times New Roman"/>
          <w:color w:val="000000"/>
          <w:sz w:val="20"/>
        </w:rPr>
        <w:t xml:space="preserve">.” Unless we state otherwise or the context otherwise requires, the terms “LSB,” “we,” “us,” “our” and the “Company” refer to LSB Industries, Inc. and its consolidated subsidiaries.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Overview</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LSB is headquartered in Oklahoma City, Oklahoma and we manufacture and sell chemical products for the agricultural and industrial markets. We own and operate three multi-plant facilities in Cherokee, Alabama (the “Cherokee Facility”), El Dorado, Arkansas (the “El Dorado Facility”) and Pryor, Oklahoma (the “Pryor Facility”) and operate a facility on behalf of Covestro LLC in Baytown, Texas. Our products are sold through distributors and directly to end customers primarily throughout the United States and other parts of North America.</w:t>
      </w:r>
    </w:p>
    <w:p>
      <w:pPr>
        <w:pStyle w:val="TextBody"/>
        <w:bidi w:val="0"/>
        <w:spacing w:before="120" w:after="120"/>
        <w:jc w:val="left"/>
        <w:rPr>
          <w:rFonts w:ascii="Times New Roman" w:hAnsi="Times New Roman"/>
          <w:sz w:val="20"/>
        </w:rPr>
      </w:pPr>
      <w:r>
        <w:rPr>
          <w:rFonts w:ascii="Times New Roman" w:hAnsi="Times New Roman"/>
          <w:b/>
          <w:color w:val="000000"/>
          <w:sz w:val="20"/>
        </w:rPr>
        <w:t>Key Operating Initiatives for 2026</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our future results of operations and financial condition to benefit from the following key initiatives: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i/>
          <w:color w:val="000000"/>
          <w:sz w:val="20"/>
        </w:rPr>
        <w:t>Invest to improve Environmental, Health &amp; Safety at our Facilities.</w:t>
      </w:r>
      <w:r>
        <w:rPr>
          <w:color w:val="000000"/>
        </w:rPr>
        <w:t xml:space="preserve"> </w:t>
      </w:r>
      <w:r>
        <w:rPr>
          <w:rFonts w:ascii="Times New Roman" w:hAnsi="Times New Roman"/>
          <w:color w:val="000000"/>
          <w:sz w:val="20"/>
        </w:rPr>
        <w:t>We prioritize high safety standards that not only enable us to protect what matters, which is the well-being of our employees, but also translates into improved plant performance. We remain focused on our safety programs to move closer to attaining zero injuries. We continue to invest additional capital across our facilities to build upon the progress we have made in implementing enhanced safety programs during the last several years.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Improve the Reliability at our Facilities while Supplying our Customers with Products of the Highest Quality. </w:t>
      </w:r>
      <w:r>
        <w:rPr>
          <w:rFonts w:ascii="Times New Roman" w:hAnsi="Times New Roman"/>
          <w:color w:val="000000"/>
          <w:sz w:val="20"/>
        </w:rPr>
        <w:t>Improving the reliability of our facilities while supplying customers with high-quality products remains a key operational focus. We have several initiatives underway aimed at increasing production volumes of ammonia and downstream products through improved operational execution and asset reliability. Progress in these areas is expected to support higher available production and improved unit cost performance over time, while we continue to maintain a strong focus on product quality and customer requirements.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Turnaround Excellence: </w:t>
      </w:r>
      <w:r>
        <w:rPr>
          <w:rFonts w:ascii="Times New Roman" w:hAnsi="Times New Roman"/>
          <w:color w:val="000000"/>
          <w:sz w:val="20"/>
        </w:rPr>
        <w:t>We will continue to focus on the safe and effective execution of scheduled Turnarounds, with an emphasis on schedule adherence, cost control, and minimizing operational risk. We will continue to apply our standardized Turnaround management practices across all sites, including our revised Turnaround standardization, to support consistent execution and long-term asset reliability.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second quarter we successfully completed an extensive and complex Turnaround of our El Dorado ammonia plant on time, within budget and injury free.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began Turnaround work at our Pryor Facility in the second quarter, accelerating the commencement date from its originally scheduled third quarter timeframe. The shift forward in the commencement of the Turnaround moved the majority of the costs and lost production from the Turnaround from the third quarter to the second quarter. The Turnaround at the Pryor Facility was completed during the third quarter.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Mechanical Integrity: </w:t>
      </w:r>
      <w:r>
        <w:rPr>
          <w:rFonts w:ascii="Times New Roman" w:hAnsi="Times New Roman"/>
          <w:color w:val="000000"/>
          <w:sz w:val="20"/>
        </w:rPr>
        <w:t>We will continue to enhance mechanical integrity through ongoing refinement of our inspection programs, with the objective of reducing fixed equipment failures and unplanned downtime.</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i/>
          <w:color w:val="000000"/>
          <w:sz w:val="20"/>
        </w:rPr>
        <w:t xml:space="preserve">Asset Care Strategies: </w:t>
      </w:r>
      <w:r>
        <w:rPr>
          <w:rFonts w:ascii="Times New Roman" w:hAnsi="Times New Roman"/>
          <w:color w:val="000000"/>
          <w:sz w:val="20"/>
        </w:rPr>
        <w:t>We will continue to advance our machinery and asset care strategies, with a focus on reducing unplanned downtime, optimizing the scope and duration of planned outages, and improving the effectiveness of startup operations.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Culture of Excellence</w:t>
      </w:r>
      <w:r>
        <w:rPr>
          <w:rFonts w:ascii="Times New Roman" w:hAnsi="Times New Roman"/>
          <w:color w:val="000000"/>
          <w:sz w:val="20"/>
        </w:rPr>
        <w:t>:</w:t>
      </w:r>
      <w:r>
        <w:rPr>
          <w:color w:val="000000"/>
        </w:rPr>
        <w:t xml:space="preserve"> </w:t>
      </w:r>
      <w:r>
        <w:rPr>
          <w:rFonts w:ascii="Times New Roman" w:hAnsi="Times New Roman"/>
          <w:color w:val="000000"/>
          <w:sz w:val="20"/>
        </w:rPr>
        <w:t xml:space="preserve">We will continue to strengthen operational discipline and accountability across the organization, supporting improved productivity and overall operational reliability.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i/>
          <w:color w:val="000000"/>
          <w:sz w:val="20"/>
        </w:rPr>
        <w:t>Advance Productivity Improvement.</w:t>
      </w:r>
      <w:r>
        <w:rPr>
          <w:color w:val="000000"/>
        </w:rPr>
        <w:t xml:space="preserve"> </w:t>
      </w:r>
      <w:r>
        <w:rPr>
          <w:rFonts w:ascii="Times New Roman" w:hAnsi="Times New Roman"/>
          <w:color w:val="000000"/>
          <w:sz w:val="20"/>
        </w:rPr>
        <w:t>We are accelerating productivity improvements through a comprehensive focus on fixed and variable cost optimization, procurement-driven savings, automation, and process changes with multiple initiatives underway to identify, assess, and pursue cost-reduction opportunities.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 xml:space="preserve">Continued Optimization and Increase the Breadth of Distribution of our Product Mix. </w:t>
      </w:r>
      <w:r>
        <w:rPr>
          <w:rFonts w:ascii="Times New Roman" w:hAnsi="Times New Roman"/>
          <w:color w:val="000000"/>
          <w:sz w:val="20"/>
        </w:rPr>
        <w:t>We have initiatives underway to increase the distribution of our products within our industrial and agricultural end markets, among other product mix optimization strategies. We believe that these initiatives and strategies, combined with continued expansion of our customer relationships, the robust market analysis capabilities we have developed, and the establishment of in-market tank storage and distribution terminals, will make us more effective in identifying and capitalizing on the most profitable distribution opportunities for our products, while making our financial results more stable and predictable. Additionally, we have completed and are advancing several capital improvement projects with the intention of increasing our sales volumes of higher value downstream products resulting in improvements in our overall profit margins.</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0"/>
        </w:rPr>
        <w:t xml:space="preserve">Grow Our Platform. </w:t>
      </w:r>
      <w:r>
        <w:rPr>
          <w:rFonts w:ascii="Times New Roman" w:hAnsi="Times New Roman"/>
          <w:color w:val="000000"/>
          <w:sz w:val="20"/>
        </w:rPr>
        <w:t>We continue to evaluate opportunities across all our facilities to increase production capacity through the implementation of several potential debottlenecking and other margin enhancement projects. Additionally, from time to time, we evaluate opportunities to acquire strategic assets or companies where we believe those acquisitions will enhance our value and provide attractive returns to our stockholders. We also consider assets and companies that can provide us with geographic expansion, extend an existing product line, add one or more new product lines, leverage our existing ammonia production capabilities, or complement our existing business lines, among other accretive opportunities.</w:t>
      </w:r>
    </w:p>
    <w:p>
      <w:pPr>
        <w:pStyle w:val="TextBody"/>
        <w:bidi w:val="0"/>
        <w:jc w:val="both"/>
        <w:rPr>
          <w:rFonts w:ascii="Times New Roman" w:hAnsi="Times New Roman"/>
          <w:b/>
          <w:color w:val="000000"/>
          <w:sz w:val="20"/>
        </w:rPr>
      </w:pPr>
      <w:r>
        <w:rPr>
          <w:rFonts w:ascii="Times New Roman" w:hAnsi="Times New Roman"/>
          <w:b/>
          <w:color w:val="000000"/>
          <w:sz w:val="20"/>
        </w:rPr>
        <w:t>Summary of Low Carbon Ammonia Initiatives</w:t>
      </w:r>
    </w:p>
    <w:p>
      <w:pPr>
        <w:pStyle w:val="TextBody"/>
        <w:bidi w:val="0"/>
        <w:spacing w:before="120" w:after="283"/>
        <w:jc w:val="left"/>
        <w:rPr>
          <w:rFonts w:ascii="Times New Roman" w:hAnsi="Times New Roman"/>
          <w:sz w:val="20"/>
        </w:rPr>
      </w:pPr>
      <w:r>
        <w:rPr>
          <w:rFonts w:ascii="Times New Roman" w:hAnsi="Times New Roman"/>
          <w:color w:val="000000"/>
          <w:sz w:val="20"/>
        </w:rPr>
        <w:t>In May 2026, we reached an agreement to assume full ownership of our project to capture and sequester CO</w:t>
      </w:r>
      <w:r>
        <w:rPr>
          <w:rFonts w:ascii="Times New Roman" w:hAnsi="Times New Roman"/>
          <w:color w:val="000000"/>
          <w:sz w:val="13"/>
        </w:rPr>
        <w:t xml:space="preserve">2 </w:t>
      </w:r>
      <w:r>
        <w:rPr>
          <w:rFonts w:ascii="Times New Roman" w:hAnsi="Times New Roman"/>
          <w:color w:val="000000"/>
          <w:sz w:val="20"/>
        </w:rPr>
        <w:t>at our El Dorado Facility (the “Project”) from Lapis Carbon Solutions (“Lapis”). The milestone-based structure of the agreement aligns our capital deployment with Project advancement, while limiting upfront capital exposure. The Project is expected to be completed and operational in the first quarter of 2027, subject to United States Environmental Protection Agency (“EPA”) approval of our Class VI permit, at which time CO</w:t>
      </w:r>
      <w:r>
        <w:rPr>
          <w:rFonts w:ascii="Times New Roman" w:hAnsi="Times New Roman"/>
          <w:color w:val="000000"/>
          <w:sz w:val="13"/>
        </w:rPr>
        <w:t>2</w:t>
      </w:r>
      <w:r>
        <w:rPr>
          <w:rFonts w:ascii="Times New Roman" w:hAnsi="Times New Roman"/>
          <w:color w:val="000000"/>
          <w:sz w:val="20"/>
        </w:rPr>
        <w:t xml:space="preserve"> injections are expected to begin.</w:t>
      </w:r>
    </w:p>
    <w:p>
      <w:pPr>
        <w:pStyle w:val="TextBody"/>
        <w:bidi w:val="0"/>
        <w:spacing w:before="120" w:after="283"/>
        <w:jc w:val="left"/>
        <w:rPr>
          <w:rFonts w:ascii="Times New Roman" w:hAnsi="Times New Roman"/>
          <w:sz w:val="20"/>
        </w:rPr>
      </w:pPr>
      <w:r>
        <w:rPr>
          <w:rFonts w:ascii="Times New Roman" w:hAnsi="Times New Roman"/>
          <w:color w:val="000000"/>
          <w:sz w:val="20"/>
        </w:rPr>
        <w:t>Once operational, the Project will initially capture and sequester approximately 400,000 to 500,000 metric tons of CO</w:t>
      </w:r>
      <w:r>
        <w:rPr>
          <w:rFonts w:ascii="Times New Roman" w:hAnsi="Times New Roman"/>
          <w:color w:val="000000"/>
          <w:sz w:val="13"/>
        </w:rPr>
        <w:t xml:space="preserve">2 </w:t>
      </w:r>
      <w:r>
        <w:rPr>
          <w:rFonts w:ascii="Times New Roman" w:hAnsi="Times New Roman"/>
          <w:color w:val="000000"/>
          <w:sz w:val="20"/>
        </w:rPr>
        <w:t>per year in underground saline aquifers. The sequestered CO</w:t>
      </w:r>
      <w:r>
        <w:rPr>
          <w:rFonts w:ascii="Times New Roman" w:hAnsi="Times New Roman"/>
          <w:color w:val="000000"/>
          <w:sz w:val="13"/>
        </w:rPr>
        <w:t xml:space="preserve">2 </w:t>
      </w:r>
      <w:r>
        <w:rPr>
          <w:rFonts w:ascii="Times New Roman" w:hAnsi="Times New Roman"/>
          <w:color w:val="000000"/>
          <w:sz w:val="20"/>
        </w:rPr>
        <w:t>is expected to reduce our overall scope 1 GHG emissions by approximately 25% from current levels. In addition, the Project is expected to enable us to produce between 305,000 and 380,000 metric tons per year of low carbon ammonia, a product that could potentially be sold at higher price levels than conventional ammonia.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Key Project milestones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2022, we entered into an agreement with Lapis to develop the Project.</w:t>
      </w:r>
    </w:p>
    <w:p>
      <w:pPr>
        <w:pStyle w:val="TextBody"/>
        <w:bidi w:val="0"/>
        <w:spacing w:before="120" w:after="160"/>
        <w:jc w:val="left"/>
        <w:rPr>
          <w:color w:val="000000"/>
        </w:rPr>
      </w:pPr>
      <w:r>
        <w:rPr>
          <w:color w:val="000000"/>
        </w:rPr>
        <w:t>•</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In February 2023, a pre-construction Class VI permit application was filed with the EPA. The EPA recognized the application as complete in March 2023 and is currently in the review process.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May 2024, we announced an agreement to supply, for a five-year period commencing January 1, 2025, up to 150,000 short tons per year of low carbon ammonium nitrate solution (“ANS”) to Freeport Minerals Corporation (“Freeport”). In early 2025, we began supplying conventional ANS to Freeport from our El Dorado Facility and expect to phase-in the low carbon contracted volume in early 2027, once the Project is operational. Freeport intends to use the low carbon ANS purchased from us for its United States copper mining operations.</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Times New Roman" w:hAnsi="Times New Roman"/>
          <w:color w:val="000000"/>
          <w:sz w:val="20"/>
        </w:rPr>
        <w:t>In June 2025, a stratigraphic injection well was drilled at the El Dorado site and data has been gathered to support the EPA in its continuing technical review of our Class VI application. The pre-construction Class VI permit application was resubmitted to the EPA in December 2025. Once the Project receives EPA approval, we intend to use this well for CO</w:t>
      </w:r>
      <w:r>
        <w:rPr>
          <w:rFonts w:ascii="Times New Roman" w:hAnsi="Times New Roman"/>
          <w:color w:val="000000"/>
          <w:sz w:val="13"/>
        </w:rPr>
        <w:t xml:space="preserve">2 </w:t>
      </w:r>
      <w:r>
        <w:rPr>
          <w:rFonts w:ascii="Times New Roman" w:hAnsi="Times New Roman"/>
          <w:color w:val="000000"/>
          <w:sz w:val="20"/>
        </w:rPr>
        <w:t>injections.</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rPr>
        <w:t>In May 2026, we reached an agreement to take full ownership of the Project. The sequestered CO₂ generated from the facility's ammonia production is expected to qualify for the enhanced federal tax credit, currently $85 per metric ton of CO</w:t>
      </w:r>
      <w:r>
        <w:rPr>
          <w:rFonts w:ascii="Times New Roman" w:hAnsi="Times New Roman"/>
          <w:color w:val="000000"/>
          <w:sz w:val="13"/>
        </w:rPr>
        <w:t>2</w:t>
      </w:r>
      <w:r>
        <w:rPr>
          <w:rFonts w:ascii="Times New Roman" w:hAnsi="Times New Roman"/>
          <w:color w:val="000000"/>
          <w:sz w:val="20"/>
        </w:rPr>
        <w:t>, under Internal Revenue Code Section 45Q. Based on expected capture volumes, the Company estimates the Project could generate approximately $25 million to $30 million of annual earnings when fully operational, net of operating costs, over the 12-year credit period, subject to continued qualification. Although the credits are expected to be recognized in earnings as they are earned, the timing of related cash inflows may vary depending on the tax credit monetization method selected. As a result, cash receipts may not coincide with earnings recognition.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 Outlook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Demand for our industrial products remains strong, including demand for AN, supported by continued mining-sector investment across North America and globally, as well as broader capital spending tied to AI-related infrastructure, data centers, power generation and electrification. Favorable supply / demand fundamentals, further supported by producer outages, continue to underpin both spot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contract pricing, while new mining and aggregate projects are expected to support medium to longer-term demand for explosives used in copper, iron ore, quarrying and infrastructure-related production.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industrial business provides a meaningful degree of downside protection from risks associated with economic uncertainty, including those related to tariffs, fluctuating oil and commodity prices, concerns about inflation and the ongoing instability in the Middle East, including the U.S.-Iran conflict. A significant portion of our volumes are already contracted, our customer base is diverse and located almost entirely in the United States, and we have the ability to optimize our product mix. In addition, we expect European marginal cost of production to be higher throughout the remainder of 2026, driven by elevated natural gas costs and a tight global market for nitrogen products, particularly as demand for fertilizers in India remains strong and export capacity from China and other sources continues to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fertilizer markets remain constructive as conditions continue to evolve following the Strait of Hormuz disruption earlier this year. Ammonia prices remain elevated relative to historical averages, although they have moderated from first-half highs as seasonal demand normalizes and supply conditions improve. Urea Ammonium Nitrate (UAN) pricing remains favorable even as prices normalize from elevated levels, with a constructive demand outlook expected to support increased demand in the second half of 2026. Other developments that could impact product pricing include the continued attacks affecting Russian nitrogen plants, ports, and ships, as well as the ongoing risk related to instability in the Middle East, including the U.S. – Iran conflict.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outlook for U.S. corn calls for approximately 95 million planted acres of corn for the 2026/2027 marketing season with global ending stocks projected to be at the lowest levels in over a decade supporting improved corn prices. We believe this will support strong fertilizer application rates and we anticipate robust nitrogen demand through the fall fertilizer application season.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Industry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Supply and Demand</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Industrial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industrial products sales volumes are dependent upon general economic conditions, primarily in the housing, automotive, mining and paper industries. Demand for our industrial products is robust across all commodities, particularly with copper and gold miners as they maximize production to take advantage of strong supply and demand fundamentals.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LDAN and AN solutions are primarily used to produce AN fuel oil and specialty emulsions for use in explosives in the quarry and the construction industries, for metals mining and to a lesser extent, for coal.</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Fertilizer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a farmer’s perspective, the demand for fertilizer is affected by the aggregate crop planting decisions including farm economics, weather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changes in corn prices, as well as soybean, cotton and wheat prices, can affect the number of acres of corn planted in a given year and the number of acres planted will drive the level of nitrogen fertilizer consumption, likely affecting fertilizer prices.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According to the World Agricultural Supply and Demand Estimates Report dated July 10, 2026 (the “July Report”), farmers planted approximately 95.3 million acres of corn in the 2026 planting season, down 3.5% compared to the 2025 planting season. According to the July Report, the U.S. Department of Agriculture (“USDA”) estimates the U.S. ending stocks for the 2026 Harvest will be approximately 45.5 million metric tons, a 11.3% decrease from the 2025 Harvest. The USDA's expected yield per acre for the 2026 Harvest is 183.0 bushels, down approximately 1.9% from a year ago.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July 2026 estimates are associated with the corn market:</w:t>
      </w:r>
    </w:p>
    <w:tbl>
      <w:tblPr>
        <w:tblW w:w="10205" w:type="dxa"/>
        <w:jc w:val="left"/>
        <w:tblInd w:w="0" w:type="dxa"/>
        <w:tblLayout w:type="fixed"/>
        <w:tblCellMar>
          <w:top w:w="28" w:type="dxa"/>
          <w:left w:w="28" w:type="dxa"/>
          <w:bottom w:w="28" w:type="dxa"/>
          <w:right w:w="28" w:type="dxa"/>
        </w:tblCellMar>
      </w:tblPr>
      <w:tblGrid>
        <w:gridCol w:w="3087"/>
        <w:gridCol w:w="146"/>
        <w:gridCol w:w="209"/>
        <w:gridCol w:w="979"/>
        <w:gridCol w:w="146"/>
        <w:gridCol w:w="146"/>
        <w:gridCol w:w="209"/>
        <w:gridCol w:w="979"/>
        <w:gridCol w:w="146"/>
        <w:gridCol w:w="146"/>
        <w:gridCol w:w="199"/>
        <w:gridCol w:w="717"/>
        <w:gridCol w:w="325"/>
        <w:gridCol w:w="209"/>
        <w:gridCol w:w="979"/>
        <w:gridCol w:w="146"/>
        <w:gridCol w:w="146"/>
        <w:gridCol w:w="218"/>
        <w:gridCol w:w="698"/>
        <w:gridCol w:w="375"/>
      </w:tblGrid>
      <w:tr>
        <w:trPr/>
        <w:tc>
          <w:tcPr>
            <w:tcW w:w="3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2027 Crop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Crop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Crop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Harvest)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Harvest)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Harvest)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Report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Report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Report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(3)</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Area Planted </w:t>
            </w:r>
            <w:r>
              <w:rPr>
                <w:rFonts w:ascii="Times New Roman" w:hAnsi="Times New Roman"/>
                <w:i/>
                <w:color w:val="000000"/>
                <w:sz w:val="16"/>
              </w:rPr>
              <w:t>(Million acres)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Yield per Acre </w:t>
            </w:r>
            <w:r>
              <w:rPr>
                <w:rFonts w:ascii="Times New Roman" w:hAnsi="Times New Roman"/>
                <w:i/>
                <w:color w:val="000000"/>
                <w:sz w:val="16"/>
              </w:rPr>
              <w:t>(Bushels)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Production </w:t>
            </w:r>
            <w:r>
              <w:rPr>
                <w:rFonts w:ascii="Times New Roman" w:hAnsi="Times New Roman"/>
                <w:i/>
                <w:color w:val="000000"/>
                <w:sz w:val="16"/>
              </w:rPr>
              <w:t>(Million bushels)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Ending Stocks </w:t>
            </w:r>
            <w:r>
              <w:rPr>
                <w:rFonts w:ascii="Times New Roman" w:hAnsi="Times New Roman"/>
                <w:i/>
                <w:color w:val="000000"/>
                <w:sz w:val="16"/>
              </w:rPr>
              <w:t>(Million metric tons)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World Ending Stocks </w:t>
            </w:r>
            <w:r>
              <w:rPr>
                <w:rFonts w:ascii="Times New Roman" w:hAnsi="Times New Roman"/>
                <w:i/>
                <w:color w:val="000000"/>
                <w:sz w:val="16"/>
              </w:rPr>
              <w:t>(Million metric tons)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obtained from the July Report for the 2026/2027 (“2027 Crop”), 2025/2026 (“2026 Crop”) and 2024/2025 (“2025 Crop”) corn marketing years. The marketing year is the twelve-month period during which a crop normally is marketed. For example, the marketing year for the current corn crop is from September 1 of the current year to August 31 of the next year. The year begins at the harvest and continues until just before harvest of the following year.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the percentage change between the 2027 Crop amounts compared to the 2026 Crop amounts.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Represents the percentage change between the 2027 Crop amounts compared to the 2025 Crop amounts.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current USDA corn outlook compared to the prior report for the U.S. is for smaller supplies, greater exports, and reduced ending stocks. Corn beginning stocks were reduced reflecting an increase in feed and residual use that is partly offset by a reduction in corn used for ethanol. The yield is unchanged at 183.0 bushels per acre from the prior month’s report.</w:t>
      </w:r>
    </w:p>
    <w:p>
      <w:pPr>
        <w:pStyle w:val="TextBody"/>
        <w:bidi w:val="0"/>
        <w:jc w:val="left"/>
        <w:rPr>
          <w:rFonts w:ascii="Times New Roman" w:hAnsi="Times New Roman"/>
          <w:b/>
          <w:i/>
          <w:color w:val="000000"/>
          <w:sz w:val="20"/>
        </w:rPr>
      </w:pPr>
      <w:r>
        <w:rPr>
          <w:rFonts w:ascii="Times New Roman" w:hAnsi="Times New Roman"/>
          <w:b/>
          <w:i/>
          <w:color w:val="000000"/>
          <w:sz w:val="20"/>
        </w:rPr>
        <w:t>Natural Gas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gas is the primary resource for conversion and manufacturing production of our nitrogen products.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Historically, we have purchased natural gas either on the spot market, through forward purchase contracts, or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gas costs increased during the February settlement period primarily due to elevated market prices driven by Winter Storm Fern, which caused significant weather-related supply constraints and heightened regional demand, resulting in a higher average cost of natural gas for the period. Since that time, natural gas prices have moderated as market conditions normalized and weather-related constraints eased.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shows the volume of natural gas utilized to produce the goods we sold and the associated average cost per MMBtu:</w:t>
      </w:r>
    </w:p>
    <w:tbl>
      <w:tblPr>
        <w:tblW w:w="6125" w:type="dxa"/>
        <w:jc w:val="left"/>
        <w:tblInd w:w="0" w:type="dxa"/>
        <w:tblLayout w:type="fixed"/>
        <w:tblCellMar>
          <w:top w:w="28" w:type="dxa"/>
          <w:left w:w="28" w:type="dxa"/>
          <w:bottom w:w="28" w:type="dxa"/>
          <w:right w:w="28" w:type="dxa"/>
        </w:tblCellMar>
      </w:tblPr>
      <w:tblGrid>
        <w:gridCol w:w="3526"/>
        <w:gridCol w:w="146"/>
        <w:gridCol w:w="290"/>
        <w:gridCol w:w="641"/>
        <w:gridCol w:w="200"/>
        <w:gridCol w:w="200"/>
        <w:gridCol w:w="290"/>
        <w:gridCol w:w="641"/>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volumes (MMBtu 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average cost per MMBtu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Transportation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for transporting nitrogen-based products can be significant relative to their selling price. We continue to evaluate the rising costs of freight domestically. As a result of increases in demand for available rail, truck and barge options to transport product, primarily during the spring and fall planting seasons, higher transportation costs have and could continue to impact our margins, where we are unable to fully pass through these costs to our customers. Additionally, truck driver shortages could impact our ability to fulfill customer demand. As a result, we continue to evaluate supply chain efficiencies to reduce or counter the impact of higher logistics costs.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Operational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Facility Reliability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Consistent, reliable and safe operations at our chemical plants are critical to our financial performance and results of operations. Planned downtime, including a planned major maintenance activity (each such activity, a “Turnaround”), and unplanned downtime can adversely affect results of operations through reduced sales volumes, lower fixed cost absorption, and increased repair and maintenance costs, which are expensed as incurred.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recently completed the scheduled ammonia plant Turnaround at our El Dorado Facility, which commenced during the second quarter of 2026. Additionally, we made the decision to pull forward the commencement of scheduled Turnaround work at our Pryor Facility from the third quarter into the second quarter of 2026. We did not perform any major planned ammonia Turnaround events during 2025. </w:t>
      </w:r>
    </w:p>
    <w:p>
      <w:pPr>
        <w:pStyle w:val="TextBody"/>
        <w:bidi w:val="0"/>
        <w:spacing w:before="120" w:after="283"/>
        <w:jc w:val="left"/>
        <w:rPr>
          <w:rFonts w:ascii="Times New Roman" w:hAnsi="Times New Roman"/>
          <w:sz w:val="20"/>
        </w:rPr>
      </w:pPr>
      <w:r>
        <w:rPr>
          <w:rFonts w:ascii="Times New Roman" w:hAnsi="Times New Roman"/>
          <w:b/>
          <w:i/>
          <w:color w:val="000000"/>
          <w:sz w:val="20"/>
        </w:rPr>
        <w:t>Ammonia Production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Ammonia is the basic product used to produce all of our upgraded products. The ammonia production rates of our plants affect the total cost per ton of each product produced and the overall sales of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2026, we are targeting total ammonia production of approximately 780,000 tons to 810,000 tons, which reflects planned Turnaround work at our El Dorado and Pryor Facilities during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Forward Sales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certain instances, we may use forward sales of our fertilizer products to optimize our asset utilization, planning process and production scheduling. These sales are made by offering customers the opportunity to purchase product on a forward basis at prices and delivery dates that are agreed upon, with dates typically occurring within 12 months.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Consolidated Results of the Second Quarter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net sales for the second quarter of 2026 were $168.1 million compared to $151.3 million for the same period in 2025. Our consolidated operating loss for the second quarter of 2026 was $2.7 million compared to operating income of $10.5 million for the same period in 2025. The items impacting our operating results are discussed in more detail below and under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Items Affecting Comparability of Results of the Second Quarter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Selling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second quarter of 2026, average selling prices for all of our major products increased compared to the second quarter of 2025.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Turnaround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above, during the second quarter of 2026, we performed major Turnaround activities at our El Dorado Facility and started a full plant Turnaround at our Pryor Facility. The Pryor Facility Turnaround was completed during the third quarter of 2026. When such activities are performed, overall results are negatively impacted. This impact includes lost contribution margin from lost sales, lost fixed cost absorption from lower production, and increased costs associated with repairs and maintenance. In addition, Turnaround-related costs may be incurred in periods earlier than the actual outage of the plant for activities such as planning and procurement of materials. Turnaround costs for the three months ended June 30, 2026 and 2025, were $28.8 million and $2.6 million, respectively, while Turnaround costs for the six months ended June 30, 2026 and 2025, were $32.7 million and $4.6 million, respectively.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Chief Executive Officer One-Time Retention Award (2026 only)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second quarter of 2026,we granted a one-time retention award of 706,880 restricted stock units (“RSUs”) to Mark T. Behrman, our Chief Executive Officer, which award is subject to cliff vesting and will vest on March 31, 2029. This award will increase stock-based compensation expense on a quarterly basis by approximately $0.9 million. See our discussion in “Equity Awards” in Note 1.</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Plant, Property and Equipment Impairments (2025 only)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second quarter of 2025, we recorded asset write-downs primarily related to assets no longer in use in the amount of $2.5 million. These write-downs are included in “Other expense, net” on our condensed consolidated statements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Loss on Extinguishment of Senior Secured Notes (2025 only)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second quarter of 2025 we repurchased $32.4 million in principal amount of our Senior Secured Notes due 2028 (“Senior Secured Notes”) for approximately $32.1 million, which was accounted for as an extinguishment of debt. Including our write-off of the associated remaining portion of unamortized debt issuance costs, we recognized a loss on extinguishment of debt of approximately $0.1 million.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Shift in Production Mix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2025, we transitioned our production from fertilizer grade ammonium nitrate (“HDAN”), an agricultural product, to ANS, a product used in industrial and mining applications. The transition was completed during the third quarter of 2025, at which time we ceased production of HDAN. This shift in production mix is consistent with our strategy to transition a portion of our sales from agricultural sales made at spot market pricing, which can be volatile, to sales under multi-year contracts that provide the pass-through of natural gas feedstock costs.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discussion and analysis of our condensed consolidated results of operations for the three and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to unaffiliated customers are reported in the condensed consolidated financial statements. Gross profit represents net sales less cost of sales. Net sales are reported on a gross basis with the cost of freight being recorded in cost of sales.</w:t>
      </w:r>
    </w:p>
    <w:p>
      <w:pPr>
        <w:pStyle w:val="TextBody"/>
        <w:bidi w:val="0"/>
        <w:spacing w:before="120" w:after="283"/>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Three Months Ended June 30, 2026 Compared to Three Months Ended June 30, 2025</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sets forth certain financial information for the three months ended June 30, 2026 and 2025, the increase or decrease between those periods, and the percentage increase or decrease between those periods with respect to each line item:</w:t>
      </w:r>
    </w:p>
    <w:tbl>
      <w:tblPr>
        <w:tblW w:w="10205" w:type="dxa"/>
        <w:jc w:val="left"/>
        <w:tblInd w:w="0" w:type="dxa"/>
        <w:tblLayout w:type="fixed"/>
        <w:tblCellMar>
          <w:top w:w="28" w:type="dxa"/>
          <w:left w:w="28" w:type="dxa"/>
          <w:bottom w:w="28" w:type="dxa"/>
          <w:right w:w="28" w:type="dxa"/>
        </w:tblCellMar>
      </w:tblPr>
      <w:tblGrid>
        <w:gridCol w:w="4205"/>
        <w:gridCol w:w="146"/>
        <w:gridCol w:w="211"/>
        <w:gridCol w:w="781"/>
        <w:gridCol w:w="331"/>
        <w:gridCol w:w="146"/>
        <w:gridCol w:w="211"/>
        <w:gridCol w:w="781"/>
        <w:gridCol w:w="331"/>
        <w:gridCol w:w="146"/>
        <w:gridCol w:w="211"/>
        <w:gridCol w:w="736"/>
        <w:gridCol w:w="331"/>
        <w:gridCol w:w="146"/>
        <w:gridCol w:w="235"/>
        <w:gridCol w:w="681"/>
        <w:gridCol w:w="576"/>
      </w:tblGrid>
      <w:tr>
        <w:trPr/>
        <w:tc>
          <w:tcPr>
            <w:tcW w:w="42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69,539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61,707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42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62,488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52,262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42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Ammonia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10,554</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42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168,092</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151,296</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16,796</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4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Depreciation and amortization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4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Turnaround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4205"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Adjusted gross profit </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62,140</w:t>
            </w:r>
          </w:p>
        </w:tc>
        <w:tc>
          <w:tcPr>
            <w:tcW w:w="3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46,429</w:t>
            </w:r>
          </w:p>
        </w:tc>
        <w:tc>
          <w:tcPr>
            <w:tcW w:w="3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15,711</w:t>
            </w:r>
          </w:p>
        </w:tc>
        <w:tc>
          <w:tcPr>
            <w:tcW w:w="3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42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4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Non-operating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42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(9,195</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Gross profit percentage </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Adjusted gross profit percentage </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plant and equipment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29,265</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10,785</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Development of carbon capture and sequestration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10,819</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10,819</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_____________________________</w:t>
      </w:r>
    </w:p>
    <w:p>
      <w:pPr>
        <w:pStyle w:val="TextBody"/>
        <w:bidi w:val="0"/>
        <w:jc w:val="left"/>
        <w:rPr>
          <w:rFonts w:ascii="Times New Roman" w:hAnsi="Times New Roman"/>
          <w:color w:val="000000"/>
          <w:sz w:val="17"/>
        </w:rPr>
      </w:pPr>
      <w:r>
        <w:rPr>
          <w:rFonts w:ascii="Times New Roman" w:hAnsi="Times New Roman"/>
          <w:color w:val="000000"/>
          <w:sz w:val="17"/>
        </w:rPr>
        <w:t>N/M-Not meaningful.</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1.</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Represents amount classified as cost of sales.</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2.</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Represents a non-GAAP measure since the amount excludes unallocated depreciation, amortization and Turnaround expenses.</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3.</w:t>
      </w:r>
    </w:p>
    <w:p>
      <w:pPr>
        <w:pStyle w:val="TextBody"/>
        <w:bidi w:val="0"/>
        <w:jc w:val="left"/>
        <w:rPr>
          <w:rFonts w:ascii="Times New Roman" w:hAnsi="Times New Roman"/>
          <w:color w:val="000000"/>
          <w:sz w:val="17"/>
        </w:rPr>
      </w:pPr>
      <w:r>
        <w:rPr>
          <w:rFonts w:ascii="Times New Roman" w:hAnsi="Times New Roman"/>
          <w:color w:val="000000"/>
          <w:sz w:val="17"/>
        </w:rPr>
        <w:t>As a percentage of the total net sales.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tables provide key operating metrics for the fertilizer and major industrial products, the increase or decrease between those periods, and the percentage increase or decrease between those periods with respect to each line item:</w:t>
      </w:r>
    </w:p>
    <w:tbl>
      <w:tblPr>
        <w:tblW w:w="8384" w:type="dxa"/>
        <w:jc w:val="left"/>
        <w:tblInd w:w="0" w:type="dxa"/>
        <w:tblLayout w:type="fixed"/>
        <w:tblCellMar>
          <w:top w:w="28" w:type="dxa"/>
          <w:left w:w="28" w:type="dxa"/>
          <w:bottom w:w="28" w:type="dxa"/>
          <w:right w:w="28" w:type="dxa"/>
        </w:tblCellMar>
      </w:tblPr>
      <w:tblGrid>
        <w:gridCol w:w="2796"/>
        <w:gridCol w:w="146"/>
        <w:gridCol w:w="154"/>
        <w:gridCol w:w="824"/>
        <w:gridCol w:w="154"/>
        <w:gridCol w:w="154"/>
        <w:gridCol w:w="154"/>
        <w:gridCol w:w="824"/>
        <w:gridCol w:w="146"/>
        <w:gridCol w:w="146"/>
        <w:gridCol w:w="146"/>
        <w:gridCol w:w="736"/>
        <w:gridCol w:w="166"/>
        <w:gridCol w:w="146"/>
        <w:gridCol w:w="256"/>
        <w:gridCol w:w="660"/>
        <w:gridCol w:w="776"/>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Product (tons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179,339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35,667</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345,824</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tbl>
      <w:tblPr>
        <w:tblW w:w="8313" w:type="dxa"/>
        <w:jc w:val="left"/>
        <w:tblInd w:w="0" w:type="dxa"/>
        <w:tblLayout w:type="fixed"/>
        <w:tblCellMar>
          <w:top w:w="28" w:type="dxa"/>
          <w:left w:w="28" w:type="dxa"/>
          <w:bottom w:w="28" w:type="dxa"/>
          <w:right w:w="28" w:type="dxa"/>
        </w:tblCellMar>
      </w:tblPr>
      <w:tblGrid>
        <w:gridCol w:w="3166"/>
        <w:gridCol w:w="146"/>
        <w:gridCol w:w="307"/>
        <w:gridCol w:w="613"/>
        <w:gridCol w:w="212"/>
        <w:gridCol w:w="212"/>
        <w:gridCol w:w="307"/>
        <w:gridCol w:w="613"/>
        <w:gridCol w:w="146"/>
        <w:gridCol w:w="146"/>
        <w:gridCol w:w="220"/>
        <w:gridCol w:w="441"/>
        <w:gridCol w:w="146"/>
        <w:gridCol w:w="146"/>
        <w:gridCol w:w="289"/>
        <w:gridCol w:w="627"/>
        <w:gridCol w:w="57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Gross Average Selling Prices (price per 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208" w:type="dxa"/>
        <w:jc w:val="left"/>
        <w:tblInd w:w="0" w:type="dxa"/>
        <w:tblLayout w:type="fixed"/>
        <w:tblCellMar>
          <w:top w:w="28" w:type="dxa"/>
          <w:left w:w="28" w:type="dxa"/>
          <w:bottom w:w="28" w:type="dxa"/>
          <w:right w:w="28" w:type="dxa"/>
        </w:tblCellMar>
      </w:tblPr>
      <w:tblGrid>
        <w:gridCol w:w="3046"/>
        <w:gridCol w:w="146"/>
        <w:gridCol w:w="307"/>
        <w:gridCol w:w="613"/>
        <w:gridCol w:w="212"/>
        <w:gridCol w:w="212"/>
        <w:gridCol w:w="307"/>
        <w:gridCol w:w="613"/>
        <w:gridCol w:w="146"/>
        <w:gridCol w:w="146"/>
        <w:gridCol w:w="220"/>
        <w:gridCol w:w="441"/>
        <w:gridCol w:w="146"/>
        <w:gridCol w:w="146"/>
        <w:gridCol w:w="289"/>
        <w:gridCol w:w="627"/>
        <w:gridCol w:w="5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Average Benchmark Prices (price per 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Tampa Ammonia Benchmark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NOLA UAN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recorded net sales of $168.1 million during the second quarter of 2026 compared to $151.3 million for the second quarter of 2025, representing an increase of $16.8 million. The increase was primarily due to higher sales prices on all our products partially offset by volume decreases resulting from of Turnarounds at two of our facilities. In addition to the impact of the Turnarounds, UAN volumes were lower as production shifted to AN and Nitric Acid as part of our product mix strategy in response to tight market conditions.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Gross Profit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recognized a gross profit of $11.5 million for the second quarter of 2026 compared to $23.2 million for the same period in 2025, or an $11.7 million reduction. Overall, our gross profit percentage for the second quarter of 2026 was 6.8% compared to 15.3% for the same period in 2025. Our adjusted gross profit percentage increased to 37.0% for the second quarter of 2026 from 30.7% for the second quarter of 2025. Our gross profit for the second quarter of 2026 was lower compared to the same period of 2025 primarily due to the cost of the two major Turnarounds, partially offset by an increase in sales, as discussed above.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SG&amp;A expenses were higher for the second quarter of 2026 compared to the same period of 2025, primarily due to an increase in salaries and wages, short term incentive compensation, stock-based compensation from a one-time retention grant (see “Equity Awards” in Note 1) and professional fees.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net, during the second quarter of 2026 consisted primarily of asset write-offs partially offset by sales and use tax recoveries resulting from our ongoing review whereas other expense, net, during the second quarter of 2025 consisted primarily of asset write-downs.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for the second quarter of 2026 was $7.1 million compared to $7.9 million for the same period in 2025. The decrease was primarily due to a lower outstanding balance on our Senior Secured Notes as a result of repurchases in 2025.</w:t>
      </w:r>
    </w:p>
    <w:p>
      <w:pPr>
        <w:pStyle w:val="TextBody"/>
        <w:bidi w:val="0"/>
        <w:spacing w:before="120" w:after="283"/>
        <w:jc w:val="left"/>
        <w:rPr>
          <w:rFonts w:ascii="Times New Roman" w:hAnsi="Times New Roman"/>
          <w:sz w:val="20"/>
        </w:rPr>
      </w:pPr>
      <w:r>
        <w:rPr>
          <w:rFonts w:ascii="Times New Roman" w:hAnsi="Times New Roman"/>
          <w:b/>
          <w:i/>
          <w:color w:val="000000"/>
          <w:sz w:val="20"/>
        </w:rPr>
        <w:t>Loss on Extinguishment of 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second quarter of 2025, we repurchased $32.4 million in principal amount of our Senior Secured Notes for approximately $32.1 million, which was accounted for as an extinguishment of debt. Including our write-off of the associated remaining portion of unamortized debt issuance costs, we recognized a loss on extinguishment of debt of approximately $0.1 million. There were no repurchases during the second quarter of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Non-operating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Non-operating other income, net for the second quarter of 2026 was $1.7 million compared to $1.5 million for the same period of 2025, primarily related to interest income earned during both periods from our short-term investments. Our average short-term investments balance including cash equivalents, was higher during the second quarter of 2026 but interest rates were lower during this period compared to the second quarter of 2025.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(Benefit) 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benefit for income taxes for the second quarter of 2026 was $1.9 million compared to a provision for income taxes of $1.1 million for the same period of 2025. The resulting effective tax rate for the second quarter of 2026 was a benefit on pre-tax loss of 23.7% compared to a provision for income taxes of 26.5% for the same period of 2025. For the second quarter of 2026, the effective tax rate was higher than the statutory rate primarily due to state taxes and deferred benefits from state tax law changes, partially offset by nondeductible compensation expense. For the second quarter of 2025, the effective tax rate was higher than the statutory rate primarily due to nondeductible compensation expense and state taxes. See discussion in Note 7.</w:t>
      </w:r>
    </w:p>
    <w:p>
      <w:pPr>
        <w:pStyle w:val="TextBody"/>
        <w:bidi w:val="0"/>
        <w:spacing w:before="120" w:after="283"/>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Six Months Ended June 30, 2026 Compared to Six Months Ended June 30, 2025</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contains certain financial information for the six months ended June 30, 2026 and 2025, the increase or decrease between those periods, and the percentage increase or decrease between those periods with respect to each line item:</w:t>
      </w:r>
    </w:p>
    <w:tbl>
      <w:tblPr>
        <w:tblW w:w="10205" w:type="dxa"/>
        <w:jc w:val="left"/>
        <w:tblInd w:w="0" w:type="dxa"/>
        <w:tblLayout w:type="fixed"/>
        <w:tblCellMar>
          <w:top w:w="28" w:type="dxa"/>
          <w:left w:w="28" w:type="dxa"/>
          <w:bottom w:w="28" w:type="dxa"/>
          <w:right w:w="28" w:type="dxa"/>
        </w:tblCellMar>
      </w:tblPr>
      <w:tblGrid>
        <w:gridCol w:w="4275"/>
        <w:gridCol w:w="146"/>
        <w:gridCol w:w="211"/>
        <w:gridCol w:w="781"/>
        <w:gridCol w:w="331"/>
        <w:gridCol w:w="146"/>
        <w:gridCol w:w="211"/>
        <w:gridCol w:w="781"/>
        <w:gridCol w:w="331"/>
        <w:gridCol w:w="146"/>
        <w:gridCol w:w="211"/>
        <w:gridCol w:w="676"/>
        <w:gridCol w:w="331"/>
        <w:gridCol w:w="146"/>
        <w:gridCol w:w="235"/>
        <w:gridCol w:w="681"/>
        <w:gridCol w:w="566"/>
      </w:tblGrid>
      <w:tr>
        <w:trPr/>
        <w:tc>
          <w:tcPr>
            <w:tcW w:w="42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144,886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119,325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427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111,659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96,127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Ammonia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62,325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60,102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427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18,709</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19,174</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337,579</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294,728</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42,851</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4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37,557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427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Depreciation and amortization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42,725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Turnaround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28,061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427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color w:val="000000"/>
              </w:rPr>
              <w:t>  </w:t>
            </w:r>
            <w:r>
              <w:rPr>
                <w:rFonts w:ascii="Times New Roman" w:hAnsi="Times New Roman"/>
                <w:color w:val="000000"/>
                <w:sz w:val="20"/>
              </w:rPr>
              <w:t xml:space="preserve">Adjusted gross profit </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122,675</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82,871</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39,804</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7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4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(4,848</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13,496</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12,130</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4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7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Gross profit percentage </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Adjusted gross profit percentage </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7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plant and equipment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46,241</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39,347</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6,894</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Development of carbon capture and sequestration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10,819</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10,819</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_____________________________</w:t>
      </w:r>
    </w:p>
    <w:p>
      <w:pPr>
        <w:pStyle w:val="TextBody"/>
        <w:bidi w:val="0"/>
        <w:jc w:val="left"/>
        <w:rPr>
          <w:rFonts w:ascii="Times New Roman" w:hAnsi="Times New Roman"/>
          <w:color w:val="000000"/>
          <w:sz w:val="17"/>
        </w:rPr>
      </w:pPr>
      <w:r>
        <w:rPr>
          <w:rFonts w:ascii="Times New Roman" w:hAnsi="Times New Roman"/>
          <w:color w:val="000000"/>
          <w:sz w:val="17"/>
        </w:rPr>
        <w:t>N/M-Not meaningful.</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1.</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Represents amount classified as cost of sales.</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2.</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Represents a non-GAAP measure since the amount excludes unallocated depreciation, amortization and Turnaround expenses.</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3.</w:t>
      </w:r>
    </w:p>
    <w:p>
      <w:pPr>
        <w:pStyle w:val="TextBody"/>
        <w:bidi w:val="0"/>
        <w:jc w:val="left"/>
        <w:rPr>
          <w:rFonts w:ascii="Times New Roman" w:hAnsi="Times New Roman"/>
          <w:color w:val="000000"/>
          <w:sz w:val="17"/>
        </w:rPr>
      </w:pPr>
      <w:r>
        <w:rPr>
          <w:rFonts w:ascii="Times New Roman" w:hAnsi="Times New Roman"/>
          <w:color w:val="000000"/>
          <w:sz w:val="17"/>
        </w:rPr>
        <w:t>As a percentage of the total net sales.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tables provide key operating metrics for the fertilizer and major industrial products, the increase or decrease between those periods, and the percentage increase or decrease between those periods with respect to each line item:</w:t>
      </w:r>
    </w:p>
    <w:tbl>
      <w:tblPr>
        <w:tblW w:w="7145" w:type="dxa"/>
        <w:jc w:val="left"/>
        <w:tblInd w:w="0" w:type="dxa"/>
        <w:tblLayout w:type="fixed"/>
        <w:tblCellMar>
          <w:top w:w="28" w:type="dxa"/>
          <w:left w:w="28" w:type="dxa"/>
          <w:bottom w:w="28" w:type="dxa"/>
          <w:right w:w="28" w:type="dxa"/>
        </w:tblCellMar>
      </w:tblPr>
      <w:tblGrid>
        <w:gridCol w:w="2796"/>
        <w:gridCol w:w="146"/>
        <w:gridCol w:w="946"/>
        <w:gridCol w:w="177"/>
        <w:gridCol w:w="946"/>
        <w:gridCol w:w="146"/>
        <w:gridCol w:w="796"/>
        <w:gridCol w:w="146"/>
        <w:gridCol w:w="1046"/>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Product (tons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Change</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357,201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14 %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259,441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(14)%</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101,707</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(27)%</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718,349</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751,884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bl>
    <w:p>
      <w:pPr>
        <w:pStyle w:val="TextBody"/>
        <w:bidi w:val="0"/>
        <w:jc w:val="left"/>
        <w:rPr/>
      </w:pPr>
      <w:r>
        <w:rPr/>
        <w:t> </w:t>
      </w:r>
    </w:p>
    <w:tbl>
      <w:tblPr>
        <w:tblW w:w="7296" w:type="dxa"/>
        <w:jc w:val="left"/>
        <w:tblInd w:w="0" w:type="dxa"/>
        <w:tblLayout w:type="fixed"/>
        <w:tblCellMar>
          <w:top w:w="28" w:type="dxa"/>
          <w:left w:w="28" w:type="dxa"/>
          <w:bottom w:w="28" w:type="dxa"/>
          <w:right w:w="28" w:type="dxa"/>
        </w:tblCellMar>
      </w:tblPr>
      <w:tblGrid>
        <w:gridCol w:w="3166"/>
        <w:gridCol w:w="146"/>
        <w:gridCol w:w="909"/>
        <w:gridCol w:w="252"/>
        <w:gridCol w:w="909"/>
        <w:gridCol w:w="146"/>
        <w:gridCol w:w="661"/>
        <w:gridCol w:w="146"/>
        <w:gridCol w:w="96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Gross Average Selling Prices (price per 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Change</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34 %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176" w:type="dxa"/>
        <w:jc w:val="left"/>
        <w:tblInd w:w="0" w:type="dxa"/>
        <w:tblLayout w:type="fixed"/>
        <w:tblCellMar>
          <w:top w:w="28" w:type="dxa"/>
          <w:left w:w="28" w:type="dxa"/>
          <w:bottom w:w="28" w:type="dxa"/>
          <w:right w:w="28" w:type="dxa"/>
        </w:tblCellMar>
      </w:tblPr>
      <w:tblGrid>
        <w:gridCol w:w="3046"/>
        <w:gridCol w:w="146"/>
        <w:gridCol w:w="909"/>
        <w:gridCol w:w="252"/>
        <w:gridCol w:w="909"/>
        <w:gridCol w:w="146"/>
        <w:gridCol w:w="661"/>
        <w:gridCol w:w="146"/>
        <w:gridCol w:w="96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0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Average Benchmark Prices (price per 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Change</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Tampa Ammonia Benchmark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55 %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NOLA UAN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of our primary products increased during the first half of 2026 compared to the prior year period primarily due to higher sales prices on all our products partially offset by volume decreases resulting from Turnarounds at two of our facilities. In addition to the impact of the Turnarounds, UAN volumes were lower as production shifted to AN and Nitric Acid as part of our product mix strategy in response to current market conditions, while ammonia volumes were lower as more was utilized downstream on upgraded product.</w:t>
      </w:r>
    </w:p>
    <w:p>
      <w:pPr>
        <w:pStyle w:val="TextBody"/>
        <w:bidi w:val="0"/>
        <w:spacing w:before="12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noted in the table above, we recognized a gross profit of $47.3 million for the first half of 2026 compared to $37.6 million for the same period in 2025, a $9.7 million increase. Overall, our gross profit percentage was 14.0% compared to a gross profit percentage of 12.7% for the same period in 2025. Our adjusted gross profit percentage was 36.3% for the first half of 2026 compared to 28.1% for the same period in 2025. Our gross profit for the first half of 2026 was higher compared to the same period of 2025 primarily due to the increase in sales discussed above, partially offset by Turnaround costs, higher natural gas and sulfur costs and higher depreciation due to recent investments in our facilities.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SG&amp;A expenses were higher for the first half of 2026 compared to the same period of 2025, primarily due to an increase in salaries and wages, short-term incentive compensation and stock-based compensation (see discussion of the Side Letter and retention grant within “Equity Awards” in Note 1) and professional fees.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for the first half of 2026 was $14.2 million compared to $16.0 million for the same period in 2025. The decrease primarily related to reduced interest expense as a result of repurchases of Senior Secured Notes made during the second and fourth quarters of 2025.</w:t>
      </w:r>
    </w:p>
    <w:p>
      <w:pPr>
        <w:pStyle w:val="TextBody"/>
        <w:bidi w:val="0"/>
        <w:spacing w:before="120" w:after="283"/>
        <w:jc w:val="left"/>
        <w:rPr>
          <w:rFonts w:ascii="Times New Roman" w:hAnsi="Times New Roman"/>
          <w:sz w:val="20"/>
        </w:rPr>
      </w:pPr>
      <w:r>
        <w:rPr>
          <w:rFonts w:ascii="Times New Roman" w:hAnsi="Times New Roman"/>
          <w:b/>
          <w:i/>
          <w:color w:val="000000"/>
          <w:sz w:val="20"/>
        </w:rPr>
        <w:t>Loss on Extinguishment of 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half of 2025, we repurchased $32.4 million in principal amount of our Senior Secured Notes for approximately $32.1 million, which was accounted for as an extinguishment of debt. Including our write-off of the associated remaining portion of unamortized debt issuance costs, we recognized a loss on extinguishment of debt of approximately $0.1 million. There have been no repurchases so far during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net during the first half of 2026 includes write-downs of assets no longer being used in operations, partially offset by gains from the sale of real estate and tangible property of certain former agricultural retail locations that had ceased operations and sales and use tax recoveries resulting from our ongoing review. Other expense, net, during the first half of 2025 consisted of asset write-downs related to assets no longer being used in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Non-operating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Non-operating other income, net for the first half of 2026 and 2025 was $3.2 million for both periods and primarily related to interest income earned during both periods from our short-term investments. Our average short-term investments balance including cash equivalents, was higher during the first half of 2026 but interest rates were lower during this period compared to the first half of 2025.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(Benefit) 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benefit for income taxes for the first half of 2026 was $4.0 million compared to a provision for income taxes of $0.8 million for the same period of 2025. The resulting effective tax rate for the first half of 2026 was a benefit of 42.8% compared to a provision for income taxes of 37.0% for the same period of 2025. For the first half of 2026, the effective tax rate was lower than the statutory rate primarily due to the release of state valuation allowances, partially offset by nondeductible compensation expense. For the first half of 2025, the effective tax rate was higher than the statutory rate primarily due to nondeductible compensation expense and state taxes. See discussion in Note 7.</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LIQUIDITY AND CAPITAL RESOURCES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summarizes our cash flow activities for the six months ended June 30:</w:t>
      </w:r>
    </w:p>
    <w:p>
      <w:pPr>
        <w:pStyle w:val="TextBody"/>
        <w:bidi w:val="0"/>
        <w:jc w:val="both"/>
        <w:rPr/>
      </w:pPr>
      <w:r>
        <w:rPr/>
        <w:t> </w:t>
      </w:r>
    </w:p>
    <w:tbl>
      <w:tblPr>
        <w:tblW w:w="7363" w:type="dxa"/>
        <w:jc w:val="left"/>
        <w:tblInd w:w="0" w:type="dxa"/>
        <w:tblLayout w:type="fixed"/>
        <w:tblCellMar>
          <w:top w:w="28" w:type="dxa"/>
          <w:left w:w="28" w:type="dxa"/>
          <w:bottom w:w="28" w:type="dxa"/>
          <w:right w:w="28" w:type="dxa"/>
        </w:tblCellMar>
      </w:tblPr>
      <w:tblGrid>
        <w:gridCol w:w="3331"/>
        <w:gridCol w:w="146"/>
        <w:gridCol w:w="211"/>
        <w:gridCol w:w="841"/>
        <w:gridCol w:w="166"/>
        <w:gridCol w:w="146"/>
        <w:gridCol w:w="211"/>
        <w:gridCol w:w="736"/>
        <w:gridCol w:w="166"/>
        <w:gridCol w:w="146"/>
        <w:gridCol w:w="211"/>
        <w:gridCol w:w="841"/>
        <w:gridCol w:w="2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86,153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(105,779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color w:val="000000"/>
          <w:sz w:val="20"/>
          <w:u w:val="single"/>
        </w:rPr>
        <w:t>Net Cash Flow from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was $111.2 million for the first six months of 2026 compared to $25 million for the same period of 2025, a change of $86.2 million. The increase was primarily a result of improved operating income and changes in working capital.</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Net Cash Flow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by investing activities was $101.0 million for the first six months of 2026 compared to net cash provided by investing activities of $4.8 million for the same period of 2025, a change of $105.8 million. </w:t>
      </w:r>
    </w:p>
    <w:p>
      <w:pPr>
        <w:pStyle w:val="TextBody"/>
        <w:bidi w:val="0"/>
        <w:spacing w:before="120" w:after="283"/>
        <w:jc w:val="left"/>
        <w:rPr>
          <w:rFonts w:ascii="Times New Roman" w:hAnsi="Times New Roman"/>
          <w:sz w:val="20"/>
        </w:rPr>
      </w:pPr>
      <w:r>
        <w:rPr>
          <w:rFonts w:ascii="Times New Roman" w:hAnsi="Times New Roman"/>
          <w:color w:val="000000"/>
          <w:sz w:val="20"/>
        </w:rPr>
        <w:t>For the first six months of 2026, the net cash used by investing activities primarily related to purchases of short-term investments of $215.8 million, expenditures for property, plant and equipment of $46.2 million and development of our CO</w:t>
      </w:r>
      <w:r>
        <w:rPr>
          <w:rFonts w:ascii="Times New Roman" w:hAnsi="Times New Roman"/>
          <w:color w:val="000000"/>
          <w:sz w:val="13"/>
        </w:rPr>
        <w:t>2</w:t>
      </w:r>
      <w:r>
        <w:rPr>
          <w:rFonts w:ascii="Times New Roman" w:hAnsi="Times New Roman"/>
          <w:color w:val="000000"/>
          <w:sz w:val="20"/>
        </w:rPr>
        <w:t xml:space="preserve"> capture and sequestration project of $10.8 million partially offset by proceeds from short-term investments, a recovery of PP&amp;E costs and proceeds from sales of property, plant and equipment totaling $171.8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first six months of 2025, the net cash provided by investing activities primarily related to proceeds from short-term investments of $154.6 million, partially offset by purchases of short-term investments of $110.3 million and expenditures for property, plant and equipment of $39.3 million.</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Net Cash Flow from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by financing activities was $9.4 million for the first six months of 2026 compared to $44.4 million for the same period of 2025, a change of $35.1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first six months of 2026, the net cash used by financing activities primarily consisted of payments on short-term financing and finance leases of $7.4 million and $2.1 million for tax withholding obligations related to the vesting of equity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first six months of 2025, the net cash used by financing activities primarily consisted of repurchases of our Senior Secured Notes of $32.1 million, payments on a secured financing due 2025 and short-term financing of $11.3 million and $1.2 million for tax withholding obligations related to the vesting of equity awards.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Capitalization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total cash and cash equivalents, short-term investments, long-term debt and stockholders’ equity as of June 30, 2026 and December 31, 2025:</w:t>
      </w:r>
    </w:p>
    <w:p>
      <w:pPr>
        <w:pStyle w:val="TextBody"/>
        <w:bidi w:val="0"/>
        <w:jc w:val="both"/>
        <w:rPr/>
      </w:pPr>
      <w:r>
        <w:rPr/>
        <w:t> </w:t>
      </w:r>
    </w:p>
    <w:tbl>
      <w:tblPr>
        <w:tblW w:w="8110" w:type="dxa"/>
        <w:jc w:val="left"/>
        <w:tblInd w:w="0" w:type="dxa"/>
        <w:tblLayout w:type="fixed"/>
        <w:tblCellMar>
          <w:top w:w="28" w:type="dxa"/>
          <w:left w:w="28" w:type="dxa"/>
          <w:bottom w:w="28" w:type="dxa"/>
          <w:right w:w="28" w:type="dxa"/>
        </w:tblCellMar>
      </w:tblPr>
      <w:tblGrid>
        <w:gridCol w:w="4636"/>
        <w:gridCol w:w="146"/>
        <w:gridCol w:w="303"/>
        <w:gridCol w:w="822"/>
        <w:gridCol w:w="166"/>
        <w:gridCol w:w="146"/>
        <w:gridCol w:w="403"/>
        <w:gridCol w:w="1097"/>
        <w:gridCol w:w="3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Senior Secured Notes due 2028 </w:t>
            </w: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Unamortized debt issuance costs </w:t>
            </w: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 including current portion,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_____________________________</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See discussion contained in Note 4.</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rFonts w:ascii="Times New Roman" w:hAnsi="Times New Roman"/>
          <w:color w:val="000000"/>
          <w:sz w:val="18"/>
        </w:rPr>
      </w:pPr>
      <w:r>
        <w:rPr>
          <w:rFonts w:ascii="Times New Roman" w:hAnsi="Times New Roman"/>
          <w:color w:val="000000"/>
          <w:sz w:val="18"/>
        </w:rPr>
        <w:t>Debt issuance costs as of June 30, 2026 and December 31, 2025 of approximately $0.4 million and $0.5 million, respectively, relating to our Revolving Credit Facility are not included in Unamortized debt issuance costs. These costs are included in our condensed consolidated balance sheets in Intangible and other assets,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a revolving credit facility pursuant to a credit agreement, dated December 21, 2023, between us and the lenders identified on the signature pages thereof and JPMorgan Chase Bank, N.A, as administrative agent (the “Revolving Credit Facility”), with a borrowing base up to an initial maximum of $75 million, with an option to increase the maximum by an additional $25 million (which amount is uncommitted). Availability under the Revolving Credit Facility is subject to a borrowing base and an availability block of $7.5 million which is applied against the $75 million initially reducing the maximum (which can be removed by us at our sole discretion, subject to the satisfaction of certain conditions). The Revolving Credit Facility provides for a sub-facility for the issuance of letters of credit in an aggregate amount not to exceed $10 million, with the outstanding amount of any such letters of credit reducing availability for borrowings. As of June 30, 2026, our Revolving Credit Facility was undrawn and had approximately $51 million of availability. See Note 4 for further discussion of the Revolving Credit Facility.</w:t>
      </w:r>
    </w:p>
    <w:p>
      <w:pPr>
        <w:pStyle w:val="TextBody"/>
        <w:bidi w:val="0"/>
        <w:spacing w:before="120" w:after="283"/>
        <w:jc w:val="left"/>
        <w:rPr>
          <w:rFonts w:ascii="Times New Roman" w:hAnsi="Times New Roman"/>
          <w:sz w:val="20"/>
        </w:rPr>
      </w:pPr>
      <w:r>
        <w:rPr>
          <w:rFonts w:ascii="Times New Roman" w:hAnsi="Times New Roman"/>
          <w:color w:val="000000"/>
          <w:sz w:val="20"/>
        </w:rPr>
        <w:t>For the full year of 2026, we expect capital expenditures for our core nitrogen-based business to be approximately $80 million, of which $63 million is expected to be spent on sustaining production and the remainder spent on growth initiatives. Additionally, we also expect to expend approximately $95 million on the acquisition and development of our CO</w:t>
      </w:r>
      <w:r>
        <w:rPr>
          <w:rFonts w:ascii="Times New Roman" w:hAnsi="Times New Roman"/>
          <w:color w:val="000000"/>
          <w:sz w:val="13"/>
        </w:rPr>
        <w:t>2</w:t>
      </w:r>
      <w:r>
        <w:rPr>
          <w:rFonts w:ascii="Times New Roman" w:hAnsi="Times New Roman"/>
          <w:color w:val="000000"/>
          <w:sz w:val="20"/>
        </w:rPr>
        <w:t xml:space="preserve"> capture and sequestration project, with a significant majority of that cost incurred in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approximately $218.0 million of cash and short-term investments. From time to time, we may seek to deploy capital through common stock repurchases or the repurchase of outstanding debt. Such repurchases may be made in open market purchases, privately negotiated transactions or otherwise and will depend on prevailing market conditions, our liquidity requirements, contractual restrictions and other factors. The amounts involved may be material.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combination of our cash and cash equivalents, short-term investments, the availability under our Revolving Credit Facility and our cash flow from operations will be sufficient to fund our anticipated liquidity needs for the next twelve months. Additionally, we expect our long-term liquidity position will be sufficient to meet our long-term liquidity needs with cash flows from operations and financing arrangements. However, in the event of changes in business conditions or other developments, including a sustained market deterioration, unanticipated regulatory developments, significant acquisitions, competitive pressures, or to the extent our liquidity needs prove to be greater than expected or cash generated from operations is less than anticipated, we may need additional liquidity. To the extent we elect to finance our long-term liquidity needs, we believe that the potential financing capital available to us in the future will be sufficient.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Compliance with Long-Term Debt Covenants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4, the Revolving Credit Facility does not include financial covenant requirements unless a defined covenant trigger event has occurred and is continuing. As of June 30, 2026, no trigger event had occurred.</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Loan Agreements</w:t>
      </w:r>
    </w:p>
    <w:p>
      <w:pPr>
        <w:pStyle w:val="TextBody"/>
        <w:bidi w:val="0"/>
        <w:spacing w:before="120" w:after="283"/>
        <w:jc w:val="left"/>
        <w:rPr>
          <w:rFonts w:ascii="Times New Roman" w:hAnsi="Times New Roman"/>
          <w:sz w:val="20"/>
        </w:rPr>
      </w:pPr>
      <w:r>
        <w:rPr>
          <w:rFonts w:ascii="Times New Roman" w:hAnsi="Times New Roman"/>
          <w:b/>
          <w:color w:val="000000"/>
          <w:sz w:val="20"/>
        </w:rPr>
        <w:t>Senior Secured Notes due 2028</w:t>
      </w:r>
      <w:r>
        <w:rPr>
          <w:rFonts w:ascii="Times New Roman" w:hAnsi="Times New Roman"/>
          <w:color w:val="000000"/>
          <w:sz w:val="20"/>
        </w:rPr>
        <w:t xml:space="preserve"> – We had $438.6 million aggregate principal amount of Senior Secured Notes outstanding as of June 30, 2026. Interest is to be paid semiannually in arrears on May 15</w:t>
      </w:r>
      <w:r>
        <w:rPr>
          <w:rFonts w:ascii="Times New Roman" w:hAnsi="Times New Roman"/>
          <w:color w:val="000000"/>
          <w:sz w:val="11"/>
        </w:rPr>
        <w:t>th</w:t>
      </w:r>
      <w:r>
        <w:rPr>
          <w:rFonts w:ascii="Times New Roman" w:hAnsi="Times New Roman"/>
          <w:color w:val="000000"/>
          <w:sz w:val="20"/>
        </w:rPr>
        <w:t xml:space="preserve"> and October 15</w:t>
      </w:r>
      <w:r>
        <w:rPr>
          <w:rFonts w:ascii="Times New Roman" w:hAnsi="Times New Roman"/>
          <w:color w:val="000000"/>
          <w:sz w:val="11"/>
        </w:rPr>
        <w:t>th</w:t>
      </w:r>
      <w:r>
        <w:rPr>
          <w:rFonts w:ascii="Times New Roman" w:hAnsi="Times New Roman"/>
          <w:color w:val="000000"/>
          <w:sz w:val="13"/>
        </w:rPr>
        <w:t xml:space="preserve">. </w:t>
      </w:r>
      <w:r>
        <w:rPr>
          <w:rFonts w:ascii="Times New Roman" w:hAnsi="Times New Roman"/>
          <w:color w:val="000000"/>
          <w:sz w:val="20"/>
        </w:rPr>
        <w:t xml:space="preserve">The Senior Secured Notes mature on October 15, 2028.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Revolving Credit Facility – </w:t>
      </w:r>
      <w:r>
        <w:rPr>
          <w:rFonts w:ascii="Times New Roman" w:hAnsi="Times New Roman"/>
          <w:color w:val="000000"/>
          <w:sz w:val="20"/>
        </w:rPr>
        <w:t>At June 30, 2026, our Revolving Credit Facility was undrawn and had approximately $51 million of availability, based on our eligible collateral, less outstanding letters of credit as of that date. Also see discussion above under “Compliance with Long-Term Debt Covenants.”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Finance Leases – </w:t>
      </w:r>
      <w:r>
        <w:rPr>
          <w:rFonts w:ascii="Times New Roman" w:hAnsi="Times New Roman"/>
          <w:color w:val="000000"/>
          <w:sz w:val="20"/>
        </w:rPr>
        <w:t>Our finance leases consist primarily of leases on railcars. Most of our railcar leases are classified as operating leases.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Capital Expenditures – First Half of 2026</w:t>
      </w:r>
    </w:p>
    <w:p>
      <w:pPr>
        <w:pStyle w:val="TextBody"/>
        <w:bidi w:val="0"/>
        <w:spacing w:before="120" w:after="283"/>
        <w:jc w:val="left"/>
        <w:rPr>
          <w:rFonts w:ascii="Times New Roman" w:hAnsi="Times New Roman"/>
          <w:sz w:val="20"/>
        </w:rPr>
      </w:pPr>
      <w:r>
        <w:rPr>
          <w:rFonts w:ascii="Times New Roman" w:hAnsi="Times New Roman"/>
          <w:color w:val="000000"/>
          <w:sz w:val="20"/>
        </w:rPr>
        <w:t>For the first half of 2026, capital expenditures relating to property, plant and equipment were $46.2 million. Of the expenditures for the first half of 2026, approximately $41.6 million was spent on projects to sustain our production capacity while approximately $4.7 million was spent on growth initiatives. In addition, we expended $10.8 million for the development of our CO</w:t>
      </w:r>
      <w:r>
        <w:rPr>
          <w:rFonts w:ascii="Times New Roman" w:hAnsi="Times New Roman"/>
          <w:color w:val="000000"/>
          <w:sz w:val="13"/>
        </w:rPr>
        <w:t>2</w:t>
      </w:r>
      <w:r>
        <w:rPr>
          <w:rFonts w:ascii="Times New Roman" w:hAnsi="Times New Roman"/>
          <w:color w:val="000000"/>
          <w:sz w:val="20"/>
        </w:rPr>
        <w:t xml:space="preserve"> capture and sequestration project. The capital expenditures were funded primarily from cash and working capital.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discussion above under “Capitalization” for our total expected capital expenditures for the remainder of 2026.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Expenses Associated with Environmental Regulatory 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specific federal and state environmental compliance laws, regulations and guidelines. As a result, our expenses were $2.7 million for the first six months ended June 30, 2026 in connection with environmental projects. For the remainder of 2026, we expect to incur expenses ranging from $2.6 million to $2.9 million in connection with additional environmental projects. However, it is possible that the actual costs could be significantly different than our estimates.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Seasonality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sales of fertilizer products to the agricultural industry are seasonal, while sales into the industrial sectors generally are less susceptible to seasonal fluctuations. The selling seasons for fertilizer products are primarily during the spring and fall planting seasons, which typically extend from March through June and from September through November in the geographical markets where we distribute the majority of our fertilizer products. As a result, we typically increase our inventory of fertilizer products prior to the beginning of each planting season in order to meet the demand for our products. In addition, the amount and timing of sales to the agricultural markets depend upon weather conditions and other circumstances beyond our control.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Performance and Payment Bonds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June 30, 2026, we have agreed to indemnify the sureties for payments, up to $10.2 million, made by them in respect of such bonds.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New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1 for recently issued accounting standards.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“Critical Accounting Policies and Estimates,” Item 7 of our Form 10-K for the year ended December 31, 2025, filed with the SEC on February 26, 2026 (the “2025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including matters discussed under footnote A of Note 5. </w:t>
      </w:r>
    </w:p>
    <w:p>
      <w:pPr>
        <w:pStyle w:val="TextBody"/>
        <w:bidi w:val="0"/>
        <w:spacing w:before="12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 Income taxes are accounted for under the asset and liability method. Deferred tax assets and liabilities are measured using enacted tax rates expected to apply to taxable income in the years in which those differences are expected to be recovered or settled. We establish valuation allowances if we believe it is more-likely-than-not that some or all of deferred tax assets will not be realized. Significant judgment is applied in evaluating the need for and the magnitude of appropriate valuation allowances against deferred tax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also reasonably possible that the estimates and assumptions utilized as of June 30, 2026, could change in the near term. Actual results could differ materially from these estimates and judgments, as additional information becomes known.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uses adjusted gross profit as a supplemental measure to review and assess the performance of our core business operations and for planning purposes. We define adjusted gross profit as gross profit (loss) excluding depreciation and amortization and Turnaround expenses included in our cost of sales, which we believe are not reflective of our operating performance in a given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gross profit is a metric that provides investors with greater transparency to the information used by management in its financial and operational decision-making. We believe this metric is useful to investors because it facilitates comparisons of our core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operations across periods on a consistent basis. Management believes that the non-GAAP measure presented in this Form 10-Q, when viewed in combination with our results prepared in accordance with United States generally accepted accounting principles (“U.S. GAAP”), provides a more complete understanding of the factors and trends affecting our business and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gross profit is not a measure of financial performance under U.S. GAAP, and should not be considered a substitute for gross profit, which we consider to be the most directly comparable U.S. GAAP measure. Adjusted gross profit has limitations as an analytical tool, and when assessing our operating performance, investors should not consider adjusted gross profit in isolation, or as a substitute for gross profit prepared in accordance with U.S. GAAP. Adjusted gross profit may not be comparable to similarly titled measures of other companies and other companies may not calculate such measure in the same manner as we do.</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reconciles gross profit to adjusted gross profit.</w:t>
      </w:r>
    </w:p>
    <w:tbl>
      <w:tblPr>
        <w:tblW w:w="9247" w:type="dxa"/>
        <w:jc w:val="left"/>
        <w:tblInd w:w="0" w:type="dxa"/>
        <w:tblLayout w:type="fixed"/>
        <w:tblCellMar>
          <w:top w:w="28" w:type="dxa"/>
          <w:left w:w="28" w:type="dxa"/>
          <w:bottom w:w="28" w:type="dxa"/>
          <w:right w:w="28" w:type="dxa"/>
        </w:tblCellMar>
      </w:tblPr>
      <w:tblGrid>
        <w:gridCol w:w="4576"/>
        <w:gridCol w:w="146"/>
        <w:gridCol w:w="1036"/>
        <w:gridCol w:w="193"/>
        <w:gridCol w:w="1036"/>
        <w:gridCol w:w="146"/>
        <w:gridCol w:w="891"/>
        <w:gridCol w:w="166"/>
        <w:gridCol w:w="1057"/>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Gross Profit to Adjusted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$37,557</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40,680</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Turnaround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28,801</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4,634</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$62,140</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82,871</w:t>
            </w:r>
          </w:p>
        </w:tc>
      </w:tr>
    </w:tbl>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off-balance sheet arrangements as defined in Item 303(a)(4)(ii) of Regulation S-K under the Securities Exchange Act of 1934, as amended (the “Exchange Act”).</w:t>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bookmarkStart w:id="9" w:name="item_3_quantitative_qualitative_disclosu"/>
      <w:bookmarkEnd w:id="9"/>
      <w:r>
        <w:rPr>
          <w:rFonts w:ascii="Times New Roman" w:hAnsi="Times New Roman"/>
          <w:b/>
          <w:color w:val="000000"/>
          <w:sz w:val="20"/>
          <w:u w:val="single"/>
        </w:rPr>
        <w:t>Item 3. Quantitative and Qualitative Disclosures about Market Risk</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and operating cash flows are impacted by changes in market prices of ammonia and natural gas and changes in market interest rates.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Forward Sales Commitments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Periodically, we enter into forward firm sales commitments for products to be delivered in future periods. As a result, we could be exposed to embedded losses should our product costs exceed the firm sales prices at the end of a reporting period. At June 30, 2026, we had no embedded losses associated with sales commitments with firm sales prices.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Commodity Price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substantial portion of our products and raw materials are commodities whose prices fluctuate as market supply and demand fundamentals change. Since we are exposed to commodity price risk, we periodically enter into contracts to purchase natural gas for anticipated production needs to manage risk related to changes in prices of natural gas commodities. Generally, these contracts are considered normal purchases because they provide for the purchase of natural gas that will be delivered in quantities expected to be used over a reasonable period of time in the normal course of business, and as such, are exempt from derivative accounting requirements. At June 30, 2026, we had no outstanding natural gas contracts which are subject to derivative accounting requirements.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exposed to variable interest rate risk with respect to our Revolving Credit Facility when there are outstanding borrowings. As of June 30, 2026, we had no outstanding borrowings on this credit facility and no other variable rate borrowings and, as a result, we currently do not hedge our interest rate risk associated with any variable interest rate loan.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bookmarkStart w:id="10" w:name="item_4_controls_procedures"/>
      <w:bookmarkEnd w:id="10"/>
      <w:r>
        <w:rPr>
          <w:rFonts w:ascii="Times New Roman" w:hAnsi="Times New Roman"/>
          <w:b/>
          <w:color w:val="000000"/>
          <w:sz w:val="20"/>
          <w:u w:val="single"/>
        </w:rPr>
        <w:t>Item 4.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June 30, 2026. Based on this evaluation, the Company's Chief Executive Officer and Chief Financial Officer have concluded that the Company's disclosure controls and procedures were effective as of June 30, 2026, at the reasonable assurance level. There were no changes to our internal control over financial reporting (as such term is defined in Rules 13a-15(f) and 15d-15(f) under the Exchange Act) during the quarter ended June 30, 2026, that have materially affected, or are reasonably likely to materially affect, our internal control over financial reporting.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statements contained within this report may be deemed “Forward-Looking Statements” within the meaning of U.S. federal securities laws. All statements in this report other than statements of historical fact are Forward-Looking Statements that are subject to known and unknown risks, uncertainties and other factors, many of which are difficult to predict or outside of the Company’s control, which could cause actual results and performance of the Company to differ materially from those expressed in, or implied or projected by, such statements. Any such Forward-Looking Statements are not guarantees of future performance. The words “believe,” “expect,” “anticipate,” “intend,” “plan,” “may,” “could,” and similar expressions identify Forward-Looking Statements. All Forward-Looking Statements speak only as of the date on which they are made. Forward-Looking Statements contained herein, and the associated risks, uncertainties, assumptions and other important factors include, but are not limited to, the following:</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our ability to invest in projects that will generate the best returns for our stockholders;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future liquidity outlook;</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outlook of our chemical products and related markets;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ability to successfully leverage our existing business platform and portfolio of assets to produce low carbon products and execute our strategy to become a leader in the energy transition in the chemical industry;</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amount, timing and effect on the nitrogen market from current nitrogen expansion projects;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effect from the lack of non-seasonal volume;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belief that competition is based upon service, price, location of production and distribution sites, and product quality and performance;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outlook for the industrial end markets;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availability of raw materials;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ability to broaden the distribution of our products, including our ability to leverage our nitric acid production capacity at our El Dorado Facility;</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ongoing initiatives to increase the distribution of our products within our industrial end markets;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execution and success of our advanced low carbon ammonia initiatives, including the Project;</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expectations regarding future ammonia pricing;</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result of our product and market diversification strategy;</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changes in domestic fertilizer production;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increasing output and capacity of our existing production facilities;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production volumes at our production facilities;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ability to moderate risk inherent in agricultural markets;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sources to fund our cash needs and how this cash will be used;</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ability to enter into the additional borrowings;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anticipated cost and timing of our capital projects, including the Project;</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certain costs covered under warranty provisions;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ability to pass cost increases to our customers in the form of higher prices;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belief as to whether we have sufficient sources for materials and components;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belief regarding our estimates and contingencies with respect claims and legal actions in the ordinary course of our business and their effect on our business, financial condition, results of operations or cash flows;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annual natural gas requirements;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development of the market and demand for low carbon ammonia;</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compliance by our facilities with the terms of our permits;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costs of compliance with environmental laws, health laws, security regulations and transportation regulations;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belief as to when Turnarounds will be performed and completed;</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expenses in connection with environmental projects;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effect of litigation and other contingencies;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increase in interest expense;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ability to comply with debt servicing and covenants;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our ability to meet debt maturities or redemption obligations when due;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impact of our repurchase program on our stock price and cash reserves; and</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belief as to whether we can meet all required covenant tests for the next twelve months.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changes in general economic conditions, both domestic and foreign;</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material reductions in revenues;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material changes in interest rates;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ability to collect in a timely manner a material amount of receivables;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increased competitive pressures;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adverse effects of increases in prices of raw materials;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changes in federal, state and local laws and regulations, or in the interpretation of such laws and regulations;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changes in laws, regulations or other issues related to climate change;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releases of pollutants into the environment exceeding our permitted limits;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material increases in equipment, maintenance, operating or labor costs not presently anticipated by us;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requirement to use internally generated funds for purposes not presently anticipated;</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inability to secure additional financing for planned capital expenditures or financing obligations due in the near future;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substantial existing indebtedness;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material changes in the cost of natural gas and certain precious metals;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limitations due to financial covenants;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ability to obtain required regulatory approvals and satisfy other requirements for our carbon capture and sequestration project at our El Dorado Facility;</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changes in competition;</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loss of any significant customer;</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increases in cost to maintain internal control over financial reporting;</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changes in operating strategy or development plans;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an inability to fund the working capital and expansion of our businesses;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changes in the production efficiency of our facilities;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adverse results in our contingencies including pending litigation;</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unplanned downtime at one or more of our chemical facilities;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changes in production rates at any of our chemical plants;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an inability to obtain necessary raw materials and purchased components;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material increases in cost of raw materials;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material changes in our accounting estimates;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significant problems within our production equipment;</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fire or natural disasters;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an inability to obtain or retain our insurance coverage;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difficulty obtaining necessary permits;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difficulty obtaining third-party financing;</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risks associated with proxy contests initiated by dissident stockholders;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changes in fertilizer production;</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reduction in acres planted for crops requiring fertilizer;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decreases in duties for products we sell resulting in an increase in imported products into the United States;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adverse effects from regulatory policies, including tariffs;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geopolitical concerns;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volatility of natural gas prices;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price increases resulting from increased inflation;</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weather conditions, including the effects of climate change;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increases in imported agricultural products;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global supply chain disruptions;</w:t>
      </w:r>
    </w:p>
    <w:p>
      <w:pPr>
        <w:pStyle w:val="TextBody"/>
        <w:bidi w:val="0"/>
        <w:spacing w:before="40" w:after="283"/>
        <w:jc w:val="both"/>
        <w:rPr>
          <w:color w:val="000000"/>
        </w:rPr>
      </w:pPr>
      <w:r>
        <w:rPr>
          <w:color w:val="000000"/>
        </w:rPr>
        <w:t>•</w:t>
      </w:r>
    </w:p>
    <w:p>
      <w:pPr>
        <w:pStyle w:val="TextBody"/>
        <w:bidi w:val="0"/>
        <w:spacing w:before="40" w:after="283"/>
        <w:jc w:val="both"/>
        <w:rPr/>
      </w:pPr>
      <w:r>
        <w:rPr>
          <w:rFonts w:ascii="Times New Roman" w:hAnsi="Times New Roman"/>
          <w:color w:val="000000"/>
          <w:sz w:val="20"/>
        </w:rPr>
        <w:t xml:space="preserve">other factors described in </w:t>
      </w:r>
      <w:r>
        <w:rPr>
          <w:rFonts w:ascii="Times New Roman" w:hAnsi="Times New Roman"/>
          <w:i/>
          <w:color w:val="000000"/>
          <w:sz w:val="20"/>
        </w:rPr>
        <w:t xml:space="preserve">Item 2. Management’s Discussion and Analysis of Financial Condition and Results of Operations </w:t>
      </w:r>
      <w:r>
        <w:rPr>
          <w:rFonts w:ascii="Times New Roman" w:hAnsi="Times New Roman"/>
          <w:color w:val="000000"/>
          <w:sz w:val="20"/>
        </w:rPr>
        <w:t>contained in this report; and</w:t>
      </w:r>
    </w:p>
    <w:p>
      <w:pPr>
        <w:pStyle w:val="TextBody"/>
        <w:bidi w:val="0"/>
        <w:spacing w:before="40" w:after="283"/>
        <w:jc w:val="left"/>
        <w:rPr>
          <w:color w:val="000000"/>
        </w:rPr>
      </w:pPr>
      <w:r>
        <w:rPr>
          <w:color w:val="000000"/>
        </w:rPr>
        <w:t>•</w:t>
      </w:r>
    </w:p>
    <w:p>
      <w:pPr>
        <w:pStyle w:val="TextBody"/>
        <w:bidi w:val="0"/>
        <w:spacing w:before="40" w:after="283"/>
        <w:jc w:val="left"/>
        <w:rPr/>
      </w:pPr>
      <w:r>
        <w:rPr>
          <w:rFonts w:ascii="Times New Roman" w:hAnsi="Times New Roman"/>
          <w:color w:val="000000"/>
          <w:sz w:val="20"/>
        </w:rPr>
        <w:t xml:space="preserve">other factors described in </w:t>
      </w:r>
      <w:r>
        <w:rPr>
          <w:rFonts w:ascii="Times New Roman" w:hAnsi="Times New Roman"/>
          <w:i/>
          <w:color w:val="000000"/>
          <w:sz w:val="20"/>
        </w:rPr>
        <w:t>Item 1A. Risk Factors</w:t>
      </w:r>
      <w:r>
        <w:rPr>
          <w:color w:val="000000"/>
        </w:rPr>
        <w:t xml:space="preserve"> </w:t>
      </w:r>
      <w:r>
        <w:rPr>
          <w:rFonts w:ascii="Times New Roman" w:hAnsi="Times New Roman"/>
          <w:color w:val="000000"/>
          <w:sz w:val="20"/>
        </w:rPr>
        <w:t>in our 2025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these uncertainties, all parties are cautioned not to place undue reliance on such Forward-Looking Statements. Except to the extent required by law, we disclaim any obligation to update any such factors or to publicly announce the result of any revisions to any of the Forward-Looking Statements contained herein to reflect future events or developments.</w:t>
      </w:r>
    </w:p>
    <w:p>
      <w:pPr>
        <w:pStyle w:val="TextBody"/>
        <w:bidi w:val="0"/>
        <w:spacing w:before="120" w:after="283"/>
        <w:jc w:val="left"/>
        <w:rPr/>
      </w:pPr>
      <w:r>
        <w:rPr/>
        <w:t> </w:t>
      </w:r>
    </w:p>
    <w:p>
      <w:pPr>
        <w:pStyle w:val="TextBody"/>
        <w:bidi w:val="0"/>
        <w:jc w:val="center"/>
        <w:rPr>
          <w:rFonts w:ascii="Times New Roman" w:hAnsi="Times New Roman"/>
          <w:sz w:val="20"/>
        </w:rPr>
      </w:pPr>
      <w:bookmarkStart w:id="11" w:name="part_ii"/>
      <w:bookmarkEnd w:id="1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jc w:val="center"/>
        <w:rPr>
          <w:rFonts w:ascii="Times New Roman" w:hAnsi="Times New Roman"/>
          <w:b/>
          <w:color w:val="000000"/>
          <w:sz w:val="20"/>
        </w:rPr>
      </w:pPr>
      <w:r>
        <w:rPr>
          <w:rFonts w:ascii="Times New Roman" w:hAnsi="Times New Roman"/>
          <w:b/>
          <w:color w:val="000000"/>
          <w:sz w:val="20"/>
        </w:rPr>
        <w:t>OTHER INFORMATION</w:t>
      </w:r>
    </w:p>
    <w:p>
      <w:pPr>
        <w:pStyle w:val="TextBody"/>
        <w:bidi w:val="0"/>
        <w:jc w:val="both"/>
        <w:rPr/>
      </w:pPr>
      <w:r>
        <w:rPr/>
        <w:t> </w:t>
      </w:r>
    </w:p>
    <w:p>
      <w:pPr>
        <w:pStyle w:val="TextBody"/>
        <w:bidi w:val="0"/>
        <w:jc w:val="both"/>
        <w:rPr>
          <w:rFonts w:ascii="Times New Roman" w:hAnsi="Times New Roman"/>
          <w:sz w:val="20"/>
        </w:rPr>
      </w:pPr>
      <w:bookmarkStart w:id="12" w:name="item_1_legal_proceedings"/>
      <w:bookmarkEnd w:id="12"/>
      <w:r>
        <w:rPr>
          <w:rFonts w:ascii="Times New Roman" w:hAnsi="Times New Roman"/>
          <w:b/>
          <w:color w:val="000000"/>
          <w:sz w:val="20"/>
          <w:u w:val="single"/>
        </w:rPr>
        <w:t>Item 1. Legal</w:t>
      </w:r>
      <w:r>
        <w:rPr>
          <w:rFonts w:ascii="Times New Roman" w:hAnsi="Times New Roman"/>
          <w:color w:val="000000"/>
          <w:sz w:val="20"/>
          <w:u w:val="single"/>
        </w:rPr>
        <w:t xml:space="preserve"> </w:t>
      </w:r>
      <w:r>
        <w:rPr>
          <w:rFonts w:ascii="Times New Roman" w:hAnsi="Times New Roman"/>
          <w:b/>
          <w:color w:val="000000"/>
          <w:sz w:val="20"/>
          <w:u w:val="single"/>
        </w:rPr>
        <w:t>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from time to time subject to various legal proceedings and claims arising in the ordinary course of business. For further discussion of our legal matters, see “Note 5. Commitments and Contingencies—Legal Matters” in the notes to the condensed consolidated financial statements in this report. </w:t>
      </w:r>
    </w:p>
    <w:p>
      <w:pPr>
        <w:pStyle w:val="TextBody"/>
        <w:bidi w:val="0"/>
        <w:jc w:val="left"/>
        <w:rPr/>
      </w:pPr>
      <w:r>
        <w:rPr/>
        <w:t> </w:t>
      </w:r>
    </w:p>
    <w:p>
      <w:pPr>
        <w:pStyle w:val="TextBody"/>
        <w:bidi w:val="0"/>
        <w:jc w:val="left"/>
        <w:rPr>
          <w:rFonts w:ascii="Times New Roman" w:hAnsi="Times New Roman"/>
          <w:sz w:val="20"/>
        </w:rPr>
      </w:pPr>
      <w:bookmarkStart w:id="13" w:name="item_1a_risk_factors"/>
      <w:bookmarkEnd w:id="13"/>
      <w:r>
        <w:rPr>
          <w:rFonts w:ascii="Times New Roman" w:hAnsi="Times New Roman"/>
          <w:b/>
          <w:color w:val="000000"/>
          <w:sz w:val="20"/>
          <w:u w:val="single"/>
        </w:rPr>
        <w:t>Item 1A. Risk Factors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Reference is made to Item 1A of our 2025 Form 10-K filed with the SEC on February 26, 2026. Except as set forth below, there were no material changes from the risk factors disclosed in our 2025 Form 10-K.</w:t>
      </w:r>
    </w:p>
    <w:p>
      <w:pPr>
        <w:pStyle w:val="TextBody"/>
        <w:bidi w:val="0"/>
        <w:jc w:val="left"/>
        <w:rPr>
          <w:rFonts w:ascii="Times New Roman" w:hAnsi="Times New Roman"/>
          <w:sz w:val="20"/>
        </w:rPr>
      </w:pPr>
      <w:r>
        <w:rPr>
          <w:rFonts w:ascii="Times New Roman" w:hAnsi="Times New Roman"/>
          <w:b/>
          <w:color w:val="000000"/>
          <w:sz w:val="20"/>
        </w:rPr>
        <w:t>Geopolitical conditions, including political turmoil and volatility, regional conflicts, terrorism and war have negatively affected and could negatively affect United States and foreign companies, the financial markets, the industries where we operate, our operations and our profitability and could increase the volatility of our stock price</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Geopolitical events, including political turmoil, regional conflicts, instability and terrorist attacks in the United States and elsewhere have in the past, and can in the future negatively affect our operations and could increase the volatility of our stock price. For example, Russia’s invasion of Ukraine and the ongoing conflict in the Middle East, including the military conflict between Iran and the United States, have impacted our financial results. These conflicts have had an effect on commodity prices and fertilizer supply, and there is no guarantee that such conflicts will not draw military intervention from other countries or further retaliation, which, in turn, could lead to a much larger conflict. Furthermore, such military conflicts and the resulting geopolitical instability have caused, and may continue to cause, (i) disruptions to international shipping routes (including through the Strait of Hormuz and other critical transit corridors), (ii) disruptions in global energy markets and significant fluctuations in the prices of oil, natural gas and fertilizer and (iii) substantial disruption to global financial markets, leading to heightened investor uncertainty, reduced risk tolerance and increased market volatility.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production volumes, supply chain and trade routes for our products that are traded globally, and the markets we currently serve, could be further adversely affected, which, in turn, could materially, adversely affect our business operations and financial performance. In addition, the market prices of our common stock have recently experienced, and may continue to experience, volatility.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like other companies with major industrial facilities, we may be targets of terrorist activities. Many of our plants and facilities store significant quantities of ammonia and other materials that can be dangerous if mishandled. Any damage to infrastructure facilities, such as electric generation, transmission and distribution facilities, or injury to employees, who could be direct targets or indirect casualties of an act of terrorism, may affect our operations. Any disruption of our ability to produce or distribute our products could result in a significant decrease in revenues and significant additional costs to replace, repair or insure our assets, which could have a material adverse effect on our business, financial condition, results of operations and cash flows.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If we are unable to obtain required regulatory approvals and satisfy other requirements for our carbon capture and sequestration project at our El Dorado Facility, we may not realize the anticipated benefits of the project, and our business, financial condition, results of operations and cash flows could be adversely affected.</w:t>
      </w:r>
    </w:p>
    <w:p>
      <w:pPr>
        <w:pStyle w:val="TextBody"/>
        <w:bidi w:val="0"/>
        <w:spacing w:before="120" w:after="283"/>
        <w:jc w:val="left"/>
        <w:rPr>
          <w:rFonts w:ascii="Times New Roman" w:hAnsi="Times New Roman"/>
          <w:sz w:val="20"/>
        </w:rPr>
      </w:pPr>
      <w:r>
        <w:rPr>
          <w:rFonts w:ascii="Times New Roman" w:hAnsi="Times New Roman"/>
          <w:color w:val="000000"/>
          <w:sz w:val="20"/>
        </w:rPr>
        <w:t>In May 2026, we acquired full ownership of the carbon capture and sequestration project at our El Dorado Facility (the “Project”) from Lapis Carbon Solutions. The Project is designed to capture and sequester CO</w:t>
      </w:r>
      <w:r>
        <w:rPr>
          <w:rFonts w:ascii="Times New Roman" w:hAnsi="Times New Roman"/>
          <w:color w:val="000000"/>
          <w:sz w:val="13"/>
        </w:rPr>
        <w:t>2</w:t>
      </w:r>
      <w:r>
        <w:rPr>
          <w:rFonts w:ascii="Times New Roman" w:hAnsi="Times New Roman"/>
          <w:color w:val="000000"/>
          <w:sz w:val="20"/>
        </w:rPr>
        <w:t xml:space="preserve"> generated from our El Dorado Facility ammonia production in underground saline aquifers, and its completion and the commencement of CO</w:t>
      </w:r>
      <w:r>
        <w:rPr>
          <w:rFonts w:ascii="Times New Roman" w:hAnsi="Times New Roman"/>
          <w:color w:val="000000"/>
          <w:sz w:val="13"/>
        </w:rPr>
        <w:t>2</w:t>
      </w:r>
      <w:r>
        <w:rPr>
          <w:rFonts w:ascii="Times New Roman" w:hAnsi="Times New Roman"/>
          <w:color w:val="000000"/>
          <w:sz w:val="20"/>
        </w:rPr>
        <w:t xml:space="preserve"> injections are conditioned upon our receipt of a Class VI permit from the United States Environmental Protection Agency (the “EPA”). A pre-construction Class VI permit application was filed with the EPA in February 2023, which the EPA recognized as complete in March 2023. The application was resubmitted in December 2025 following the EPA’s continuing technical review. Obtaining a Class VI permit is a rigorous, multi-year regulatory process that requires extensive EPA review of the suitability of the proposed storage reservoir. </w:t>
      </w:r>
    </w:p>
    <w:p>
      <w:pPr>
        <w:pStyle w:val="TextBody"/>
        <w:bidi w:val="0"/>
        <w:spacing w:before="120" w:after="283"/>
        <w:jc w:val="left"/>
        <w:rPr>
          <w:rFonts w:ascii="Times New Roman" w:hAnsi="Times New Roman"/>
          <w:sz w:val="20"/>
        </w:rPr>
      </w:pPr>
      <w:r>
        <w:rPr>
          <w:rFonts w:ascii="Times New Roman" w:hAnsi="Times New Roman"/>
          <w:color w:val="000000"/>
          <w:sz w:val="20"/>
        </w:rPr>
        <w:t>The EPA may not grant a Class VI permit for the Project, or may not do so on the timeline we currently anticipate. Unless necessary EPA approvals are obtained, we will be unable to complete construction of the Project or commence CO</w:t>
      </w:r>
      <w:r>
        <w:rPr>
          <w:rFonts w:ascii="Times New Roman" w:hAnsi="Times New Roman"/>
          <w:color w:val="000000"/>
          <w:sz w:val="13"/>
        </w:rPr>
        <w:t xml:space="preserve">2 </w:t>
      </w:r>
      <w:r>
        <w:rPr>
          <w:rFonts w:ascii="Times New Roman" w:hAnsi="Times New Roman"/>
          <w:color w:val="000000"/>
          <w:sz w:val="20"/>
        </w:rPr>
        <w:t xml:space="preserve">injections as planned, and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recover some or all of the capital we have invested or expect to invest in the Project. The total purchase price and remaining completion capital associated with the Project is currently estimated at approximately $95 million. </w:t>
      </w:r>
    </w:p>
    <w:p>
      <w:pPr>
        <w:pStyle w:val="TextBody"/>
        <w:bidi w:val="0"/>
        <w:spacing w:before="120" w:after="283"/>
        <w:jc w:val="left"/>
        <w:rPr>
          <w:rFonts w:ascii="Times New Roman" w:hAnsi="Times New Roman"/>
          <w:sz w:val="20"/>
        </w:rPr>
      </w:pPr>
      <w:r>
        <w:rPr>
          <w:rFonts w:ascii="Times New Roman" w:hAnsi="Times New Roman"/>
          <w:color w:val="000000"/>
          <w:sz w:val="20"/>
        </w:rPr>
        <w:t>Even if the EPA ultimately approves the Class VI permit application, the approval process may take significantly longer than we currently anticipate. We currently expect the Project to be completed and operational in the first quarter of 2027, subject to EPA approval of our Class VI permit, at which time CO</w:t>
      </w:r>
      <w:r>
        <w:rPr>
          <w:rFonts w:ascii="Times New Roman" w:hAnsi="Times New Roman"/>
          <w:color w:val="000000"/>
          <w:sz w:val="13"/>
        </w:rPr>
        <w:t>2</w:t>
      </w:r>
      <w:r>
        <w:rPr>
          <w:rFonts w:ascii="Times New Roman" w:hAnsi="Times New Roman"/>
          <w:color w:val="000000"/>
          <w:sz w:val="20"/>
        </w:rPr>
        <w:t xml:space="preserve"> injections are expected to begin. Although we drilled a stratigraphic injection well at the El Dorado site in June 2025 to gather data supporting the EPA’s technical review, our application remains subject to further review. The timing of EPA approval is largely outside of our control and could be affected by, among other things, the EPA’s internal review procedures and resource constraints, requests for additional information, legal or administrative challenges to the permit or changes in applicable regulatory policy.</w:t>
      </w:r>
    </w:p>
    <w:p>
      <w:pPr>
        <w:pStyle w:val="TextBody"/>
        <w:bidi w:val="0"/>
        <w:spacing w:before="120" w:after="283"/>
        <w:jc w:val="left"/>
        <w:rPr>
          <w:rFonts w:ascii="Times New Roman" w:hAnsi="Times New Roman"/>
          <w:sz w:val="20"/>
        </w:rPr>
      </w:pPr>
      <w:r>
        <w:rPr>
          <w:rFonts w:ascii="Times New Roman" w:hAnsi="Times New Roman"/>
          <w:color w:val="000000"/>
          <w:sz w:val="20"/>
        </w:rPr>
        <w:t>A failure to obtain necessary EPA approvals would prevent us from realizing the anticipated benefits of the Project, including our ability to produce low carbon ammonia and upgraded products, such as the sale of low carbon ammonium nitrate under our existing supply agreement with Freeport Minerals Corporation, and our eligibility for tax credits under Section 45Q of the Internal Revenue Code (the “Code”). In addition, a significant delay in receiving the Class VI permit approval could increase the costs of completing the Project, require us to incur additional capital expenditures and postpone the commencement of CO</w:t>
      </w:r>
      <w:r>
        <w:rPr>
          <w:rFonts w:ascii="Times New Roman" w:hAnsi="Times New Roman"/>
          <w:color w:val="000000"/>
          <w:sz w:val="13"/>
        </w:rPr>
        <w:t xml:space="preserve">2 </w:t>
      </w:r>
      <w:r>
        <w:rPr>
          <w:rFonts w:ascii="Times New Roman" w:hAnsi="Times New Roman"/>
          <w:color w:val="000000"/>
          <w:sz w:val="20"/>
        </w:rPr>
        <w:t>injections and our production of low carbon ammonium nitrate. Any such failure or delay could have a material adverse effect on our business, financial condition, results of operations and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the required EPA approvals are obtained, the Project remains subject to construction, commissioning, operational and third-party performance risks. Successful completion of the Project depends on the performance of the construction manager, construction contractors, equipment suppliers and other third parties involved in engineering, design, procurement, construction, installation, drilling, completion, testing and commissioning. Construction delays, cost overruns, contractor disputes, safety incidents, force majeure events, equipment failures, inability to satisfy completion tests, or failure to achieve commercial operation at expected volumes could delay or prevent the Project from becoming operational, increase our capital expenditures or reduce the Project’s expected benefits. </w:t>
      </w:r>
    </w:p>
    <w:p>
      <w:pPr>
        <w:pStyle w:val="TextBody"/>
        <w:bidi w:val="0"/>
        <w:spacing w:before="120" w:after="283"/>
        <w:jc w:val="left"/>
        <w:rPr>
          <w:rFonts w:ascii="Times New Roman" w:hAnsi="Times New Roman"/>
          <w:sz w:val="20"/>
        </w:rPr>
      </w:pPr>
      <w:r>
        <w:rPr>
          <w:rFonts w:ascii="Times New Roman" w:hAnsi="Times New Roman"/>
          <w:color w:val="000000"/>
          <w:sz w:val="20"/>
        </w:rPr>
        <w:t>Furthermore, our ability to claim, monetize or retain Section 45Q tax credits depends on our ability to comply with applicable sequestration standards, monitoring and reporting requirements, prevailing wage and apprenticeship requirements, recordkeeping obligations and other guidance or regulations issued by the U.S. Department of the Treasury or the Internal Revenue Service. If we fail to satisfy applicable Section 45Q requirements, or if applicable law or guidance changes, we may be unable to claim tax credits at the anticipated amount or timing, or such credits could be reduced, delayed, disallowed or subject to recapture. If any of these regulatory, construction, operational or tax contingencies are not satisfied, or are satisfied later or on less favorable terms than we expect, we may be unable to complete, place in service or operate the Project as planned. In that event, we may experience delays in the commencement of CO</w:t>
      </w:r>
      <w:r>
        <w:rPr>
          <w:rFonts w:ascii="Times New Roman" w:hAnsi="Times New Roman"/>
          <w:color w:val="000000"/>
          <w:sz w:val="13"/>
        </w:rPr>
        <w:t>2</w:t>
      </w:r>
      <w:r>
        <w:rPr>
          <w:rFonts w:ascii="Times New Roman" w:hAnsi="Times New Roman"/>
          <w:color w:val="000000"/>
          <w:sz w:val="20"/>
        </w:rPr>
        <w:t xml:space="preserve"> injections, fail to realize some or all of the anticipated benefits of the Project, and be unable to recover some or all of the purchase price, completion capital and other costs associated with the Project. Any such developments could adversely affect our business, financial condition, results of operations and cash flows.</w:t>
      </w:r>
    </w:p>
    <w:p>
      <w:pPr>
        <w:pStyle w:val="TextBody"/>
        <w:bidi w:val="0"/>
        <w:spacing w:before="120" w:after="283"/>
        <w:jc w:val="left"/>
        <w:rPr>
          <w:rFonts w:ascii="Times New Roman" w:hAnsi="Times New Roman"/>
          <w:sz w:val="20"/>
        </w:rPr>
      </w:pPr>
      <w:bookmarkStart w:id="14" w:name="item_2_unregistered_sales_equity_securit"/>
      <w:bookmarkEnd w:id="14"/>
      <w:r>
        <w:rPr>
          <w:rFonts w:ascii="Times New Roman" w:hAnsi="Times New Roman"/>
          <w:b/>
          <w:color w:val="000000"/>
          <w:sz w:val="20"/>
          <w:u w:val="single"/>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b/>
          <w:color w:val="000000"/>
          <w:sz w:val="20"/>
          <w:u w:val="single"/>
        </w:rPr>
      </w:pPr>
      <w:bookmarkStart w:id="15" w:name="item_3_defaults_upon_senior_securities"/>
      <w:bookmarkEnd w:id="15"/>
      <w:r>
        <w:rPr>
          <w:rFonts w:ascii="Times New Roman" w:hAnsi="Times New Roman"/>
          <w:b/>
          <w:color w:val="000000"/>
          <w:sz w:val="20"/>
          <w:u w:val="single"/>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both"/>
        <w:rPr/>
      </w:pPr>
      <w:r>
        <w:rPr/>
        <w:t> </w:t>
      </w:r>
    </w:p>
    <w:p>
      <w:pPr>
        <w:pStyle w:val="TextBody"/>
        <w:bidi w:val="0"/>
        <w:jc w:val="both"/>
        <w:rPr>
          <w:rFonts w:ascii="Times New Roman" w:hAnsi="Times New Roman"/>
          <w:b/>
          <w:color w:val="000000"/>
          <w:sz w:val="20"/>
          <w:u w:val="single"/>
        </w:rPr>
      </w:pPr>
      <w:bookmarkStart w:id="16" w:name="item_4_mine_safety_disclosures"/>
      <w:bookmarkEnd w:id="16"/>
      <w:r>
        <w:rPr>
          <w:rFonts w:ascii="Times New Roman" w:hAnsi="Times New Roman"/>
          <w:b/>
          <w:color w:val="000000"/>
          <w:sz w:val="20"/>
          <w:u w:val="single"/>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7" w:name="item_5_orinformation"/>
      <w:bookmarkEnd w:id="17"/>
      <w:r>
        <w:rPr>
          <w:rFonts w:ascii="Times New Roman" w:hAnsi="Times New Roman"/>
          <w:b/>
          <w:color w:val="000000"/>
          <w:sz w:val="20"/>
          <w:u w:val="single"/>
        </w:rPr>
        <w:t>Item 5. Other</w:t>
      </w:r>
      <w:r>
        <w:rPr>
          <w:rFonts w:ascii="Times New Roman" w:hAnsi="Times New Roman"/>
          <w:color w:val="000000"/>
          <w:sz w:val="20"/>
          <w:u w:val="single"/>
        </w:rPr>
        <w:t xml:space="preserve"> </w:t>
      </w:r>
      <w:r>
        <w:rPr>
          <w:rFonts w:ascii="Times New Roman" w:hAnsi="Times New Roman"/>
          <w:b/>
          <w:color w:val="000000"/>
          <w:sz w:val="20"/>
          <w:u w:val="single"/>
        </w:rPr>
        <w:t>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Adoption of 10b5-1 Trading Plans by Our Officers and Directors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Damien J. Renwick, Executive Vice President and Chief Commercial Officer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13, 2026, Damien J. Renwick, our Executive Vice President and Chief Commercial Officer, entered into a Rule 10b5-1 trading plan that is intended to satisfy the affirmative defense of Rule 10b5-1(c) and provides that Mr. Renwick, acting through a broker, may sell up to an aggregate of 15,890 shares of our common stock, subject to adjustments for stock splits, stock combinations, stock dividends and other similar changes to our common stock. Sales of shares under the plan may only occur from August 12, 2026 to June 30, 2027. The plan is scheduled to terminate on June 30, 2027, subject to earlier termination upon the sale of all shares subject to the plan or the expiration of all sale orders under the plan, upon termination by Mr. Renwick or the broker, or as otherwise provided in the plan.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Jonathan Z. Ackerman, Member of the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13, 2026, Jonathan Z. Ackerman, a member of our board of directors, entered into Rule 10b5-1 trading plan that is intended to satisfy the affirmative defense of Rule 10b5-1(c) and provides that Mr. Ackerman, acting through a broker, may purchase up to an aggregate of 9,000 shares of our common stock, subject to adjustments for stock splits, stock combinations, stock dividends and other similar changes to our common stock. Purchases of shares under the plan may begin on August 12, 2026. The plan will terminate upon the earliest to occur of the purchase of all shares subject to the plan, upon termination by Mr. Ackerman or the broker, or as otherwise provided in the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than as described above, during the three months ended June 30, 2026, none of the Company’s directors or executive officers adopted or terminated a “Rule 10b5-1 trading arrangement” or “non-Rule 10b5-1 trading arrangement,” as each term is defined in Item 408(a) of Regulation S-K.</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bookmarkStart w:id="18" w:name="item_6exhibits"/>
      <w:bookmarkEnd w:id="18"/>
      <w:r>
        <w:rPr>
          <w:rFonts w:ascii="Times New Roman" w:hAnsi="Times New Roman"/>
          <w:b/>
          <w:color w:val="000000"/>
          <w:sz w:val="20"/>
          <w:u w:val="single"/>
        </w:rPr>
        <w:t>Item 6. Exhibits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See “Index to Exhibits” on page 39. </w:t>
      </w:r>
    </w:p>
    <w:p>
      <w:pPr>
        <w:pStyle w:val="TextBody"/>
        <w:bidi w:val="0"/>
        <w:jc w:val="both"/>
        <w:rPr/>
      </w:pPr>
      <w:r>
        <w:rPr/>
        <w:t> </w:t>
      </w:r>
    </w:p>
    <w:p>
      <w:pPr>
        <w:pStyle w:val="TextBody"/>
        <w:bidi w:val="0"/>
        <w:spacing w:before="120" w:after="283"/>
        <w:jc w:val="left"/>
        <w:rPr>
          <w:rFonts w:ascii="Times New Roman" w:hAnsi="Times New Roman"/>
          <w:sz w:val="20"/>
        </w:rPr>
      </w:pPr>
      <w:bookmarkStart w:id="19" w:name="item_5_or_information"/>
      <w:bookmarkStart w:id="20" w:name="index_item_6"/>
      <w:bookmarkEnd w:id="19"/>
      <w:bookmarkEnd w:id="20"/>
      <w:r>
        <w:rPr>
          <w:rFonts w:ascii="Times New Roman" w:hAnsi="Times New Roman"/>
          <w:b/>
          <w:color w:val="000000"/>
          <w:sz w:val="20"/>
          <w:u w:val="single"/>
        </w:rPr>
        <w:t>Index to Exhibits Item 6.</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30"/>
        <w:gridCol w:w="146"/>
        <w:gridCol w:w="5651"/>
        <w:gridCol w:w="146"/>
        <w:gridCol w:w="3432"/>
      </w:tblGrid>
      <w:tr>
        <w:trPr/>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432" w:type="dxa"/>
            <w:tcBorders/>
            <w:shd w:fill="FFFFFF" w:val="clear"/>
            <w:vAlign w:val="center"/>
          </w:tcPr>
          <w:p>
            <w:pPr>
              <w:pStyle w:val="TableContents"/>
              <w:bidi w:val="0"/>
              <w:spacing w:before="0" w:after="283"/>
              <w:jc w:val="left"/>
              <w:rPr>
                <w:sz w:val="4"/>
                <w:szCs w:val="4"/>
              </w:rPr>
            </w:pPr>
            <w:r>
              <w:rPr>
                <w:sz w:val="4"/>
                <w:szCs w:val="4"/>
              </w:rPr>
            </w:r>
          </w:p>
        </w:tc>
      </w:tr>
      <w:tr>
        <w:trPr/>
        <w:tc>
          <w:tcPr>
            <w:tcW w:w="830"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32"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 by Reference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 the Following</w:t>
            </w:r>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3(i).1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Certificate of Incorporation of LSB Industries, Inc., dated January 21, 1977, as amended August 27, 1987</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3(i).1 to the Company’s Form 10-K filed on February 28, 2013</w:t>
            </w:r>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3(i).2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the Restated Certificate of Incorporation of LSB Industries, dated September 23, 2021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3(i).2 to the Company’s Registration Statement on Form S-3 filed on November 16, 2021</w:t>
            </w:r>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3(ii).1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Third Amended and Restated Bylaws of LSB Industries,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Exhibit 3(ii).1(a) to the Company’s Form 10-Q filed on April 30, 2026</w:t>
            </w:r>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b w:val="false"/>
                <w:color w:val="000000"/>
                <w:sz w:val="20"/>
              </w:rPr>
            </w:pPr>
            <w:r>
              <w:rPr>
                <w:rFonts w:ascii="Times New Roman" w:hAnsi="Times New Roman"/>
                <w:b w:val="false"/>
                <w:color w:val="000000"/>
                <w:sz w:val="20"/>
              </w:rPr>
              <w:t>31.1(a)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both"/>
              <w:rPr/>
            </w:pPr>
            <w:hyperlink w:anchor="lxu-ex31_1.htm">
              <w:r>
                <w:rPr>
                  <w:rStyle w:val="InternetLink"/>
                  <w:rFonts w:ascii="Times New Roman" w:hAnsi="Times New Roman"/>
                  <w:color w:val="0000FF"/>
                  <w:sz w:val="20"/>
                  <w:u w:val="single"/>
                </w:rPr>
                <w:t>Certification of Mark T. Behrman, Chief Executive Officer, pursuant to Sarbanes-Oxley Act of 2002, Section 302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b w:val="false"/>
                <w:color w:val="000000"/>
                <w:sz w:val="20"/>
              </w:rPr>
            </w:pPr>
            <w:r>
              <w:rPr>
                <w:rFonts w:ascii="Times New Roman" w:hAnsi="Times New Roman"/>
                <w:b w:val="false"/>
                <w:color w:val="000000"/>
                <w:sz w:val="20"/>
              </w:rPr>
              <w:t>31.2(a)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both"/>
              <w:rPr/>
            </w:pPr>
            <w:hyperlink w:anchor="lxu-ex31_2.htm">
              <w:r>
                <w:rPr>
                  <w:rStyle w:val="InternetLink"/>
                  <w:rFonts w:ascii="Times New Roman" w:hAnsi="Times New Roman"/>
                  <w:color w:val="0000FF"/>
                  <w:sz w:val="20"/>
                  <w:u w:val="single"/>
                </w:rPr>
                <w:t>Certification of Cheryl A. Maguire, Chief Financial Officer, pursuant to Sarbanes-Oxley Act of 2002, Section 302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b w:val="false"/>
                <w:color w:val="000000"/>
                <w:sz w:val="20"/>
              </w:rPr>
            </w:pPr>
            <w:r>
              <w:rPr>
                <w:rFonts w:ascii="Times New Roman" w:hAnsi="Times New Roman"/>
                <w:b w:val="false"/>
                <w:color w:val="000000"/>
                <w:sz w:val="20"/>
              </w:rPr>
              <w:t>32.1(a)(b)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both"/>
              <w:rPr/>
            </w:pPr>
            <w:hyperlink w:anchor="lxu-ex32_1.htm">
              <w:r>
                <w:rPr>
                  <w:rStyle w:val="InternetLink"/>
                  <w:rFonts w:ascii="Times New Roman" w:hAnsi="Times New Roman"/>
                  <w:color w:val="0000FF"/>
                  <w:sz w:val="20"/>
                  <w:u w:val="single"/>
                </w:rPr>
                <w:t>Certification of Mark T. Behrman, Chief Executive Officer, furnished pursuant to Sarbanes-Oxley Act of 2002, Section 906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b w:val="false"/>
                <w:color w:val="000000"/>
                <w:sz w:val="20"/>
              </w:rPr>
            </w:pPr>
            <w:r>
              <w:rPr>
                <w:rFonts w:ascii="Times New Roman" w:hAnsi="Times New Roman"/>
                <w:b w:val="false"/>
                <w:color w:val="000000"/>
                <w:sz w:val="20"/>
              </w:rPr>
              <w:t>32.2(a)(b)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both"/>
              <w:rPr/>
            </w:pPr>
            <w:hyperlink w:anchor="lxu-ex32_2.htm">
              <w:r>
                <w:rPr>
                  <w:rStyle w:val="InternetLink"/>
                  <w:rFonts w:ascii="Times New Roman" w:hAnsi="Times New Roman"/>
                  <w:color w:val="0000FF"/>
                  <w:sz w:val="20"/>
                  <w:u w:val="single"/>
                </w:rPr>
                <w:t>Certification of Cheryl A. Maguire, Chief Financial Officer, furnished pursuant to Sarbanes-Oxley Act of 2002, Section 906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b w:val="false"/>
                <w:color w:val="000000"/>
                <w:sz w:val="20"/>
              </w:rPr>
            </w:pPr>
            <w:r>
              <w:rPr>
                <w:rFonts w:ascii="Times New Roman" w:hAnsi="Times New Roman"/>
                <w:b w:val="false"/>
                <w:color w:val="000000"/>
                <w:sz w:val="20"/>
              </w:rPr>
              <w:t>101.INS(a)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b w:val="false"/>
                <w:color w:val="000000"/>
                <w:sz w:val="20"/>
              </w:rPr>
            </w:pPr>
            <w:r>
              <w:rPr>
                <w:rFonts w:ascii="Times New Roman" w:hAnsi="Times New Roman"/>
                <w:b w:val="false"/>
                <w:color w:val="000000"/>
                <w:sz w:val="20"/>
              </w:rPr>
              <w:t>101.SCH(a)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b w:val="false"/>
                <w:color w:val="000000"/>
                <w:sz w:val="20"/>
              </w:rPr>
            </w:pPr>
            <w:r>
              <w:rPr>
                <w:rFonts w:ascii="Times New Roman" w:hAnsi="Times New Roman"/>
                <w:b w:val="false"/>
                <w:color w:val="000000"/>
                <w:sz w:val="20"/>
              </w:rPr>
              <w:t>101.CAL(a)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b w:val="false"/>
                <w:color w:val="000000"/>
                <w:sz w:val="20"/>
              </w:rPr>
            </w:pPr>
            <w:r>
              <w:rPr>
                <w:rFonts w:ascii="Times New Roman" w:hAnsi="Times New Roman"/>
                <w:b w:val="false"/>
                <w:color w:val="000000"/>
                <w:sz w:val="20"/>
              </w:rPr>
              <w:t>101.DEF(a)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b w:val="false"/>
                <w:color w:val="000000"/>
                <w:sz w:val="20"/>
              </w:rPr>
            </w:pPr>
            <w:r>
              <w:rPr>
                <w:rFonts w:ascii="Times New Roman" w:hAnsi="Times New Roman"/>
                <w:b w:val="false"/>
                <w:color w:val="000000"/>
                <w:sz w:val="20"/>
              </w:rPr>
              <w:t>101.LAB(a)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Labels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b w:val="false"/>
                <w:color w:val="000000"/>
                <w:sz w:val="20"/>
              </w:rPr>
            </w:pPr>
            <w:r>
              <w:rPr>
                <w:rFonts w:ascii="Times New Roman" w:hAnsi="Times New Roman"/>
                <w:b w:val="false"/>
                <w:color w:val="000000"/>
                <w:sz w:val="20"/>
              </w:rPr>
              <w:t>101.PRE(a)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b w:val="false"/>
                <w:color w:val="000000"/>
                <w:sz w:val="20"/>
              </w:rPr>
            </w:pPr>
            <w:r>
              <w:rPr>
                <w:rFonts w:ascii="Times New Roman" w:hAnsi="Times New Roman"/>
                <w:b w:val="false"/>
                <w:color w:val="000000"/>
                <w:sz w:val="20"/>
              </w:rPr>
              <w:t>104(a)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Filed herewith or furnished herewith.</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(b)</w:t>
      </w:r>
    </w:p>
    <w:p>
      <w:pPr>
        <w:pStyle w:val="TextBody"/>
        <w:bidi w:val="0"/>
        <w:jc w:val="both"/>
        <w:rPr>
          <w:rFonts w:ascii="Times New Roman" w:hAnsi="Times New Roman"/>
          <w:color w:val="000000"/>
          <w:sz w:val="18"/>
        </w:rPr>
      </w:pPr>
      <w:r>
        <w:rPr>
          <w:rFonts w:ascii="Times New Roman" w:hAnsi="Times New Roman"/>
          <w:color w:val="000000"/>
          <w:sz w:val="18"/>
        </w:rPr>
        <w:t>The certifications attached as Exhibits 32.1 and 32.2 are not deemed “filed” with the SEC and are not to be incorporated by reference into any filing of LSB Industries, Inc. under the Securities Act of 1933, as amended, whether made before or after the date of this Quarterly Report on Form 10-Q, irrespective of any general incorporation language contained in such filing.</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0"/>
          <w:u w:val="single"/>
        </w:rPr>
      </w:pPr>
      <w:bookmarkStart w:id="21" w:name="signatures"/>
      <w:bookmarkEnd w:id="21"/>
      <w:r>
        <w:rPr>
          <w:rFonts w:ascii="Times New Roman" w:hAnsi="Times New Roman"/>
          <w:b/>
          <w:color w:val="000000"/>
          <w:sz w:val="20"/>
          <w:u w:val="single"/>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p>
      <w:pPr>
        <w:pStyle w:val="TextBody"/>
        <w:bidi w:val="0"/>
        <w:jc w:val="left"/>
        <w:rPr/>
      </w:pPr>
      <w:r>
        <w:rPr/>
        <w:t> </w:t>
      </w:r>
    </w:p>
    <w:tbl>
      <w:tblPr>
        <w:tblW w:w="6152" w:type="dxa"/>
        <w:jc w:val="left"/>
        <w:tblInd w:w="0" w:type="dxa"/>
        <w:tblLayout w:type="fixed"/>
        <w:tblCellMar>
          <w:top w:w="28" w:type="dxa"/>
          <w:left w:w="28" w:type="dxa"/>
          <w:bottom w:w="28" w:type="dxa"/>
          <w:right w:w="28" w:type="dxa"/>
        </w:tblCellMar>
      </w:tblPr>
      <w:tblGrid>
        <w:gridCol w:w="1711"/>
        <w:gridCol w:w="4441"/>
      </w:tblGrid>
      <w:tr>
        <w:trPr/>
        <w:tc>
          <w:tcPr>
            <w:tcW w:w="1711"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LSB INDUSTRIES, INC.</w:t>
            </w:r>
          </w:p>
        </w:tc>
      </w:tr>
      <w:tr>
        <w:trPr/>
        <w:tc>
          <w:tcPr>
            <w:tcW w:w="1711" w:type="dxa"/>
            <w:tcBorders/>
            <w:tcMar>
              <w:top w:w="0" w:type="dxa"/>
              <w:left w:w="0" w:type="dxa"/>
              <w:bottom w:w="0" w:type="dxa"/>
              <w:right w:w="0" w:type="dxa"/>
            </w:tcMar>
            <w:vAlign w:val="center"/>
          </w:tcPr>
          <w:p>
            <w:pPr>
              <w:pStyle w:val="TableContents"/>
              <w:bidi w:val="0"/>
              <w:spacing w:before="12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Cheryl A. Maguire</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Cheryl A. Maguire</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bookmarkStart w:id="22" w:name="lxu-ex31_1.htm"/>
      <w:bookmarkStart w:id="23" w:name="kslxuex31_1"/>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Mark T. Behrman,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have reviewed this Quarterly Report on Form 10-Q of LSB Industries, Inc. (the “registrant”);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July 30, 2026</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283"/>
              <w:jc w:val="left"/>
              <w:rPr>
                <w:sz w:val="4"/>
                <w:szCs w:val="4"/>
              </w:rPr>
            </w:pPr>
            <w:r>
              <w:rPr>
                <w:sz w:val="4"/>
                <w:szCs w:val="4"/>
              </w:rPr>
            </w:r>
          </w:p>
        </w:tc>
      </w:tr>
      <w:tr>
        <w:trPr/>
        <w:tc>
          <w:tcPr>
            <w:tcW w:w="33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T. Behrman</w:t>
            </w:r>
          </w:p>
        </w:tc>
      </w:tr>
      <w:tr>
        <w:trPr/>
        <w:tc>
          <w:tcPr>
            <w:tcW w:w="3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T. Behrman</w:t>
            </w:r>
          </w:p>
        </w:tc>
      </w:tr>
      <w:tr>
        <w:trPr/>
        <w:tc>
          <w:tcPr>
            <w:tcW w:w="3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w:t>
            </w:r>
          </w:p>
        </w:tc>
      </w:tr>
      <w:tr>
        <w:trPr/>
        <w:tc>
          <w:tcPr>
            <w:tcW w:w="3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 Chairman of the Board of Directors</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lxu-ex31_2.htm"/>
      <w:bookmarkStart w:id="25" w:name="kslxu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Cheryl A. Maguire,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have reviewed this Quarterly Report on Form 10-Q of LSB Industries, Inc. (the “registrant”);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July 30, 2026</w:t>
      </w:r>
    </w:p>
    <w:p>
      <w:pPr>
        <w:pStyle w:val="TextBody"/>
        <w:bidi w:val="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283"/>
              <w:jc w:val="left"/>
              <w:rPr>
                <w:sz w:val="4"/>
                <w:szCs w:val="4"/>
              </w:rPr>
            </w:pPr>
            <w:r>
              <w:rPr>
                <w:sz w:val="4"/>
                <w:szCs w:val="4"/>
              </w:rPr>
            </w:r>
          </w:p>
        </w:tc>
      </w:tr>
      <w:tr>
        <w:trPr/>
        <w:tc>
          <w:tcPr>
            <w:tcW w:w="23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Cheryl A. Maguire</w:t>
            </w:r>
          </w:p>
        </w:tc>
      </w:tr>
      <w:tr>
        <w:trPr/>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Cheryl A. Maguire</w:t>
            </w:r>
          </w:p>
        </w:tc>
      </w:tr>
      <w:tr>
        <w:trPr/>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w:t>
            </w:r>
          </w:p>
        </w:tc>
      </w:tr>
      <w:tr>
        <w:trPr/>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lxu-ex32_1.htm"/>
      <w:bookmarkStart w:id="27" w:name="kslxuex32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Heading1"/>
        <w:bidi w:val="0"/>
        <w:spacing w:before="240" w:after="283"/>
        <w:jc w:val="center"/>
        <w:rPr>
          <w:rFonts w:ascii="Times New Roman" w:hAnsi="Times New Roman"/>
          <w:b w:val="false"/>
          <w:color w:val="000000"/>
          <w:sz w:val="20"/>
        </w:rPr>
      </w:pPr>
      <w:r>
        <w:rPr>
          <w:rFonts w:ascii="Times New Roman" w:hAnsi="Times New Roman"/>
          <w:b w:val="false"/>
          <w:color w:val="000000"/>
          <w:sz w:val="20"/>
        </w:rPr>
        <w:t>CERTIFICATION PURSUANT TO</w:t>
      </w:r>
    </w:p>
    <w:p>
      <w:pPr>
        <w:pStyle w:val="Heading1"/>
        <w:bidi w:val="0"/>
        <w:jc w:val="center"/>
        <w:rPr>
          <w:rFonts w:ascii="Times New Roman" w:hAnsi="Times New Roman"/>
          <w:b w:val="false"/>
          <w:color w:val="000000"/>
          <w:sz w:val="20"/>
        </w:rPr>
      </w:pPr>
      <w:r>
        <w:rPr>
          <w:rFonts w:ascii="Times New Roman" w:hAnsi="Times New Roman"/>
          <w:b w:val="false"/>
          <w:color w:val="000000"/>
          <w:sz w:val="20"/>
        </w:rPr>
        <w:t>18 U.S.C. SECTION 1350</w:t>
      </w:r>
    </w:p>
    <w:p>
      <w:pPr>
        <w:pStyle w:val="Heading1"/>
        <w:bidi w:val="0"/>
        <w:jc w:val="center"/>
        <w:rPr>
          <w:rFonts w:ascii="Times New Roman" w:hAnsi="Times New Roman"/>
          <w:b w:val="false"/>
          <w:color w:val="000000"/>
          <w:sz w:val="20"/>
        </w:rPr>
      </w:pPr>
      <w:r>
        <w:rPr>
          <w:rFonts w:ascii="Times New Roman" w:hAnsi="Times New Roman"/>
          <w:b w:val="false"/>
          <w:color w:val="000000"/>
          <w:sz w:val="20"/>
        </w:rPr>
        <w:t>AS ADOPTED PURSUANT TO</w:t>
      </w:r>
    </w:p>
    <w:p>
      <w:pPr>
        <w:pStyle w:val="Heading1"/>
        <w:bidi w:val="0"/>
        <w:jc w:val="center"/>
        <w:rPr>
          <w:rFonts w:ascii="Times New Roman" w:hAnsi="Times New Roman"/>
          <w:b w:val="false"/>
          <w:color w:val="000000"/>
          <w:sz w:val="20"/>
        </w:rPr>
      </w:pPr>
      <w:r>
        <w:rPr>
          <w:rFonts w:ascii="Times New Roman" w:hAnsi="Times New Roman"/>
          <w:b w:val="false"/>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LSB Industries, Inc. (“LSB”) on Form 10-Q for the period ended June 30, 2026 as filed with the Securities and Exchange Commission on the date hereof (the “Report”), I, Mark T. Behrman, President and Chief Executive Officer of LSB, certify pursuant to 18 U.S.C. §1350, as adopted pursuant to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LSB.</w:t>
      </w:r>
    </w:p>
    <w:p>
      <w:pPr>
        <w:pStyle w:val="TextBody"/>
        <w:bidi w:val="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283"/>
              <w:jc w:val="left"/>
              <w:rPr>
                <w:sz w:val="4"/>
                <w:szCs w:val="4"/>
              </w:rPr>
            </w:pPr>
            <w:r>
              <w:rPr>
                <w:sz w:val="4"/>
                <w:szCs w:val="4"/>
              </w:rPr>
            </w:r>
          </w:p>
        </w:tc>
      </w:tr>
      <w:tr>
        <w:trPr/>
        <w:tc>
          <w:tcPr>
            <w:tcW w:w="30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T. Behrman</w:t>
            </w:r>
          </w:p>
        </w:tc>
      </w:tr>
      <w:tr>
        <w:trPr/>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T. Behrman</w:t>
            </w:r>
          </w:p>
        </w:tc>
      </w:tr>
      <w:tr>
        <w:trPr/>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w:t>
            </w:r>
          </w:p>
        </w:tc>
      </w:tr>
      <w:tr>
        <w:trPr/>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 and</w:t>
            </w:r>
          </w:p>
        </w:tc>
      </w:tr>
      <w:tr>
        <w:trPr/>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of Directors</w:t>
            </w:r>
          </w:p>
        </w:tc>
      </w:tr>
    </w:tbl>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July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certification is furnished to the Securities and Exchange Commission solely for purpose of 18 U.S.C. §1350 subject to the knowledge standard contained therein, and not for any other purpose.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lxu-ex32_2.htm"/>
      <w:bookmarkStart w:id="29" w:name="kslxuex32_2"/>
      <w:bookmarkEnd w:id="28"/>
      <w:bookmarkEnd w:id="29"/>
      <w:r>
        <w:rPr/>
        <w:t> </w:t>
      </w:r>
      <w:r>
        <w:br w:type="page"/>
      </w:r>
    </w:p>
    <w:p>
      <w:pPr>
        <w:pStyle w:val="Heading2"/>
        <w:bidi w:val="0"/>
        <w:jc w:val="right"/>
        <w:rPr>
          <w:rFonts w:ascii="Times New Roman" w:hAnsi="Times New Roman"/>
          <w:color w:val="000000"/>
          <w:sz w:val="20"/>
        </w:rPr>
      </w:pPr>
      <w:r>
        <w:rPr>
          <w:rFonts w:ascii="Times New Roman" w:hAnsi="Times New Roman"/>
          <w:color w:val="000000"/>
          <w:sz w:val="20"/>
        </w:rPr>
        <w:t>Exhibit 32.2</w:t>
      </w:r>
    </w:p>
    <w:p>
      <w:pPr>
        <w:pStyle w:val="Heading1"/>
        <w:bidi w:val="0"/>
        <w:spacing w:before="240" w:after="283"/>
        <w:jc w:val="center"/>
        <w:rPr>
          <w:rFonts w:ascii="Times New Roman" w:hAnsi="Times New Roman"/>
          <w:b w:val="false"/>
          <w:color w:val="000000"/>
          <w:sz w:val="20"/>
        </w:rPr>
      </w:pPr>
      <w:r>
        <w:rPr>
          <w:rFonts w:ascii="Times New Roman" w:hAnsi="Times New Roman"/>
          <w:b w:val="false"/>
          <w:color w:val="000000"/>
          <w:sz w:val="20"/>
        </w:rPr>
        <w:t>CERTIFICATION PURSUANT TO</w:t>
      </w:r>
    </w:p>
    <w:p>
      <w:pPr>
        <w:pStyle w:val="Heading1"/>
        <w:bidi w:val="0"/>
        <w:jc w:val="center"/>
        <w:rPr>
          <w:rFonts w:ascii="Times New Roman" w:hAnsi="Times New Roman"/>
          <w:b w:val="false"/>
          <w:color w:val="000000"/>
          <w:sz w:val="20"/>
        </w:rPr>
      </w:pPr>
      <w:r>
        <w:rPr>
          <w:rFonts w:ascii="Times New Roman" w:hAnsi="Times New Roman"/>
          <w:b w:val="false"/>
          <w:color w:val="000000"/>
          <w:sz w:val="20"/>
        </w:rPr>
        <w:t>18 U.S.C. SECTION 1350</w:t>
      </w:r>
    </w:p>
    <w:p>
      <w:pPr>
        <w:pStyle w:val="Heading1"/>
        <w:bidi w:val="0"/>
        <w:jc w:val="center"/>
        <w:rPr>
          <w:rFonts w:ascii="Times New Roman" w:hAnsi="Times New Roman"/>
          <w:b w:val="false"/>
          <w:color w:val="000000"/>
          <w:sz w:val="20"/>
        </w:rPr>
      </w:pPr>
      <w:r>
        <w:rPr>
          <w:rFonts w:ascii="Times New Roman" w:hAnsi="Times New Roman"/>
          <w:b w:val="false"/>
          <w:color w:val="000000"/>
          <w:sz w:val="20"/>
        </w:rPr>
        <w:t>AS ADOPTED PURSUANT TO</w:t>
      </w:r>
    </w:p>
    <w:p>
      <w:pPr>
        <w:pStyle w:val="Heading1"/>
        <w:bidi w:val="0"/>
        <w:jc w:val="center"/>
        <w:rPr>
          <w:rFonts w:ascii="Times New Roman" w:hAnsi="Times New Roman"/>
          <w:b w:val="false"/>
          <w:color w:val="000000"/>
          <w:sz w:val="20"/>
        </w:rPr>
      </w:pPr>
      <w:r>
        <w:rPr>
          <w:rFonts w:ascii="Times New Roman" w:hAnsi="Times New Roman"/>
          <w:b w:val="false"/>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LSB Industries, Inc. (“LSB”) on Form 10-Q for the period ended June 30, 2026 as filed with the Securities and Exchange Commission on the date hereof (the “Report”), I, Cheryl A. Maguire, Executive Vice President and Chief Financial Officer of LSB, certify pursuant to 18 U.S.C. §1350, as adopted pursuant to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 (a) or 15 (d)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LSB.</w:t>
      </w:r>
    </w:p>
    <w:p>
      <w:pPr>
        <w:pStyle w:val="TextBody"/>
        <w:bidi w:val="0"/>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283"/>
              <w:jc w:val="left"/>
              <w:rPr>
                <w:sz w:val="4"/>
                <w:szCs w:val="4"/>
              </w:rPr>
            </w:pPr>
            <w:r>
              <w:rPr>
                <w:sz w:val="4"/>
                <w:szCs w:val="4"/>
              </w:rPr>
            </w:r>
          </w:p>
        </w:tc>
      </w:tr>
      <w:tr>
        <w:trPr/>
        <w:tc>
          <w:tcPr>
            <w:tcW w:w="37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Cheryl A. Maguire</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Cheryl A. Maguire</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Executive Vice President </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 Chief Financial Officer</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July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certification is furnished to the Securities and Exchange Commission solely for purpose of 18 U.S.C. §1350 subject to the knowledge standard contained therein and not for any other purpose.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60714/000119312513084410/d447083dex3i1.htm" TargetMode="External"/><Relationship Id="rId3" Type="http://schemas.openxmlformats.org/officeDocument/2006/relationships/hyperlink" Target="https://www.sec.gov/Archives/edgar/data/0000060714/000119312521331386/d173096dex3i2.htm" TargetMode="External"/><Relationship Id="rId4" Type="http://schemas.openxmlformats.org/officeDocument/2006/relationships/hyperlink" Target="https://www.sec.gov/Archives/edgar/data/60714/000119312526197288/lxu-ex3_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22959</Words>
  <Characters>125872</Characters>
  <CharactersWithSpaces>150034</CharactersWithSpaces>
  <Paragraphs>5842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