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600" w:type="dxa"/>
        <w:tblCellMar>
          <w:top w:w="0" w:type="dxa"/>
          <w:left w:w="0" w:type="dxa"/>
          <w:bottom w:w="0" w:type="dxa"/>
          <w:right w:w="0" w:type="dxa"/>
        </w:tblCellMar>
      </w:tblPr>
      <w:tr>
        <w:trPr>
          <w:trHeight w:val="212"/>
        </w:trPr>
        <w:tc>
          <w:tcPr>
            <w:tcW w:w="7080" w:type="dxa"/>
            <w:vAlign w:val="bottom"/>
          </w:tcPr>
          <w:p>
            <w:pPr>
              <w:jc w:val="center"/>
              <w:ind w:right="248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080" w:type="dxa"/>
            <w:vAlign w:val="bottom"/>
          </w:tcPr>
          <w:p>
            <w:pPr>
              <w:jc w:val="center"/>
              <w:ind w:right="24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80" w:type="dxa"/>
            <w:vAlign w:val="bottom"/>
          </w:tcPr>
          <w:p>
            <w:pPr>
              <w:jc w:val="center"/>
              <w:ind w:right="2480"/>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7080" w:type="dxa"/>
            <w:vAlign w:val="bottom"/>
          </w:tcPr>
          <w:p>
            <w:pPr>
              <w:jc w:val="center"/>
              <w:ind w:right="248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080" w:type="dxa"/>
            <w:vAlign w:val="bottom"/>
          </w:tcPr>
          <w:p>
            <w:pPr>
              <w:jc w:val="center"/>
              <w:ind w:right="2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7080" w:type="dxa"/>
            <w:vAlign w:val="bottom"/>
          </w:tcPr>
          <w:p>
            <w:pPr>
              <w:jc w:val="right"/>
              <w:ind w:right="1300"/>
              <w:spacing w:after="0"/>
              <w:rPr>
                <w:sz w:val="20"/>
                <w:szCs w:val="20"/>
                <w:color w:val="auto"/>
              </w:rPr>
            </w:pPr>
            <w:r>
              <w:rPr>
                <w:rFonts w:ascii="Arial" w:cs="Arial" w:eastAsia="Arial" w:hAnsi="Arial"/>
                <w:sz w:val="18"/>
                <w:szCs w:val="18"/>
                <w:b w:val="1"/>
                <w:bCs w:val="1"/>
                <w:color w:val="auto"/>
              </w:rPr>
              <w:t>(405) 235-4546</w:t>
            </w:r>
          </w:p>
        </w:tc>
        <w:tc>
          <w:tcPr>
            <w:tcW w:w="1460" w:type="dxa"/>
            <w:vAlign w:val="bottom"/>
          </w:tcPr>
          <w:p>
            <w:pPr>
              <w:spacing w:after="0"/>
              <w:rPr>
                <w:sz w:val="24"/>
                <w:szCs w:val="24"/>
                <w:color w:val="auto"/>
              </w:rPr>
            </w:pPr>
          </w:p>
        </w:tc>
      </w:tr>
      <w:tr>
        <w:trPr>
          <w:trHeight w:val="186"/>
        </w:trPr>
        <w:tc>
          <w:tcPr>
            <w:tcW w:w="7080" w:type="dxa"/>
            <w:vAlign w:val="bottom"/>
          </w:tcPr>
          <w:p>
            <w:pPr>
              <w:jc w:val="center"/>
              <w:ind w:left="30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10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108"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22"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76" w:lineRule="exact"/>
        <w:rPr>
          <w:sz w:val="24"/>
          <w:szCs w:val="24"/>
          <w:color w:val="auto"/>
        </w:rPr>
      </w:pPr>
    </w:p>
    <w:p>
      <w:pPr>
        <w:sectPr>
          <w:pgSz w:w="11900" w:h="16838" w:orient="portrait"/>
          <w:cols w:equalWidth="0" w:num="4">
            <w:col w:w="1620" w:space="360"/>
            <w:col w:w="6080" w:space="720"/>
            <w:col w:w="1680" w:space="720"/>
            <w:col w:w="240"/>
          </w:cols>
          <w:pgMar w:left="240" w:top="4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76" w:lineRule="exact"/>
        <w:rPr>
          <w:sz w:val="24"/>
          <w:szCs w:val="24"/>
          <w:color w:val="auto"/>
        </w:rPr>
      </w:pPr>
    </w:p>
    <w:p>
      <w:pPr>
        <w:sectPr>
          <w:pgSz w:w="11900" w:h="16838" w:orient="portrait"/>
          <w:cols w:equalWidth="0" w:num="4">
            <w:col w:w="1540" w:space="440"/>
            <w:col w:w="6080" w:space="720"/>
            <w:col w:w="1980" w:space="420"/>
            <w:col w:w="240"/>
          </w:cols>
          <w:pgMar w:left="240" w:top="4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was 23,865,518 shares as of April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60" w:type="dxa"/>
            <w:vAlign w:val="bottom"/>
            <w:gridSpan w:val="4"/>
          </w:tcPr>
          <w:p>
            <w:pPr>
              <w:jc w:val="center"/>
              <w:ind w:right="2420"/>
              <w:spacing w:after="0"/>
              <w:rPr>
                <w:sz w:val="20"/>
                <w:szCs w:val="20"/>
                <w:color w:val="auto"/>
              </w:rPr>
            </w:pPr>
            <w:r>
              <w:rPr>
                <w:rFonts w:ascii="Arial" w:cs="Arial" w:eastAsia="Arial" w:hAnsi="Arial"/>
                <w:sz w:val="18"/>
                <w:szCs w:val="18"/>
                <w:color w:val="auto"/>
                <w:w w:val="95"/>
              </w:rPr>
              <w:t>FORM 10-Q OF LSB INDUSTRIES, INC.</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4"/>
          </w:tcPr>
          <w:p>
            <w:pPr>
              <w:jc w:val="center"/>
              <w:ind w:right="244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4"/>
          </w:tcPr>
          <w:p>
            <w:pPr>
              <w:jc w:val="center"/>
              <w:ind w:right="23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5620" w:type="dxa"/>
            <w:vAlign w:val="bottom"/>
            <w:gridSpan w:val="2"/>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669"/>
        </w:trPr>
        <w:tc>
          <w:tcPr>
            <w:tcW w:w="7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4"/>
          </w:tcPr>
          <w:p>
            <w:pPr>
              <w:jc w:val="center"/>
              <w:ind w:right="2320"/>
              <w:spacing w:after="0"/>
              <w:rPr>
                <w:sz w:val="20"/>
                <w:szCs w:val="20"/>
                <w:color w:val="auto"/>
              </w:rPr>
            </w:pPr>
            <w:r>
              <w:rPr>
                <w:rFonts w:ascii="Arial" w:cs="Arial" w:eastAsia="Arial" w:hAnsi="Arial"/>
                <w:sz w:val="18"/>
                <w:szCs w:val="18"/>
                <w:color w:val="auto"/>
                <w:w w:val="94"/>
              </w:rPr>
              <w:t>PART II – Other Information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8640" w:type="dxa"/>
            <w:vAlign w:val="bottom"/>
            <w:gridSpan w:val="8"/>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98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640" w:type="dxa"/>
            <w:vAlign w:val="bottom"/>
            <w:gridSpan w:val="3"/>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660" w:type="dxa"/>
            <w:vAlign w:val="bottom"/>
            <w:gridSpan w:val="4"/>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660" w:type="dxa"/>
            <w:vAlign w:val="bottom"/>
            <w:gridSpan w:val="9"/>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9380" w:type="dxa"/>
            <w:vAlign w:val="bottom"/>
            <w:gridSpan w:val="11"/>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858"/>
        </w:trPr>
        <w:tc>
          <w:tcPr>
            <w:tcW w:w="780" w:type="dxa"/>
            <w:vAlign w:val="bottom"/>
          </w:tcPr>
          <w:p>
            <w:pPr>
              <w:spacing w:after="0"/>
              <w:rPr>
                <w:sz w:val="24"/>
                <w:szCs w:val="24"/>
                <w:color w:val="auto"/>
              </w:rPr>
            </w:pPr>
          </w:p>
        </w:tc>
        <w:tc>
          <w:tcPr>
            <w:tcW w:w="6440" w:type="dxa"/>
            <w:vAlign w:val="bottom"/>
            <w:gridSpan w:val="11"/>
          </w:tcPr>
          <w:p>
            <w:pPr>
              <w:jc w:val="center"/>
              <w:ind w:left="3330"/>
              <w:spacing w:after="0"/>
              <w:rPr>
                <w:sz w:val="20"/>
                <w:szCs w:val="20"/>
                <w:color w:val="auto"/>
              </w:rPr>
            </w:pPr>
            <w:r>
              <w:rPr>
                <w:rFonts w:ascii="Arial" w:cs="Arial" w:eastAsia="Arial" w:hAnsi="Arial"/>
                <w:sz w:val="18"/>
                <w:szCs w:val="18"/>
                <w:color w:val="auto"/>
                <w:w w:val="99"/>
              </w:rPr>
              <w:t>2</w:t>
            </w:r>
          </w:p>
        </w:tc>
        <w:tc>
          <w:tcPr>
            <w:tcW w:w="3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ind w:left="96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39,529</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87,496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Work in progress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Raw materials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inventories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Supplies, prepaid items and other:</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insurance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Precious metals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Prepaid and refundable income taxes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51,030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231,282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1,087,954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700" w:type="dxa"/>
            <w:vAlign w:val="bottom"/>
            <w:gridSpan w:val="2"/>
          </w:tcPr>
          <w:p>
            <w:pPr>
              <w:spacing w:after="0"/>
              <w:rPr>
                <w:sz w:val="20"/>
                <w:szCs w:val="20"/>
                <w:color w:val="auto"/>
              </w:rPr>
            </w:pPr>
            <w:r>
              <w:rPr>
                <w:rFonts w:ascii="Arial" w:cs="Arial" w:eastAsia="Arial" w:hAnsi="Arial"/>
                <w:sz w:val="18"/>
                <w:szCs w:val="18"/>
                <w:color w:val="auto"/>
              </w:rPr>
              <w:t>Intangible and other, net</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24,060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bottom w:val="single" w:sz="8" w:color="CFF0FC"/>
            </w:tcBorders>
            <w:shd w:val="clear" w:color="auto" w:fill="CFF0FC"/>
          </w:tcPr>
          <w:p>
            <w:pPr>
              <w:spacing w:after="0"/>
              <w:rPr>
                <w:sz w:val="19"/>
                <w:szCs w:val="19"/>
                <w:color w:val="auto"/>
              </w:rPr>
            </w:pP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1,343,296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6"/>
          </w:tcPr>
          <w:p>
            <w:pPr>
              <w:ind w:left="9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106,853</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3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511,678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497,954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50,715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color w:val="auto"/>
              </w:rPr>
              <w:t>Redeemable preferred stocks:</w:t>
            </w: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210,000 shares issued and outstanding; aggregate liquidation preference</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of $219,637,000 ($212,287,000 at December 31, 2015)</w:t>
            </w:r>
          </w:p>
        </w:tc>
        <w:tc>
          <w:tcPr>
            <w:tcW w:w="3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186,865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 shares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3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w w:val="90"/>
              </w:rPr>
              <w:t>Common stock, $.10 par value; 75,000,000 shares authorized,</w:t>
            </w:r>
          </w:p>
        </w:tc>
        <w:tc>
          <w:tcPr>
            <w:tcW w:w="3360" w:type="dxa"/>
            <w:vAlign w:val="bottom"/>
            <w:gridSpan w:val="2"/>
          </w:tcPr>
          <w:p>
            <w:pPr>
              <w:jc w:val="right"/>
              <w:ind w:right="1930"/>
              <w:spacing w:after="0"/>
              <w:rPr>
                <w:sz w:val="20"/>
                <w:szCs w:val="20"/>
                <w:color w:val="auto"/>
              </w:rPr>
            </w:pPr>
            <w:r>
              <w:rPr>
                <w:rFonts w:ascii="Arial" w:cs="Arial" w:eastAsia="Arial" w:hAnsi="Arial"/>
                <w:sz w:val="18"/>
                <w:szCs w:val="18"/>
                <w:color w:val="auto"/>
                <w:w w:val="88"/>
              </w:rPr>
              <w:t>27,137,599 shares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issued (27,131,724 shares at December 31, 2015)</w:t>
            </w:r>
          </w:p>
        </w:tc>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419,708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treasury stock, at cost:</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tcPr>
          <w:p>
            <w:pPr>
              <w:ind w:left="480"/>
              <w:spacing w:after="0"/>
              <w:rPr>
                <w:sz w:val="20"/>
                <w:szCs w:val="20"/>
                <w:color w:val="auto"/>
              </w:rPr>
            </w:pPr>
            <w:r>
              <w:rPr>
                <w:rFonts w:ascii="Arial" w:cs="Arial" w:eastAsia="Arial" w:hAnsi="Arial"/>
                <w:sz w:val="18"/>
                <w:szCs w:val="18"/>
                <w:color w:val="auto"/>
              </w:rPr>
              <w:t>Common stock, 3,283,081 shares (3,735,503 shares at December 31, 2015)</w:t>
            </w:r>
          </w:p>
        </w:tc>
        <w:tc>
          <w:tcPr>
            <w:tcW w:w="1320" w:type="dxa"/>
            <w:vAlign w:val="bottom"/>
          </w:tcPr>
          <w:p>
            <w:pPr>
              <w:jc w:val="right"/>
              <w:spacing w:after="0"/>
              <w:rPr>
                <w:sz w:val="20"/>
                <w:szCs w:val="20"/>
                <w:color w:val="auto"/>
              </w:rPr>
            </w:pPr>
            <w:r>
              <w:rPr>
                <w:rFonts w:ascii="Arial" w:cs="Arial" w:eastAsia="Arial" w:hAnsi="Arial"/>
                <w:sz w:val="18"/>
                <w:szCs w:val="18"/>
                <w:color w:val="auto"/>
              </w:rPr>
              <w:t>21,561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3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398,147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1,343,296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gridSpan w:val="5"/>
          </w:tcPr>
          <w:p>
            <w:pPr>
              <w:jc w:val="center"/>
              <w:ind w:left="512"/>
              <w:spacing w:after="0"/>
              <w:rPr>
                <w:sz w:val="20"/>
                <w:szCs w:val="20"/>
                <w:color w:val="auto"/>
              </w:rPr>
            </w:pPr>
            <w:r>
              <w:rPr>
                <w:rFonts w:ascii="Arial" w:cs="Arial" w:eastAsia="Arial" w:hAnsi="Arial"/>
                <w:sz w:val="18"/>
                <w:szCs w:val="18"/>
                <w:color w:val="auto"/>
                <w:w w:val="90"/>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6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March 31,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60" w:type="dxa"/>
            <w:vAlign w:val="bottom"/>
            <w:gridSpan w:val="7"/>
          </w:tcPr>
          <w:p>
            <w:pPr>
              <w:jc w:val="center"/>
              <w:ind w:right="140"/>
              <w:spacing w:after="0"/>
              <w:rPr>
                <w:sz w:val="20"/>
                <w:szCs w:val="20"/>
                <w:color w:val="auto"/>
              </w:rPr>
            </w:pPr>
            <w:r>
              <w:rPr>
                <w:rFonts w:ascii="Arial" w:cs="Arial" w:eastAsia="Arial" w:hAnsi="Arial"/>
                <w:sz w:val="16"/>
                <w:szCs w:val="16"/>
                <w:color w:val="auto"/>
                <w:w w:val="91"/>
              </w:rPr>
              <w:t>(In Thousands, Except Per Share Amounts)</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6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FF0FC"/>
          </w:tcPr>
          <w:p>
            <w:pPr>
              <w:jc w:val="right"/>
              <w:ind w:right="7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165,599</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198,798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150,590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158,037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26,862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4"/>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provision (benefit) for income taxes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(15,549)</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(14,939)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(14,941)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color w:val="auto"/>
              </w:rPr>
              <w:t>Dividends on convertible preferred stocks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Dividend on Series E redeemable preferred stock</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(24,609)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Income (loss) per common share:</w:t>
            </w: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and diluted:</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84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 from discontinued operations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Redeemable</w:t>
            </w:r>
          </w:p>
        </w:tc>
        <w:tc>
          <w:tcPr>
            <w:tcW w:w="2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Capital in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7"/>
              </w:rPr>
              <w:t>Preferred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Excess of</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Retained</w:t>
            </w:r>
          </w:p>
        </w:tc>
        <w:tc>
          <w:tcPr>
            <w:tcW w:w="14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Par Value</w:t>
            </w:r>
          </w:p>
        </w:tc>
        <w:tc>
          <w:tcPr>
            <w:tcW w:w="20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Par Value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Earnings</w:t>
            </w:r>
          </w:p>
        </w:tc>
        <w:tc>
          <w:tcPr>
            <w:tcW w:w="9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8"/>
              </w:rPr>
              <w:t>(In Thousands)</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192,249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248,150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(14,941)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 stock</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(2,243)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 from treasury stock</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Excess income tax detriment associated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with stock-based compensation</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190,378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223,616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398,147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6"/>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4"/>
          </w:tcPr>
          <w:p>
            <w:pPr>
              <w:jc w:val="center"/>
              <w:ind w:left="630"/>
              <w:spacing w:after="0"/>
              <w:rPr>
                <w:sz w:val="20"/>
                <w:szCs w:val="20"/>
                <w:color w:val="auto"/>
              </w:rPr>
            </w:pPr>
            <w:r>
              <w:rPr>
                <w:rFonts w:ascii="Arial" w:cs="Arial" w:eastAsia="Arial" w:hAnsi="Arial"/>
                <w:sz w:val="16"/>
                <w:szCs w:val="16"/>
                <w:color w:val="auto"/>
                <w:w w:val="91"/>
              </w:rPr>
              <w:t>(In Thousands)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(14,941)</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continuing operating</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(used) by changes in assets and liabilities (net of effects of</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discontinued operations):</w:t>
            </w: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accrued income taxes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Other supplies, prepaid items and other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Accrued interest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(8,078)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Customer deposits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(104,290)</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noncurrent restricted cash and cash equivalents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Other investing activities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by continuing investing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(104,804)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revolving debt facility</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Payments on revolving debt facility</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other long-term debt, net of fees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Payments on other long-term debt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(3,014)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of debt issuance costs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Payments of issuance costs relating to preferred stocks and warrants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short-term financing</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(2,720)</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Proceeds from exercises of stock options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Dividends paid on convertible preferred stocks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71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2015 (“2015 Form 10-K”), filed with the Securities and Exchange Commission (“SEC”) on February 29, 2016.</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Basis of Consolidation </w:t>
      </w:r>
      <w:r>
        <w:rPr>
          <w:rFonts w:ascii="Arial" w:cs="Arial" w:eastAsia="Arial" w:hAnsi="Arial"/>
          <w:sz w:val="17"/>
          <w:szCs w:val="17"/>
          <w:color w:val="auto"/>
        </w:rPr>
        <w:t>- 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All material intercompany accounts and transactions have been eliminated.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unaudited condensed consolidated financial statements of the Company as of March 31, 2016 and for the three month period ended March 31, 2016 and 2015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2015 Form 10-K.</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w:t>
      </w:r>
      <w:r>
        <w:rPr>
          <w:rFonts w:ascii="Arial" w:cs="Arial" w:eastAsia="Arial" w:hAnsi="Arial"/>
          <w:sz w:val="18"/>
          <w:szCs w:val="18"/>
          <w:color w:val="auto"/>
        </w:rPr>
        <w:t>– Financial instruments relating to cash and cash equivalents potentially subject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concentrations of credit risk. All of these financial instruments were held by financial institutions within the U.S. and none of these financial instruments were in excess of the federally insured limits.</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Redeemable Preferred Stocks </w:t>
      </w:r>
      <w:r>
        <w:rPr>
          <w:rFonts w:ascii="Arial" w:cs="Arial" w:eastAsia="Arial" w:hAnsi="Arial"/>
          <w:sz w:val="17"/>
          <w:szCs w:val="17"/>
          <w:color w:val="auto"/>
        </w:rPr>
        <w:t>- Our redeemable preferred stocks that are redeemable outside of our control are classified as temporary/mezzanine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The redeemable preferred stocks were recorded at fair value upon issuance, net of issuance costs or discounts. In addition, certain embedded features included in the Series E cumulative, redeemable Class C preferred stock (the “Series E Redeemable Preferred”) required bifurcation and are classified as derivative liabilities. The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The amount of accretion was recorded to retained earnings.</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 Equity award transactions with employees are measured based on the estimated fair value of the equity awards issued. For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with only service conditions that have a graded vesting period, we recognize compensation cost on a straight-line basis over the requisite service period for the entire award. In addition, historically we issue new shares of common stock upon the exercise of stock options but treasury shares may be used.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2016, the compensation committee of our Board of Directors (the “Board”) approved the grants under the 2008 Incentive Stock Plan of 452,422 shares of restricted stock (“2016 Restricted Stock”) to certain employees. The 2016 Restricted Stock carry dividend and voting rights. Sales of these shares are restricted prior to the date of vesting. Most of the 2016 Restricted Stock vest 100% at the end of three years. Pursuant to the terms of the 2016 Restricted Stock agreements, unvested restricted shares will immediately vest upon the occurrence of certain events (such as a change in control), as defined by the agreements.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employees surrendered a total of 280,000 shares of stock options previously granted under the 2008 Incentive Stock Plan. These employees were also granted shares of restricted stock. For financial reporting purposes, these transactions were accounted for as modifications of stock awards. The total incremental fair value of these modified awards (additional compensation cost) will be recognized on a straight-line basis over the requisite service period of three years, but the recognition of these costs could be accelerated if the unvested restricted shares immediately vest.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2016 and 2015, the total stock-based compensation expense was $1.1 million and $0.6 million, respectively.</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The Series E Redeemable Preferred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May 2014, the Financial Accounting Standards Board (“FASB”) issued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ASU with the option to early adopt but not before the original effective date. As a result, the effective date of this ASU for us is January 1, 2018, with the option to adopt a year earlier. This ASU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first-in, first-out (“FIFO”). This ASU is effective for us on January 1, 2017. A reporting entity should apply the amendments in this ASU prospectively with earlier application permitted as of the beginning of an interim or annual reporting period. We are currently evaluating the impact of this guidance, if any, on our consolidated financial statements and related disclosures.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 (Topic 740)</w:t>
      </w:r>
      <w:r>
        <w:rPr>
          <w:rFonts w:ascii="Arial" w:cs="Arial" w:eastAsia="Arial" w:hAnsi="Arial"/>
          <w:sz w:val="17"/>
          <w:szCs w:val="17"/>
          <w:color w:val="auto"/>
        </w:rPr>
        <w:t>, which simplifies the presentation of deferred income taxes by eliminating the need for entities to separate deferred income tax liabilities and assets into current and noncurrent amounts in a classified statement of financial position. This ASU is effective for us on January 1, 2017 but earlier application is permitted as of the beginning of an interim or annual reporting period. The amendments in this ASU may be applied either prospectively to all deferred tax liabilities and assets or retrospectively to all periods presented. We currently do not expect a significant impact from adopting this ASU.</w:t>
      </w:r>
    </w:p>
    <w:p>
      <w:pPr>
        <w:spacing w:after="0" w:line="17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creates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supersedes the lease requirements in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specifies the accounting for leases. The objective of Topic 842 is to establish the principles that lessees and lessors shall apply to report</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is effective for us on January 1, 2017 but early adoption is permitted. This ASU must be adopted using a modified retrospective transition, and provides for certain practical expedients. Transition will require application of the new guidance at the beginning of the earliest comparative period presented. We are currently evaluating the impact of this guidance on our consolidated financial statements and related disclosures.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March 2016, the FASB issues ASU No.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Gross versus Net) </w:t>
      </w:r>
      <w:r>
        <w:rPr>
          <w:rFonts w:ascii="Arial" w:cs="Arial" w:eastAsia="Arial" w:hAnsi="Arial"/>
          <w:sz w:val="18"/>
          <w:szCs w:val="18"/>
          <w:color w:val="auto"/>
        </w:rPr>
        <w:t>which amends the guidance in ASU 2014-09 discussed above on assessing whether an entity is a principal or an agent in a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This conclusion impacts whether an entity reports revenue on a gross or net basis. This ASU has the same effective date and transition requirements as ASU 2014-09.</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The FASB issued ASU No. 2016-09, </w:t>
      </w:r>
      <w:r>
        <w:rPr>
          <w:rFonts w:ascii="Arial" w:cs="Arial" w:eastAsia="Arial" w:hAnsi="Arial"/>
          <w:sz w:val="17"/>
          <w:szCs w:val="17"/>
          <w:i w:val="1"/>
          <w:iCs w:val="1"/>
          <w:color w:val="auto"/>
        </w:rPr>
        <w:t>Compensation—Stock Compensation (Topic 718): Improvements to Employee Share Based Payment Accounting</w:t>
      </w:r>
      <w:r>
        <w:rPr>
          <w:rFonts w:ascii="Arial" w:cs="Arial" w:eastAsia="Arial" w:hAnsi="Arial"/>
          <w:sz w:val="17"/>
          <w:szCs w:val="17"/>
          <w:color w:val="auto"/>
        </w:rPr>
        <w:t>. This ASU includes multiple provisions intended to simplify various aspects of the accounting for share based payments. This ASU is effective for us on January 1, 2017 but early adoption will be permitted in any interim or annual period, with any adjustments reflected as of the beginning of the fiscal year of adoption. We are currently evaluating the impact of this guidance, if any, on our consolidated financial statements and related disclosures.</w:t>
      </w:r>
    </w:p>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 xml:space="preserve">Previously Reported Correction and Reclassification </w:t>
      </w:r>
      <w:r>
        <w:rPr>
          <w:rFonts w:ascii="Arial" w:cs="Arial" w:eastAsia="Arial" w:hAnsi="Arial"/>
          <w:sz w:val="18"/>
          <w:szCs w:val="18"/>
          <w:color w:val="auto"/>
        </w:rPr>
        <w:t>– As discussed in our significant accounting policies note to our audited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included in the 2015 Form 10-K, in the fourth quarter of 2015, we corrected and reclassified certain shipping and handling costs associated with our Chemical Business. In addition, we reclassified the provision for losses on accounts receivable to selling, general and administrative expenses (“SG&amp;A”). We revised our condensed consolidated statement of operations for the three months ended March 31, 2015 to conform to the current presentation as summarized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9"/>
          </w:tcPr>
          <w:p>
            <w:pPr>
              <w:jc w:val="center"/>
              <w:ind w:right="200"/>
              <w:spacing w:after="0"/>
              <w:rPr>
                <w:sz w:val="20"/>
                <w:szCs w:val="20"/>
                <w:color w:val="auto"/>
              </w:rPr>
            </w:pPr>
            <w:r>
              <w:rPr>
                <w:rFonts w:ascii="Arial" w:cs="Arial" w:eastAsia="Arial" w:hAnsi="Arial"/>
                <w:sz w:val="18"/>
                <w:szCs w:val="18"/>
                <w:color w:val="auto"/>
                <w:w w:val="88"/>
              </w:rPr>
              <w:t>Condensed Consolidated Statement of Operations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9"/>
          </w:tcPr>
          <w:p>
            <w:pPr>
              <w:jc w:val="center"/>
              <w:ind w:right="200"/>
              <w:spacing w:after="0"/>
              <w:rPr>
                <w:sz w:val="20"/>
                <w:szCs w:val="20"/>
                <w:color w:val="auto"/>
              </w:rPr>
            </w:pPr>
            <w:r>
              <w:rPr>
                <w:rFonts w:ascii="Arial" w:cs="Arial" w:eastAsia="Arial" w:hAnsi="Arial"/>
                <w:sz w:val="18"/>
                <w:szCs w:val="18"/>
                <w:color w:val="auto"/>
                <w:w w:val="90"/>
              </w:rPr>
              <w:t>Three Months Ended March 31, 2015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As Previously</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3"/>
              </w:rPr>
              <w:t>Adjustments /</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Reported</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As Adjusted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1"/>
              </w:rPr>
              <w:t>(In Thousands)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193,858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198,798</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Cost of sales</w:t>
            </w:r>
          </w:p>
        </w:tc>
        <w:tc>
          <w:tcPr>
            <w:tcW w:w="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404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151,499</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158,037</w:t>
            </w: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40,761</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vMerge w:val="restart"/>
          </w:tcPr>
          <w:p>
            <w:pPr>
              <w:ind w:left="480"/>
              <w:spacing w:after="0"/>
              <w:rPr>
                <w:sz w:val="20"/>
                <w:szCs w:val="20"/>
                <w:color w:val="auto"/>
              </w:rPr>
            </w:pPr>
            <w:r>
              <w:rPr>
                <w:rFonts w:ascii="Arial" w:cs="Arial" w:eastAsia="Arial" w:hAnsi="Arial"/>
                <w:sz w:val="18"/>
                <w:szCs w:val="18"/>
                <w:color w:val="auto"/>
              </w:rPr>
              <w:t>Selling, general and administrative expense</w:t>
            </w:r>
          </w:p>
        </w:tc>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404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28,191</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26,615</w:t>
            </w: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Provision for losses on accounts receivable</w:t>
            </w: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12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Note 2: Income (Loss) Per Common Share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7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gridSpan w:val="6"/>
          </w:tcPr>
          <w:p>
            <w:pPr>
              <w:jc w:val="center"/>
              <w:ind w:right="80"/>
              <w:spacing w:after="0"/>
              <w:rPr>
                <w:sz w:val="20"/>
                <w:szCs w:val="20"/>
                <w:color w:val="auto"/>
              </w:rPr>
            </w:pPr>
            <w:r>
              <w:rPr>
                <w:rFonts w:ascii="Arial" w:cs="Arial" w:eastAsia="Arial" w:hAnsi="Arial"/>
                <w:sz w:val="16"/>
                <w:szCs w:val="16"/>
                <w:color w:val="auto"/>
                <w:w w:val="91"/>
              </w:rPr>
              <w:t>(Dollars In Thousands, Except Per</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6"/>
                <w:szCs w:val="16"/>
                <w:color w:val="auto"/>
                <w:w w:val="91"/>
              </w:rPr>
              <w:t>Share Amounts)</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(14,941)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Preferred</w:t>
            </w: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tcPr>
          <w:p>
            <w:pPr>
              <w:ind w:left="500"/>
              <w:spacing w:after="0"/>
              <w:rPr>
                <w:sz w:val="20"/>
                <w:szCs w:val="20"/>
                <w:color w:val="auto"/>
              </w:rPr>
            </w:pPr>
            <w:r>
              <w:rPr>
                <w:rFonts w:ascii="Arial" w:cs="Arial" w:eastAsia="Arial" w:hAnsi="Arial"/>
                <w:sz w:val="18"/>
                <w:szCs w:val="18"/>
                <w:color w:val="auto"/>
              </w:rPr>
              <w:t>Dividend and dividend requirements on Series B</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tcPr>
          <w:p>
            <w:pPr>
              <w:ind w:left="640"/>
              <w:spacing w:after="0"/>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and dividend requirements on Series D</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Preferred</w:t>
            </w: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40" w:type="dxa"/>
            <w:vAlign w:val="bottom"/>
            <w:gridSpan w:val="2"/>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(2,243)</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4940" w:type="dxa"/>
            <w:vAlign w:val="bottom"/>
            <w:tcBorders>
              <w:top w:val="single" w:sz="8" w:color="CFF0FC"/>
            </w:tcBorders>
            <w:gridSpan w:val="2"/>
            <w:shd w:val="clear" w:color="auto" w:fill="CFF0FC"/>
          </w:tcPr>
          <w:p>
            <w:pPr>
              <w:ind w:left="740"/>
              <w:spacing w:after="0"/>
              <w:rPr>
                <w:sz w:val="20"/>
                <w:szCs w:val="20"/>
                <w:color w:val="auto"/>
              </w:rPr>
            </w:pPr>
            <w:r>
              <w:rPr>
                <w:rFonts w:ascii="Arial" w:cs="Arial" w:eastAsia="Arial" w:hAnsi="Arial"/>
                <w:sz w:val="18"/>
                <w:szCs w:val="18"/>
                <w:color w:val="auto"/>
              </w:rPr>
              <w:t>Total dividends, dividend requirements and</w:t>
            </w:r>
          </w:p>
        </w:tc>
        <w:tc>
          <w:tcPr>
            <w:tcW w:w="6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accretion on preferred stocks</w:t>
            </w: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(9,668)</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38"/>
        </w:trPr>
        <w:tc>
          <w:tcPr>
            <w:tcW w:w="1720" w:type="dxa"/>
            <w:vAlign w:val="bottom"/>
          </w:tcPr>
          <w:p>
            <w:pPr>
              <w:spacing w:after="0"/>
              <w:rPr>
                <w:sz w:val="24"/>
                <w:szCs w:val="24"/>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40" w:type="dxa"/>
            <w:vAlign w:val="bottom"/>
            <w:gridSpan w:val="2"/>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tcPr>
          <w:p>
            <w:pPr>
              <w:ind w:left="380"/>
              <w:spacing w:after="0"/>
              <w:rPr>
                <w:sz w:val="20"/>
                <w:szCs w:val="20"/>
                <w:color w:val="auto"/>
              </w:rPr>
            </w:pPr>
            <w:r>
              <w:rPr>
                <w:rFonts w:ascii="Arial" w:cs="Arial" w:eastAsia="Arial" w:hAnsi="Arial"/>
                <w:sz w:val="18"/>
                <w:szCs w:val="18"/>
                <w:color w:val="auto"/>
              </w:rPr>
              <w:t>stockholders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(24,609)</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Dividends on convertible preferred stocks assumed</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to be converted, if dilutive</w:t>
            </w: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tcPr>
          <w:p>
            <w:pPr>
              <w:ind w:left="380"/>
              <w:spacing w:after="0"/>
              <w:rPr>
                <w:sz w:val="20"/>
                <w:szCs w:val="20"/>
                <w:color w:val="auto"/>
              </w:rPr>
            </w:pPr>
            <w:r>
              <w:rPr>
                <w:rFonts w:ascii="Arial" w:cs="Arial" w:eastAsia="Arial" w:hAnsi="Arial"/>
                <w:sz w:val="18"/>
                <w:szCs w:val="18"/>
                <w:color w:val="auto"/>
              </w:rPr>
              <w:t>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 (1)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22,868,307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22,674,739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Effect of dilutive securities: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40" w:type="dxa"/>
            <w:vAlign w:val="bottom"/>
            <w:gridSpan w:val="2"/>
          </w:tcPr>
          <w:p>
            <w:pPr>
              <w:ind w:left="740"/>
              <w:spacing w:after="0"/>
              <w:rPr>
                <w:sz w:val="20"/>
                <w:szCs w:val="20"/>
                <w:color w:val="auto"/>
              </w:rPr>
            </w:pPr>
            <w:r>
              <w:rPr>
                <w:rFonts w:ascii="Arial" w:cs="Arial" w:eastAsia="Arial" w:hAnsi="Arial"/>
                <w:sz w:val="18"/>
                <w:szCs w:val="18"/>
                <w:color w:val="auto"/>
              </w:rPr>
              <w:t>Convertible preferred stocks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940" w:type="dxa"/>
            <w:vAlign w:val="bottom"/>
            <w:gridSpan w:val="2"/>
          </w:tcPr>
          <w:p>
            <w:pPr>
              <w:ind w:left="980"/>
              <w:spacing w:after="0"/>
              <w:rPr>
                <w:sz w:val="20"/>
                <w:szCs w:val="20"/>
                <w:color w:val="auto"/>
              </w:rPr>
            </w:pPr>
            <w:r>
              <w:rPr>
                <w:rFonts w:ascii="Arial" w:cs="Arial" w:eastAsia="Arial" w:hAnsi="Arial"/>
                <w:sz w:val="18"/>
                <w:szCs w:val="18"/>
                <w:color w:val="auto"/>
              </w:rPr>
              <w:t>Dilutive potential common shares</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dilutive net income (loss) per common</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and assumed</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94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conversions</w:t>
            </w:r>
          </w:p>
        </w:tc>
        <w:tc>
          <w:tcPr>
            <w:tcW w:w="6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22,868,307</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23,046,502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60" w:type="dxa"/>
            <w:vAlign w:val="bottom"/>
            <w:gridSpan w:val="3"/>
          </w:tcPr>
          <w:p>
            <w:pPr>
              <w:ind w:left="1720"/>
              <w:spacing w:after="0"/>
              <w:rPr>
                <w:sz w:val="20"/>
                <w:szCs w:val="20"/>
                <w:color w:val="auto"/>
              </w:rPr>
            </w:pPr>
            <w:r>
              <w:rPr>
                <w:rFonts w:ascii="Arial" w:cs="Arial" w:eastAsia="Arial" w:hAnsi="Arial"/>
                <w:sz w:val="18"/>
                <w:szCs w:val="18"/>
                <w:color w:val="auto"/>
              </w:rPr>
              <w:t>Basic and diluted net income (loss) per common 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19" w:hanging="5612"/>
        <w:spacing w:after="0" w:line="528" w:lineRule="auto"/>
        <w:tabs>
          <w:tab w:leader="none" w:pos="51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the weighted-average shares of unvested restricted stock that are contingently returnable during the first quarter of 2016.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50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480" w:type="dxa"/>
            <w:vAlign w:val="bottom"/>
          </w:tcPr>
          <w:p>
            <w:pPr>
              <w:spacing w:after="0"/>
              <w:rPr>
                <w:sz w:val="19"/>
                <w:szCs w:val="19"/>
                <w:color w:val="auto"/>
              </w:rPr>
            </w:pPr>
          </w:p>
        </w:tc>
        <w:tc>
          <w:tcPr>
            <w:tcW w:w="16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2015</w:t>
            </w:r>
          </w:p>
        </w:tc>
        <w:tc>
          <w:tcPr>
            <w:tcW w:w="60" w:type="dxa"/>
            <w:vAlign w:val="bottom"/>
            <w:tcBorders>
              <w:bottom w:val="single" w:sz="8" w:color="CFF0FC"/>
            </w:tcBorders>
          </w:tcPr>
          <w:p>
            <w:pPr>
              <w:spacing w:after="0"/>
              <w:rPr>
                <w:sz w:val="20"/>
                <w:szCs w:val="20"/>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666,666</w:t>
            </w: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559,167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700,388</w:t>
            </w:r>
          </w:p>
        </w:tc>
        <w:tc>
          <w:tcPr>
            <w:tcW w:w="6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4,103,746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833,642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456,225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6,869,446</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1,367,054</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Inventories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March 31, 2016 and December 31, 2015, inventory reserves for certain slow-moving inventory items (Climate Control Business products) were $2,158,000 and $1,968,000, respectively. In addition, because costs exceeded the net realizable value, inventory adjustments for certain nitrogen-based inventories provided by our Chemical Business were $189,000 and $2,832,000 at March 31, 2016 and December 31, 2015, respectively.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Note 4: Current and Noncurrent Accrued and Other Liabilities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5"/>
        </w:trPr>
        <w:tc>
          <w:tcPr>
            <w:tcW w:w="17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6"/>
          </w:tcPr>
          <w:p>
            <w:pPr>
              <w:ind w:left="660"/>
              <w:spacing w:after="0"/>
              <w:rPr>
                <w:sz w:val="20"/>
                <w:szCs w:val="20"/>
                <w:color w:val="auto"/>
              </w:rPr>
            </w:pPr>
            <w:r>
              <w:rPr>
                <w:rFonts w:ascii="Arial" w:cs="Arial" w:eastAsia="Arial" w:hAnsi="Arial"/>
                <w:sz w:val="16"/>
                <w:szCs w:val="16"/>
                <w:color w:val="auto"/>
              </w:rPr>
              <w:t>(In Thousands)</w:t>
            </w:r>
          </w:p>
        </w:tc>
      </w:tr>
      <w:tr>
        <w:trPr>
          <w:trHeight w:val="236"/>
        </w:trPr>
        <w:tc>
          <w:tcPr>
            <w:tcW w:w="1720" w:type="dxa"/>
            <w:vAlign w:val="bottom"/>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warranty costs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10,551</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Accrued payroll and benefits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on extended warranty contracts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14,784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27,157</w:t>
            </w:r>
          </w:p>
        </w:tc>
        <w:tc>
          <w:tcPr>
            <w:tcW w:w="60" w:type="dxa"/>
            <w:vAlign w:val="bottom"/>
            <w:shd w:val="clear" w:color="auto" w:fill="CFF0FC"/>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73,253</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20,922</w:t>
            </w:r>
          </w:p>
        </w:tc>
        <w:tc>
          <w:tcPr>
            <w:tcW w:w="60" w:type="dxa"/>
            <w:vAlign w:val="bottom"/>
            <w:shd w:val="clear" w:color="auto" w:fill="CFF0FC"/>
          </w:tcPr>
          <w:p>
            <w:pPr>
              <w:spacing w:after="0"/>
              <w:rPr>
                <w:sz w:val="19"/>
                <w:szCs w:val="19"/>
                <w:color w:val="auto"/>
              </w:rPr>
            </w:pPr>
          </w:p>
        </w:tc>
      </w:tr>
      <w:tr>
        <w:trPr>
          <w:trHeight w:val="223"/>
        </w:trPr>
        <w:tc>
          <w:tcPr>
            <w:tcW w:w="7060" w:type="dxa"/>
            <w:vAlign w:val="bottom"/>
            <w:gridSpan w:val="3"/>
          </w:tcPr>
          <w:p>
            <w:pPr>
              <w:ind w:left="1720"/>
              <w:spacing w:after="0"/>
              <w:rPr>
                <w:sz w:val="20"/>
                <w:szCs w:val="20"/>
                <w:color w:val="auto"/>
              </w:rPr>
            </w:pPr>
            <w:r>
              <w:rPr>
                <w:rFonts w:ascii="Arial" w:cs="Arial" w:eastAsia="Arial" w:hAnsi="Arial"/>
                <w:sz w:val="18"/>
                <w:szCs w:val="18"/>
                <w:color w:val="auto"/>
              </w:rPr>
              <w:t>Current portion of accrued and other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Warranty Costs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Warranty Costs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49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80" w:type="dxa"/>
            <w:vAlign w:val="bottom"/>
          </w:tcPr>
          <w:p>
            <w:pPr>
              <w:spacing w:after="0"/>
              <w:rPr>
                <w:sz w:val="20"/>
                <w:szCs w:val="20"/>
                <w:color w:val="auto"/>
              </w:rPr>
            </w:pPr>
          </w:p>
        </w:tc>
      </w:tr>
      <w:tr>
        <w:trPr>
          <w:trHeight w:val="204"/>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(In Thousands)</w:t>
            </w:r>
          </w:p>
        </w:tc>
      </w:tr>
      <w:tr>
        <w:trPr>
          <w:trHeight w:val="23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10,551</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8,817</w:t>
            </w: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Amounts charged to SG&amp;A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Costs incurred</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(2,190)</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(1,882)</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Asset Retirement Obligations</w:t>
      </w:r>
    </w:p>
    <w:p>
      <w:pPr>
        <w:spacing w:after="0" w:line="12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March 31, 2016 and December 31, 2015, our accrued liability for AROs was $284,000 and $281,000, respectively.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6"/>
                <w:szCs w:val="16"/>
                <w:color w:val="auto"/>
              </w:rPr>
              <w:t>(In Thousands)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 rate of</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4.00% (A)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12% Senior Secured Notes due 2019 (B)</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Secured Promissory Note due 2016, with a current interest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rate of 3.63% (C)</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15,856</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5.73% (D)</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rate of 5.25% (E)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4.44% (F)</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with a current weighted-average interest rate of 4.43%,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most of which is secured primarily by machinery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(8,266)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528,514</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Long-term debt due after one year,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511,678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497,954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7:Long-Term Debt (continued)</w:t>
      </w:r>
    </w:p>
    <w:p>
      <w:pPr>
        <w:spacing w:after="0" w:line="121" w:lineRule="exact"/>
        <w:rPr>
          <w:sz w:val="20"/>
          <w:szCs w:val="20"/>
          <w:color w:val="auto"/>
        </w:rPr>
      </w:pPr>
    </w:p>
    <w:p>
      <w:pPr>
        <w:jc w:val="both"/>
        <w:ind w:firstLine="8"/>
        <w:spacing w:after="0" w:line="259" w:lineRule="auto"/>
        <w:tabs>
          <w:tab w:leader="none" w:pos="29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Working Capital Revolver Loan, which matures on April 13, 2018, provides advances up to $100.0 million, based on specific percentages of eligible accounts receivable and inventories and up to $15.0 million of letters of credit, the outstanding amount of which reduces the available for borrowing under the Working Capital Revolver Loan. As of March 31, 2016, the amount available for borrowing under the Working Capital Revolver Loan was approximately $69.3 million.</w:t>
      </w:r>
    </w:p>
    <w:p>
      <w:pPr>
        <w:spacing w:after="0" w:line="186" w:lineRule="exact"/>
        <w:rPr>
          <w:rFonts w:ascii="Arial" w:cs="Arial" w:eastAsia="Arial" w:hAnsi="Arial"/>
          <w:sz w:val="18"/>
          <w:szCs w:val="18"/>
          <w:b w:val="1"/>
          <w:bCs w:val="1"/>
          <w:color w:val="auto"/>
        </w:rPr>
      </w:pPr>
    </w:p>
    <w:p>
      <w:pPr>
        <w:jc w:val="both"/>
        <w:ind w:firstLine="8"/>
        <w:spacing w:after="0" w:line="255" w:lineRule="auto"/>
        <w:tabs>
          <w:tab w:leader="none" w:pos="29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Senior Secured Notes mature on August 1, 2019. Interest is to be paid semiannually on February 1st and August 1st. The Senior Secured Notes are general senior secured obligations of LSB. The Senior Secured Notes are jointly and severally and fully and unconditionally guaranteed by all of LSB’s current wholly-owned subsidiaries, with all of the guarantees, except one, being senior secured guarantees and one being a senior unsecured guarantee. The Senior Secured Notes rank equally in right of payment to all of LSB and the guarantors’ existing and future senior secured debt, including the Working Capital Revolver Loan discussed above, and are senior in right of payment to all of LSB and the guarantors’ future subordinated indebtedness. LSB does not have independent assets or operations.</w:t>
      </w:r>
    </w:p>
    <w:p>
      <w:pPr>
        <w:spacing w:after="0" w:line="193" w:lineRule="exact"/>
        <w:rPr>
          <w:rFonts w:ascii="Arial" w:cs="Arial" w:eastAsia="Arial" w:hAnsi="Arial"/>
          <w:sz w:val="18"/>
          <w:szCs w:val="18"/>
          <w:b w:val="1"/>
          <w:bCs w:val="1"/>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See discussion under Secured Promissory Note Amendment in Note 15-Subsequent Events.</w:t>
      </w:r>
    </w:p>
    <w:p>
      <w:pPr>
        <w:spacing w:after="0" w:line="225" w:lineRule="exact"/>
        <w:rPr>
          <w:rFonts w:ascii="Arial" w:cs="Arial" w:eastAsia="Arial" w:hAnsi="Arial"/>
          <w:sz w:val="18"/>
          <w:szCs w:val="18"/>
          <w:b w:val="1"/>
          <w:bCs w:val="1"/>
          <w:color w:val="auto"/>
        </w:rPr>
      </w:pPr>
    </w:p>
    <w:p>
      <w:pPr>
        <w:jc w:val="both"/>
        <w:ind w:firstLine="8"/>
        <w:spacing w:after="0" w:line="259" w:lineRule="auto"/>
        <w:tabs>
          <w:tab w:leader="none" w:pos="31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February 5, 2016, El Dorado Chemical Company (“EDC”), a subsidiary within our Chemical Business, entered into a secured promissory note (the “Secured Promissory Note due 2019”) for an original principal amount of $10.0 million. This note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86" w:lineRule="exact"/>
        <w:rPr>
          <w:rFonts w:ascii="Arial" w:cs="Arial" w:eastAsia="Arial" w:hAnsi="Arial"/>
          <w:sz w:val="18"/>
          <w:szCs w:val="18"/>
          <w:b w:val="1"/>
          <w:bCs w:val="1"/>
          <w:color w:val="auto"/>
        </w:rPr>
      </w:pPr>
    </w:p>
    <w:p>
      <w:pPr>
        <w:jc w:val="both"/>
        <w:ind w:firstLine="8"/>
        <w:spacing w:after="0" w:line="264" w:lineRule="auto"/>
        <w:tabs>
          <w:tab w:leader="none" w:pos="29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EDC’s Secured Promissory Note due 2021 matures on March 26, 2021. This note requires interest only monthly payments for the first 12 months of the term (through April 2016) and then principal and interest monthly payments through the remaining term. This note is secured by a natural gas pipeline constructed at the El Dorado Facility and is guaranteed by LSB.</w:t>
      </w:r>
    </w:p>
    <w:p>
      <w:pPr>
        <w:spacing w:after="0" w:line="181" w:lineRule="exact"/>
        <w:rPr>
          <w:rFonts w:ascii="Arial" w:cs="Arial" w:eastAsia="Arial" w:hAnsi="Arial"/>
          <w:sz w:val="18"/>
          <w:szCs w:val="18"/>
          <w:b w:val="1"/>
          <w:bCs w:val="1"/>
          <w:color w:val="auto"/>
        </w:rPr>
      </w:pPr>
    </w:p>
    <w:p>
      <w:pPr>
        <w:jc w:val="both"/>
        <w:ind w:firstLine="8"/>
        <w:spacing w:after="0" w:line="257"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September 16, 2015, El Dorado Ammonia L.L.C. (“EDA”), a subsidiary within our Chemical Business, entered into a secured promissory note (the “Secured Promissory Note due 2023”) for the construction financing of an ammonia storage tank and related systems with an initial funding received of $15 million and a maximum principal note amount of $19.8 million. The remainder of the funding under this note is expected to be drawn upon completion of the ammonia storage tank, but in any event by May 2016 (the “Loan Conversion Date”). Up to the Loan Conversion Date, the note requires monthly interest payments on the outstanding principal borrowed.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Loan Conversion Date, the outstanding principal balance will be converted to a seven year secured term loan requiring equal monthly principal and interest payments. In addition, a final balloon payment equal to the remaining outstanding principal (or 30% of the outstanding principal balance on the Loan Conversion Date) is required on the maturity date. The Secured Promissory Note due 2023 bears interest at a rate that is based on the monthly LIBOR rate plus 4.0% and matures in May 2023. The Secured Promissory Note due 2023 is secured by the ammonia storage tank and related systems and is guaranteed by LSB.</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Termination of UAN supply agreement </w:t>
      </w:r>
      <w:r>
        <w:rPr>
          <w:rFonts w:ascii="Arial" w:cs="Arial" w:eastAsia="Arial" w:hAnsi="Arial"/>
          <w:sz w:val="17"/>
          <w:szCs w:val="17"/>
          <w:color w:val="auto"/>
        </w:rPr>
        <w:t>– A subsidiary within our Chemical Business, Pryor Chemical Company (“PCC”), is party to a contract with Koch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Nitrogen Company, LLC (“Koch Nitrogen”) under which Koch Nitrogen agrees to purchase and distribute at market prices substantially all of the urea ammonium nitrate (“UAN”) produced at the Pryor Facility through June 30, 2016 (the “Koch Purchase Agreement”). On March 1, 2016, PCC provided notice of termination under the Koch Purchase Agreement, which termination will be effective as of May 31, 2016. Under the Koch Purchase Agreement, Koch had the exclusive right to purchase substantially all of the UAN produced at the Pryor Facility and the limited first right to purchase additional amounts. PCC did not incur any early termination penalties in connection with the termination of the Koch Purchase Agreement. PCC elected to terminate the Koch Purchase Agreement to pursue alternative marketing arrangements for the UAN produced at the Pryor Facility.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New UAN supply agreement </w:t>
      </w:r>
      <w:r>
        <w:rPr>
          <w:rFonts w:ascii="Arial" w:cs="Arial" w:eastAsia="Arial" w:hAnsi="Arial"/>
          <w:sz w:val="18"/>
          <w:szCs w:val="18"/>
          <w:color w:val="auto"/>
        </w:rPr>
        <w:t>– On March 3, 2016, PCC entered into a UAN Purchase and Sale Agreement with Coffeyville Resources Nitrogen Fertilizers,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(“CVR”), which is effective as of June 1, 2016 (the “CVR Purchase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the CVR Purchase Agreement, CVR will have the exclusive right (but not the obligation) to purchase all the tons of UAN that are produced by PCC in excess of the needs of PCC or its affiliates, which shall be no more than 30,000 tons per year and no more than 10,000 tons in any calendar quarter.</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CVR fails to take delivery of certain tons of UAN produced at the PCC and such failure causes PCC’s storage capacity to be more than 75% utilized or the production unit at the PCC to be slowed down, shut-down or idled, PCC may immediately sell such unpurchased product to a third-party without restriction.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term of the CVR Purchase Agreement is for three years and automatically continues for one or more additional one-year terms unless terminated by either party by delivering a notice of termination at least twelve months prior to the end of term in effect. However, CVR may unilaterally terminate the CVR Purchase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 xml:space="preserve">Natural Gas Purchase Commitments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Note 9 – Derivatives, Hedges, Financial Instruments and Carbon Credits for our commitments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contracts and carbon credits (accounted for on a mark-to-market basis). At March 31, 2016, our natural gas contracts, which are exempt from mark-to-market accounting, included the firm purchase commitments of approximately 5.4 million MMBtu of natural gas. These contracts extend through December 2016 at a weighted-average cost of $2.68 per MMBtu ($14.4 million) and a weighted-average market value of $2.29 per MMBtu ($12.3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by our Chemical Business are activities that entail environmental and public health risks and impose obligations under the Environmental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Chemical Business’ facilities are dependent on environmental permits to operate, the loss or modification of which could have a material adverse effect on their operations and our financial condition.</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significant expenditures have been incurred by subsidiaries within our Chemical Business in order to comply with the Environmental and Health Laws, and significant expenditures are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and Health Laws is controlled by others, with our Chemical Business being responsible for its proportionate share of the costs involved. As of March 31, 2016, our accrued liabilities for environmental matters totaled $372,000 relating primarily to the matters discussed below. It is reasonably possible that a change in the estimate of our liability could occur in the near term. Also, see discussion in Note 6 - Asset Retirement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chemical manufacturing facilities generates process wastewater, which may include cooling tower and boiler water quality control streams, contact storm water (rain water inside the facility area that may pick up contaminants)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 The following are discharge water matters in relation to the respective state discharge water permits.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chemical facility located in Pryor, Oklahoma (the “Pryor Facility”) holds a permit to inject wastewater into an on-site well that is valid until 2018. The Oklahoma Department of Environmental Quality (“ODEQ”) has indicated that the permit may not be renewed and PCC may have to find an alternative means of disposal after the permit expires. PCC is continuing to discuss disposal possibilities both internally and with the ODEQ.</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2012, EDC paid a penalty of $100,000 to settle an administrative complaint issued by the EPA, and thereafter handled by the U.S. Department of Justice (“DOJ”), relating to certain alleged violations through 2010 of EDC’s 2004 NPDES discharge water permit. The DOJ advised that action would also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March 31, 2016.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March 31, 2016, in connection with this matter.</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PCC has been advised that the ODEQ is conducting an investigation into whether the Pryor Facility is in compliance with certain rules and regulations of the ODEQ and whether PCC’s reports of certain air emissions primarily in 2011 were intentionally reported incorrectly to the ODEQ. PCC has cooperated with the ODEQ in connection with this investigation. As of March 31, 2016, we are not aware of any recommendations made or to be made by the ODEQ with respect to legal action to be taken or recommended as a result of this ongoing investigation.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2013, the EPA conducted a risk management inspection of our Cherokee Facility. During 2014, our Cherokee Facility received a notice of violation from the EPA as a result of the inspection, which listed eleven alleged violations. Under the final consent order received in March 2016 approving the settlement agreement, we agreed to pay a penalty in the form of providing approximately $100,000 to purchase emergency response equipment for the local first responders plus a civil penalty to the EPA of approximately $26,000, which civil penalty has been paid. As a result, the penalty relating to the emergency response equipment is included in our accrued liabilities for environmental matters discussed above.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(the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subsidiary and Chevron are pursuing a corrective action strategy relating to the Hallowell Facility with the state of Kansas, including the KDHE. This strategy currently includes long-term surface and groundwater monitoring to track the natural decline in contamination. During 2014, the KDHE approved a corrective action study work plan and will consider and recommend restoration or replacement pursuant to the work plan and/or whether to seek compensation in its evaluation. Currently, it is unknown what remediation and damages the KDHE may require, if any, but it is reasonably possible that certain remediation activities could be required to begin in 2016. The ultimate required remediation, if any, is currently unknown. Our subsidiary and Chevron have retained an environmental consultant to perform the corrective action study work plan as to the appropriate method to remediate the Hallowell Facility. The resulting study was submitted to the KDHE for review.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purchasing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6"/>
          <w:szCs w:val="16"/>
          <w:i w:val="1"/>
          <w:iCs w:val="1"/>
          <w:color w:val="auto"/>
        </w:rPr>
        <w:t>City of West, Texas vs. CF Industries, Inc., et al.</w:t>
      </w:r>
      <w:r>
        <w:rPr>
          <w:rFonts w:ascii="Arial" w:cs="Arial" w:eastAsia="Arial" w:hAnsi="Arial"/>
          <w:sz w:val="16"/>
          <w:szCs w:val="16"/>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which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 Subsequently, we and EDC have entered into a confidential settlement agreements with several plaintiffs that had claimed wrongful death and bodily injury. A portion of these settlements were paid by the insurer during 2015 and in the first quarter of 2016. While these settlements resolve the claims of what we believe were the highest risk cases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March 31, 2016, no liability reserve has been established in connection with this matter, except for the unpaid portion of the settlement agreement discussed above, but we have incurred professional fees up to our self-insured retention amount.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2015, our subsidiary, EDC, was sued in the matter styled </w:t>
      </w:r>
      <w:r>
        <w:rPr>
          <w:rFonts w:ascii="Arial" w:cs="Arial" w:eastAsia="Arial" w:hAnsi="Arial"/>
          <w:sz w:val="17"/>
          <w:szCs w:val="17"/>
          <w:i w:val="1"/>
          <w:iCs w:val="1"/>
          <w:color w:val="auto"/>
        </w:rPr>
        <w:t>BAE Systems Ordinance Systems, Inc.</w:t>
      </w:r>
      <w:r>
        <w:rPr>
          <w:rFonts w:ascii="Arial" w:cs="Arial" w:eastAsia="Arial" w:hAnsi="Arial"/>
          <w:sz w:val="17"/>
          <w:szCs w:val="17"/>
          <w:color w:val="auto"/>
        </w:rPr>
        <w:t xml:space="preserve"> (“BAE”), </w:t>
      </w:r>
      <w:r>
        <w:rPr>
          <w:rFonts w:ascii="Arial" w:cs="Arial" w:eastAsia="Arial" w:hAnsi="Arial"/>
          <w:sz w:val="17"/>
          <w:szCs w:val="17"/>
          <w:i w:val="1"/>
          <w:iCs w:val="1"/>
          <w:color w:val="auto"/>
        </w:rPr>
        <w:t>et al. vs. El Dorado Chemical Company</w:t>
      </w:r>
      <w:r>
        <w:rPr>
          <w:rFonts w:ascii="Arial" w:cs="Arial" w:eastAsia="Arial" w:hAnsi="Arial"/>
          <w:sz w:val="17"/>
          <w:szCs w:val="17"/>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caused by a fire and explosion at EDC’s nitric acid plant, and that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March 31,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6"/>
          <w:szCs w:val="16"/>
          <w:i w:val="1"/>
          <w:iCs w:val="1"/>
          <w:color w:val="auto"/>
        </w:rPr>
        <w:t>Global Industrial, Inc. d/b/a Global Turnaround vs. Leidos Constructors, LLC et al.,</w:t>
      </w:r>
      <w:r>
        <w:rPr>
          <w:rFonts w:ascii="Arial" w:cs="Arial" w:eastAsia="Arial" w:hAnsi="Arial"/>
          <w:sz w:val="16"/>
          <w:szCs w:val="16"/>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-453390</wp:posOffset>
            </wp:positionV>
            <wp:extent cx="28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Business products and other product liability occurrences. Most of the product liability claims are covered by our general liability insurance, which includes a deductible of $250,000 or $500,000 per claim, depending on the policy period. For any claims or legal actions that we have assessed the likelihood of our liability as probable, we have recognized our estimated liability. At March 31, 2016, our accrued general liability insurance claims were $636,000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Covestro. The assets for carbon credits are accounted for on a fair value basis as discussed below. Also, the contractual obligations to give the related proceeds to Covestro are accounted for on a fair value basis (as discussed below) unless we enter into a firm sales commitment to sell the carbon credits. In addition, certain embedded features (“embedded derivative”) relating to the redemption of the Series E Redeemable Preferred required bifurcation and are being accounted for as derivative instruments and recorded as a liability. The valuations of these assets and liabilities were determined based on quoted market prices or, in instances where market quotes are not available, other valuation techniques or models used to estimate fair values.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March 31, 2016 the valuations of contracts classified as Level 2 related to certain futures/forward natural gas contracts, a foreign exchange contract, and an embedded derivative. For the natural gas contracts, these contracts are valued using the prices pursuant to the terms of the contracts and using market information for futures/forward natural gas prices. At March 31, 2016, the valuation inputs included the contractual weighted-average cost of $1.99 per MMBtu and the estimated weighted-average market value of $1.96 per MMBtu.</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foreign exchange contracts, these contracts are valued using the foreign currency exchange rates pursuant to the terms of the contract and using market information for foreign currency exchange rates. At March 31, 2016, the valuation inputs included the total contractual exchange rate of 1.12 and the total estimated market exchange rate of 1.14 (U.S. Dollar/Euro). For the embedded derivative, the derivative is valued using the underlying number of shares as defined in the terms of the Series E Redeemable Preferred and the market price of our common stock. At March 31, 2016, the valuation inputs included the market price of our common stock, which was $12.75 per share. No valuation input adjustments were considered necessary relating to nonperformance risk for the contracts as discussed above.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March 31, 2016 and December 31, 2015, the valuations ($2.35 per carbon credit) of the carbon credits and the contractual obligations associated with these carbon credits are classified as Level 3. At March 31, 2016, the valuation was based on a recent price offered by one of our customers.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or the associated contractual obligations.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Commodities Contracts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natural gas used by our Chemical Business. As part of our raw material price risk management, we periodically enter into futures/forward contracts for these materials, which contracts may be required to be accounted for on a mark-to-market basis. At March 31, 2016 and December 31, 2015, we did not have any futures/forward copper contracts. At March 31, 2016, our futures/forward natural gas contracts included 611,000 MMBtu of natural gas, extend through December 2016 (includes contractual costs indexed to future NYMEX prices) at a weighted-average cost of $1.99 per MMBtu. At December 31, 2015, our futures/forward natural gas contracts included 1,820,000 MMBtu of natural gas, extend through December 2016 (includes contractual costs indexed to future NYMEX prices) at a weighted-average cost of $2.35 per MMBtu. The cash flows relating to these contracts are included in cash flows from continuing operating activities.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At March 31, 2016 and December 31, 2015, our foreign exchange contract was for the receipt of approximately 228,000 Euros and 280,000 Euros, respectively, through February 2017 at the contractual exchange rate of 1.12 (U.S. Dollar/Euro). These contracts are free-standing derivatives and are accounted for on a mark-to-market basis. The cash flows relating to these contracts are included in cash flows from continuing operating activities.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In February 2011, we entered into an interest rate swap at no cost, which set a fixed three-month LIBOR rate of 3.23% on a declining balance (from $23.8 million to $18.8 million) for the period beginning in April 2012 through March 31, 2016. This contract was a free-standing derivative and was accounted for on a mark-to-market basis. During the three months ended March 31, 2016 and 2015, no cash flows occurred relating to the purchase or sale of interest rate contracts. The cash flows associated with the interest rate swap payments are included in cash flows from continuing operating activities.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we are issued carbon credits by the Climate Action Reserve in relation to a greenhouse gas reduction project (“Project”) performed at the Baytown Facility. Pursuant to the terms of the agreement with Covestro, a certain portion of the carbon credits are to be used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March 31, 2016 and December 31, 2015, we had approximately 516,000 and 495,000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embedded derivative, which includes the participation rights value, relating to the redemption of the Series E Redeemable Preferred has been bifurcated from the Series E Redeemable Preferred and recorded as a liability. At March 31, 2016 and December 31, 2015 the fair value of the embedded derivative was based on the equivalent of 456,225 shares of our commons stock at $12.75 and $7.25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2016 and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Fair Value Measurements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8"/>
                <w:szCs w:val="18"/>
                <w:color w:val="auto"/>
                <w:w w:val="91"/>
              </w:rPr>
              <w:t>March 31, 2016 Using</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0"/>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9"/>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Significant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4"/>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auto"/>
                <w:w w:val="97"/>
              </w:rPr>
              <w:t>Significant</w:t>
            </w: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Total Fair</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3"/>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Unobservable</w:t>
            </w: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Value at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color w:val="auto"/>
                <w:w w:val="92"/>
              </w:rPr>
              <w:t>March 31,</w:t>
            </w:r>
          </w:p>
        </w:tc>
        <w:tc>
          <w:tcPr>
            <w:tcW w:w="120" w:type="dxa"/>
            <w:vAlign w:val="bottom"/>
          </w:tcPr>
          <w:p>
            <w:pPr>
              <w:spacing w:after="0"/>
              <w:rPr>
                <w:sz w:val="17"/>
                <w:szCs w:val="17"/>
                <w:color w:val="auto"/>
              </w:rPr>
            </w:pPr>
          </w:p>
        </w:tc>
        <w:tc>
          <w:tcPr>
            <w:tcW w:w="940" w:type="dxa"/>
            <w:vAlign w:val="bottom"/>
          </w:tcPr>
          <w:p>
            <w:pPr>
              <w:jc w:val="center"/>
              <w:ind w:right="33"/>
              <w:spacing w:after="0"/>
              <w:rPr>
                <w:sz w:val="20"/>
                <w:szCs w:val="20"/>
                <w:color w:val="auto"/>
              </w:rPr>
            </w:pPr>
            <w:r>
              <w:rPr>
                <w:rFonts w:ascii="Arial" w:cs="Arial" w:eastAsia="Arial" w:hAnsi="Arial"/>
                <w:sz w:val="16"/>
                <w:szCs w:val="16"/>
                <w:color w:val="auto"/>
                <w:w w:val="87"/>
              </w:rPr>
              <w:t>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4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Inputs</w:t>
            </w:r>
          </w:p>
        </w:tc>
        <w:tc>
          <w:tcPr>
            <w:tcW w:w="120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color w:val="auto"/>
                <w:w w:val="89"/>
              </w:rPr>
              <w:t>2016</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color w:val="auto"/>
                <w:w w:val="96"/>
              </w:rPr>
              <w:t>(Level 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color w:val="auto"/>
                <w:w w:val="96"/>
              </w:rPr>
              <w:t>(Level 3)</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(In Thousands)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Commodities contracts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Carbon credits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Commodities contracts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Contractual obligations - carbon credits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(5,817)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9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342"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March 31, 2016 and December 31, 2015, $320,000 and $195,000, respectively, are subject to an agreement that allows net settlement of contracts; however, we have chosen to present the fair values of our commodities contracts under master netting agreements using a gross fair value presentation.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8"/>
              </w:rPr>
              <w:t>Assets</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color w:val="auto"/>
                <w:w w:val="97"/>
              </w:rPr>
              <w:t>Liabilities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4"/>
          </w:tcPr>
          <w:p>
            <w:pPr>
              <w:jc w:val="center"/>
              <w:ind w:right="131"/>
              <w:spacing w:after="0" w:line="182" w:lineRule="exact"/>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right="150"/>
              <w:spacing w:after="0" w:line="182"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left="430"/>
              <w:spacing w:after="0" w:line="202" w:lineRule="exact"/>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4"/>
          </w:tcPr>
          <w:p>
            <w:pPr>
              <w:jc w:val="center"/>
              <w:ind w:left="450"/>
              <w:spacing w:after="0" w:line="202" w:lineRule="exact"/>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4"/>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6"/>
          </w:tcPr>
          <w:p>
            <w:pPr>
              <w:jc w:val="right"/>
              <w:ind w:right="88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820" w:type="dxa"/>
            <w:vAlign w:val="bottom"/>
            <w:gridSpan w:val="2"/>
            <w:shd w:val="clear" w:color="auto" w:fill="CFF0FC"/>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1,154</w:t>
            </w:r>
          </w:p>
        </w:tc>
        <w:tc>
          <w:tcPr>
            <w:tcW w:w="500" w:type="dxa"/>
            <w:vAlign w:val="bottom"/>
            <w:gridSpan w:val="2"/>
            <w:shd w:val="clear" w:color="auto" w:fill="CFF0FC"/>
          </w:tcPr>
          <w:p>
            <w:pPr>
              <w:jc w:val="right"/>
              <w:ind w:right="125"/>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2,779</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(1,154)</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Transfers into Level 3</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Transfers out of Level 3</w:t>
            </w: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4720" w:type="dxa"/>
            <w:vAlign w:val="bottom"/>
          </w:tcPr>
          <w:p>
            <w:pPr>
              <w:spacing w:after="0"/>
              <w:rPr>
                <w:sz w:val="20"/>
                <w:szCs w:val="20"/>
                <w:color w:val="auto"/>
              </w:rPr>
            </w:pPr>
            <w:r>
              <w:rPr>
                <w:rFonts w:ascii="Arial" w:cs="Arial" w:eastAsia="Arial" w:hAnsi="Arial"/>
                <w:sz w:val="18"/>
                <w:szCs w:val="18"/>
                <w:color w:val="auto"/>
              </w:rPr>
              <w:t>Total realized and unrealized gains (losses) included in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40"/>
              <w:spacing w:after="0"/>
              <w:rPr>
                <w:sz w:val="20"/>
                <w:szCs w:val="20"/>
                <w:color w:val="auto"/>
              </w:rPr>
            </w:pPr>
            <w:r>
              <w:rPr>
                <w:rFonts w:ascii="Arial" w:cs="Arial" w:eastAsia="Arial" w:hAnsi="Arial"/>
                <w:sz w:val="18"/>
                <w:szCs w:val="18"/>
                <w:color w:val="auto"/>
              </w:rPr>
              <w:t>operating results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Purchases</w:t>
            </w: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Issuances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w:t>
            </w: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 gains (losses) for the period included in operating</w:t>
            </w: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40"/>
              <w:spacing w:after="0" w:line="189" w:lineRule="exact"/>
              <w:rPr>
                <w:sz w:val="20"/>
                <w:szCs w:val="20"/>
                <w:color w:val="auto"/>
              </w:rPr>
            </w:pPr>
            <w:r>
              <w:rPr>
                <w:rFonts w:ascii="Arial" w:cs="Arial" w:eastAsia="Arial" w:hAnsi="Arial"/>
                <w:sz w:val="18"/>
                <w:szCs w:val="18"/>
                <w:color w:val="auto"/>
              </w:rPr>
              <w:t>results attributed to the change in unrealized gains or</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40"/>
              <w:spacing w:after="0" w:line="189" w:lineRule="exact"/>
              <w:rPr>
                <w:sz w:val="20"/>
                <w:szCs w:val="20"/>
                <w:color w:val="auto"/>
              </w:rPr>
            </w:pPr>
            <w:r>
              <w:rPr>
                <w:rFonts w:ascii="Arial" w:cs="Arial" w:eastAsia="Arial" w:hAnsi="Arial"/>
                <w:sz w:val="18"/>
                <w:szCs w:val="18"/>
                <w:color w:val="auto"/>
              </w:rPr>
              <w:t>losses on assets and liabilities still held at the reporting</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40"/>
              <w:spacing w:after="0"/>
              <w:rPr>
                <w:sz w:val="20"/>
                <w:szCs w:val="20"/>
                <w:color w:val="auto"/>
              </w:rPr>
            </w:pPr>
            <w:r>
              <w:rPr>
                <w:rFonts w:ascii="Arial" w:cs="Arial" w:eastAsia="Arial" w:hAnsi="Arial"/>
                <w:sz w:val="18"/>
                <w:szCs w:val="18"/>
                <w:color w:val="auto"/>
              </w:rPr>
              <w:t>date</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Three Months Ended</w:t>
            </w:r>
          </w:p>
        </w:tc>
      </w:tr>
      <w:tr>
        <w:trPr>
          <w:trHeight w:val="230"/>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center"/>
              <w:ind w:left="390"/>
              <w:spacing w:after="0"/>
              <w:rPr>
                <w:sz w:val="20"/>
                <w:szCs w:val="20"/>
                <w:color w:val="auto"/>
              </w:rPr>
            </w:pPr>
            <w:r>
              <w:rPr>
                <w:rFonts w:ascii="Arial" w:cs="Arial" w:eastAsia="Arial" w:hAnsi="Arial"/>
                <w:sz w:val="18"/>
                <w:szCs w:val="18"/>
                <w:color w:val="auto"/>
                <w:w w:val="92"/>
              </w:rPr>
              <w:t>March 31,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5"/>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Cost of sales - Undesignated commodities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(1,978)</w:t>
            </w:r>
          </w:p>
        </w:tc>
      </w:tr>
      <w:tr>
        <w:trPr>
          <w:trHeight w:val="230"/>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 - Undesignated foreign exchange contracts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5"/>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 carbon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credits</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20"/>
                <w:szCs w:val="20"/>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Non-operating other expense - embedded derivative</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 Undesignated interest rate contracts</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5760" w:type="dxa"/>
            <w:vAlign w:val="bottom"/>
          </w:tcPr>
          <w:p>
            <w:pPr>
              <w:ind w:left="500"/>
              <w:spacing w:after="0"/>
              <w:rPr>
                <w:sz w:val="20"/>
                <w:szCs w:val="20"/>
                <w:color w:val="auto"/>
              </w:rPr>
            </w:pPr>
            <w:r>
              <w:rPr>
                <w:rFonts w:ascii="Arial" w:cs="Arial" w:eastAsia="Arial" w:hAnsi="Arial"/>
                <w:sz w:val="18"/>
                <w:szCs w:val="18"/>
                <w:color w:val="auto"/>
              </w:rPr>
              <w:t>Total net losses included in operating results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2016 and December 31, 2015, we did not have any financial instruments with fair values significantly different from their carrying amounts, except for the 7.75% Senior Secured Notes as shown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ind w:left="800"/>
              <w:spacing w:after="0"/>
              <w:rPr>
                <w:sz w:val="20"/>
                <w:szCs w:val="20"/>
                <w:color w:val="auto"/>
              </w:rPr>
            </w:pPr>
            <w:r>
              <w:rPr>
                <w:rFonts w:ascii="Arial" w:cs="Arial" w:eastAsia="Arial" w:hAnsi="Arial"/>
                <w:sz w:val="18"/>
                <w:szCs w:val="18"/>
                <w:color w:val="auto"/>
              </w:rPr>
              <w:t>March 31, 2016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Arial" w:cs="Arial" w:eastAsia="Arial" w:hAnsi="Arial"/>
                <w:sz w:val="18"/>
                <w:szCs w:val="18"/>
                <w:color w:val="auto"/>
              </w:rPr>
              <w:t>December 31, 2015</w:t>
            </w:r>
          </w:p>
        </w:tc>
      </w:tr>
      <w:tr>
        <w:trPr>
          <w:trHeight w:val="222"/>
        </w:trPr>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4"/>
              </w:rPr>
              <w:t>Carrying</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Estimated</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4"/>
              </w:rPr>
              <w:t>Carrying</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2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r>
      <w:tr>
        <w:trPr>
          <w:trHeight w:val="204"/>
        </w:trPr>
        <w:tc>
          <w:tcPr>
            <w:tcW w:w="2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ind w:left="980"/>
              <w:spacing w:after="0"/>
              <w:rPr>
                <w:sz w:val="20"/>
                <w:szCs w:val="20"/>
                <w:color w:val="auto"/>
              </w:rPr>
            </w:pPr>
            <w:r>
              <w:rPr>
                <w:rFonts w:ascii="Arial" w:cs="Arial" w:eastAsia="Arial" w:hAnsi="Arial"/>
                <w:sz w:val="16"/>
                <w:szCs w:val="16"/>
                <w:color w:val="auto"/>
              </w:rPr>
              <w:t>(In Millions)</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7.75% Senior Secured Notes (1)</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3"/>
              </w:rPr>
              <w:t>392</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20"/>
                <w:szCs w:val="20"/>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620" w:right="4720" w:hanging="5612"/>
        <w:spacing w:after="0" w:line="528" w:lineRule="auto"/>
        <w:tabs>
          <w:tab w:leader="none" w:pos="51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quoted price of 92.25 at March 31, 2016 and 83.65 at December 31, 2015.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7.75% Senior Secured Notes valuation is classified as Level 2.  In addition, the valuation of the 12% Senior Secured Notes is also classified as Level</w:t>
      </w:r>
    </w:p>
    <w:p>
      <w:pPr>
        <w:spacing w:after="0" w:line="46" w:lineRule="exact"/>
        <w:rPr>
          <w:sz w:val="20"/>
          <w:szCs w:val="20"/>
          <w:color w:val="auto"/>
        </w:rPr>
      </w:pPr>
    </w:p>
    <w:p>
      <w:pPr>
        <w:jc w:val="both"/>
        <w:ind w:firstLine="8"/>
        <w:spacing w:after="0" w:line="252"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Also see discussions concerning certain assets and liabilities initially accounted for on a fair value basis under Note 6 - Asset Retirement Obligations.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are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left="391"/>
              <w:spacing w:after="0"/>
              <w:rPr>
                <w:sz w:val="20"/>
                <w:szCs w:val="20"/>
                <w:color w:val="auto"/>
              </w:rPr>
            </w:pPr>
            <w:r>
              <w:rPr>
                <w:rFonts w:ascii="Arial" w:cs="Arial" w:eastAsia="Arial" w:hAnsi="Arial"/>
                <w:sz w:val="18"/>
                <w:szCs w:val="18"/>
                <w:color w:val="auto"/>
                <w:w w:val="92"/>
              </w:rPr>
              <w:t>March 31,</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6"/>
                <w:szCs w:val="16"/>
                <w:color w:val="auto"/>
                <w:w w:val="91"/>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Total Current</w:t>
            </w:r>
          </w:p>
        </w:tc>
        <w:tc>
          <w:tcPr>
            <w:tcW w:w="1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(1,982)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Provision (benefit) for income taxes</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2016 and 2015, the current provision (benefit) for federal income taxes shown above includes regular federal income tax provision after the consideration of permanent and temporary differences between income for GAAP and tax purposes. For the three months ended March 31, 2016 and 2015, the current provision for state income taxes shown above includes regular state income tax and provisions for uncertain state income tax positions.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annual estimated effective rate for 2016 includes the impact of permanent tax differences, such as a loss on embedded derivatives, valuation allowances, and other permanent items.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we established a $3.7 million valuation allowance associated with these state NOL carryforwards during the first quarter.</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benefit for the three months ended March 31, 2016 was $0.6 million (4% of pre-tax loss) and the tax provision for the three months ended March 31, 2015 was $4.2 million (39% of pre-tax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2012-2014 years remain open for all purposes of examination by the U.S. Internal Revenue Service and other major tax jurisdictions.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Including Redeemable Preferred Stocks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December 2015 and pursuant to a securities purchase agreement between LSB and LSB Funding LLC (the “Purchaser”) and Security Benefit Corporation, a Kansas corporation (the “Purchaser Guarantor”), both of which are unrelated third parties, LSB sold to the Purchaser</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$210,000,000 of the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4,103,746 shares of common stock (the “Warrants”),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share of Series F redeemable Class C preferred stock (the “Series F Redeemable Preferred”).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Series E Redeemable Preferred are redeemable outside of our control and is therefore classified as temporary/mezzanine equity. The Series E Redeemable Preferred has a 14% annual dividend rate and a participating right in dividends and liquidating distributions equal to 456,225 shares of common stock, which is equal to 2% of our outstanding common stock before the transaction was completed. Dividends accrue semi-annually in arrears and are compounded. Dividends are payable only when and if declared by our Board. 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any time on or after August 2, 2019, each Series E Holder has the right to elect to have such holder’s shares redeemed by us at a redemption price per share equal to the Liquidation Preference of such share as of the redemption date. Additionally, we may redeem the Series E Redeemable Preferred at our option,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9, the embedded derivative, which includes the participation rights value, relating to the redemption of the Series E Redeemable Preferred has been bifurcated from the Series E Redeemable Preferred and recorded as a liability.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Series F Redeemable Preferred has voting rights (the “Series F Voting Rights”) to vote as a single class on all matters which the common stock have the right to vote and is entitled to a number of votes equal to 4,559,971 shares of our common stock, however, the number of votes that may be cast by the Series F Redeemable Preferred will be reduced automatically upon the occurrence of certain specified events.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7"/>
              </w:rPr>
              <w:t>Series E Redeemable Preferred</w:t>
            </w:r>
          </w:p>
        </w:tc>
        <w:tc>
          <w:tcPr>
            <w:tcW w:w="2420" w:type="dxa"/>
            <w:vAlign w:val="bottom"/>
            <w:gridSpan w:val="5"/>
          </w:tcPr>
          <w:p>
            <w:pPr>
              <w:ind w:left="40"/>
              <w:spacing w:after="0"/>
              <w:rPr>
                <w:sz w:val="20"/>
                <w:szCs w:val="20"/>
                <w:color w:val="auto"/>
              </w:rPr>
            </w:pPr>
            <w:r>
              <w:rPr>
                <w:rFonts w:ascii="Arial" w:cs="Arial" w:eastAsia="Arial" w:hAnsi="Arial"/>
                <w:sz w:val="18"/>
                <w:szCs w:val="18"/>
                <w:color w:val="auto"/>
                <w:w w:val="92"/>
              </w:rPr>
              <w:t>Series F Redeemable Preferred</w:t>
            </w:r>
          </w:p>
        </w:tc>
      </w:tr>
      <w:tr>
        <w:trPr>
          <w:trHeight w:val="223"/>
        </w:trPr>
        <w:tc>
          <w:tcPr>
            <w:tcW w:w="5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Amount</w:t>
            </w:r>
          </w:p>
        </w:tc>
        <w:tc>
          <w:tcPr>
            <w:tcW w:w="20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04"/>
        </w:trPr>
        <w:tc>
          <w:tcPr>
            <w:tcW w:w="5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3"/>
          </w:tcPr>
          <w:p>
            <w:pPr>
              <w:jc w:val="right"/>
              <w:ind w:right="31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dividend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we issued Warrants to LSB Funding to purchase 4,103,746 shares of common stock. Each warrant affords the holder the opportunity to purchase one share of common stock at a warrant exercise price of $0.10. The Warrants expire on December 4,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 Warrants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registration rights agreement (the “Registration Rights Agreement-Warrants”) relating to the registered resale of the common stock issuable upon exercise of the Warrants and certain other common stock, we are required to file a registration statement by September 3, 2016 to permit the public resale of registrable securities then outstanding. We are required to use commercially reasonable efforts to cause the registration statement to become effective as soon as practicable thereafter.</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Furthermore, the registration statement must be declared effective by December 3, 2016. If the registration statement is not declared effective on or prior to December 3, 2016, LSB Funding is entitled to liquidated damages of 0.25% of the liquidated damages multiplier (the closing price of our common stock as of the date of the calculation multiplied by the number of our common stock issued or issuable upon the exercise of the Warrants and other issuance events, if applicable, and held by LSB Funding and as described in the agreement) for the first 30 day period immediately following such default and an additional 0.25% with respect to each subsequent 30 day period, up to a maximum increase of 1.00%. In no event will the aggregate of all liquidated damages exceed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3.0% of the aggregate purchase price (the closing price of our common stock as of the date of the calculation multiplied by the number of our common stock issued or issuable upon the exercise of the Warrants and other issuance events, if applicable).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such liquidated damages cannot be paid in cash, because such action would constitute a default under a credit facility or other debt instrument, then payment consisting of as much cash as possible in compliance with the aforementioned conditions would be required. The balance of any compensatory liquidated damages would be paid in full in the form of the issuance of additional common stock.</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Note 12: Segment Information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7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97,005</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131,754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165,599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Gross profit (loss): (1)</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Chemical (2)</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(6,961)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48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15,009</w:t>
            </w:r>
          </w:p>
        </w:tc>
        <w:tc>
          <w:tcPr>
            <w:tcW w:w="2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 (1)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Chemical (2)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(10,172)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corporate expenses (3)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(7,778)</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 (4)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Non-operating income, net: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Corporate and other business operations (5)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3"/>
          </w:tcPr>
          <w:p>
            <w:pPr>
              <w:ind w:left="17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88"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Gross profit (loss) by business segment represents net sales less cost of sales. Gross profit classified as “Other” relates to the sales of industrial machinery and related components. Operating income (loss) by business segment represents gross profit (loss) by business segment less SG&amp;A incurred by each business segment plus other income and other expense earned/incurred by each business segment before general corporate expenses.</w:t>
      </w:r>
    </w:p>
    <w:p>
      <w:pPr>
        <w:jc w:val="both"/>
        <w:ind w:left="520" w:hanging="512"/>
        <w:spacing w:after="0" w:line="255"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first quarter of 2016, our Chemical Business incurred a $12.1 million fee related to one-time consulting services associated with the reduction of assessed property tax values for the El Dorado projects real and personal property for both the nitric acid plant, nitric acid concentrator plant and the ammonia plant at our El Dorado Facility.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Note 12: Segment Information (continued)</w:t>
            </w: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(3)</w:t>
            </w:r>
          </w:p>
        </w:tc>
        <w:tc>
          <w:tcPr>
            <w:tcW w:w="6800" w:type="dxa"/>
            <w:vAlign w:val="bottom"/>
            <w:gridSpan w:val="3"/>
          </w:tcPr>
          <w:p>
            <w:pPr>
              <w:ind w:left="160"/>
              <w:spacing w:after="0"/>
              <w:rPr>
                <w:sz w:val="20"/>
                <w:szCs w:val="20"/>
                <w:color w:val="auto"/>
              </w:rPr>
            </w:pPr>
            <w:r>
              <w:rPr>
                <w:rFonts w:ascii="Arial" w:cs="Arial" w:eastAsia="Arial" w:hAnsi="Arial"/>
                <w:sz w:val="18"/>
                <w:szCs w:val="18"/>
                <w:color w:val="auto"/>
              </w:rPr>
              <w:t>General corporate expenses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 Ended</w:t>
            </w: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49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80" w:type="dxa"/>
            <w:vAlign w:val="bottom"/>
          </w:tcPr>
          <w:p>
            <w:pPr>
              <w:spacing w:after="0"/>
              <w:rPr>
                <w:sz w:val="20"/>
                <w:szCs w:val="20"/>
                <w:color w:val="auto"/>
              </w:rPr>
            </w:pPr>
          </w:p>
        </w:tc>
      </w:tr>
      <w:tr>
        <w:trPr>
          <w:trHeight w:val="204"/>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(In Thousands)</w:t>
            </w:r>
          </w:p>
        </w:tc>
      </w:tr>
      <w:tr>
        <w:trPr>
          <w:trHeight w:val="236"/>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Personnel costs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(3,349)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(2,602)</w:t>
            </w: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Shareholder related fees and expenses (A)</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(1,679)</w:t>
            </w: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(3,177)</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(1,544)</w:t>
            </w: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(940)</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(897)</w:t>
            </w:r>
          </w:p>
        </w:tc>
      </w:tr>
      <w:tr>
        <w:trPr>
          <w:trHeight w:val="223"/>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0" w:type="dxa"/>
            <w:vAlign w:val="bottom"/>
            <w:gridSpan w:val="3"/>
          </w:tcPr>
          <w:p>
            <w:pPr>
              <w:ind w:left="1360"/>
              <w:spacing w:after="0"/>
              <w:rPr>
                <w:sz w:val="20"/>
                <w:szCs w:val="20"/>
                <w:color w:val="auto"/>
              </w:rPr>
            </w:pPr>
            <w:r>
              <w:rPr>
                <w:rFonts w:ascii="Arial" w:cs="Arial" w:eastAsia="Arial" w:hAnsi="Arial"/>
                <w:sz w:val="18"/>
                <w:szCs w:val="18"/>
                <w:color w:val="auto"/>
              </w:rPr>
              <w:t>Total selling, general and administrative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(7,529)</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23"/>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general corporate expenses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right="2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the first quarter of 2015, these fees and expenses include costs associated with evaluating and analyzing proposals received from certain activist shareholders and dealing, negotiating and settling with those shareholders in order to avoid proxy contests.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three months ended March 31, 2016 and 2015, interest expense is net of capitalized interest of $10.0 million and $5.6 million, respectively.</w:t>
      </w:r>
    </w:p>
    <w:p>
      <w:pPr>
        <w:spacing w:after="0" w:line="46" w:lineRule="exact"/>
        <w:rPr>
          <w:rFonts w:ascii="Arial" w:cs="Arial" w:eastAsia="Arial" w:hAnsi="Arial"/>
          <w:sz w:val="16"/>
          <w:szCs w:val="16"/>
          <w:color w:val="auto"/>
        </w:rPr>
      </w:pPr>
    </w:p>
    <w:p>
      <w:pPr>
        <w:ind w:left="52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three months ended March 31, 2016, we recognized an unrealized loss of $2.5 million based on the change in fair value of the embedded derivative discussed in Note 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w w:val="94"/>
              </w:rPr>
              <w:t>March 31,</w:t>
            </w:r>
          </w:p>
        </w:tc>
        <w:tc>
          <w:tcPr>
            <w:tcW w:w="18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w w:val="99"/>
              </w:rPr>
              <w:t>December 31,</w:t>
            </w:r>
          </w:p>
        </w:tc>
      </w:tr>
      <w:tr>
        <w:trPr>
          <w:trHeight w:val="230"/>
        </w:trPr>
        <w:tc>
          <w:tcPr>
            <w:tcW w:w="17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07"/>
        </w:trPr>
        <w:tc>
          <w:tcPr>
            <w:tcW w:w="17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ind w:left="580"/>
              <w:spacing w:after="0"/>
              <w:rPr>
                <w:sz w:val="20"/>
                <w:szCs w:val="20"/>
                <w:color w:val="auto"/>
              </w:rPr>
            </w:pPr>
            <w:r>
              <w:rPr>
                <w:rFonts w:ascii="Arial" w:cs="Arial" w:eastAsia="Arial" w:hAnsi="Arial"/>
                <w:sz w:val="16"/>
                <w:szCs w:val="16"/>
                <w:color w:val="auto"/>
              </w:rPr>
              <w:t>(In Thousands)</w:t>
            </w:r>
          </w:p>
        </w:tc>
      </w:tr>
      <w:tr>
        <w:trPr>
          <w:trHeight w:val="233"/>
        </w:trPr>
        <w:tc>
          <w:tcPr>
            <w:tcW w:w="1720" w:type="dxa"/>
            <w:vAlign w:val="bottom"/>
          </w:tcPr>
          <w:p>
            <w:pPr>
              <w:spacing w:after="0"/>
              <w:rPr>
                <w:sz w:val="20"/>
                <w:szCs w:val="20"/>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Chemical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1,175,621</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1,159,592</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Climate Control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148,997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47,736</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1,343,296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1,361,827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2015, we paid dividends totaling $300,000 on our Series B Preferred and our Series D Preferred. No dividends were declared during the first quarter of 2016. The Series B Preferred and Series D Preferred are non-redeemable preferred stocks issued in 1986 and 2001, respectively, of which all outstanding shares are owned by the Golsen Group.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49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Accounts receivable and accounts payable associated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with additions of property, plant and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54,237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Long-term debt associated with additions of capitalized</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internal-use software and software development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Dividend accrued on Series E Redeemable Preferred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7,350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2,243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11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color w:val="auto"/>
        </w:rPr>
        <w:t xml:space="preserve">Secured Promissory Note Amendment - </w:t>
      </w:r>
      <w:r>
        <w:rPr>
          <w:rFonts w:ascii="Arial" w:cs="Arial" w:eastAsia="Arial" w:hAnsi="Arial"/>
          <w:sz w:val="17"/>
          <w:szCs w:val="17"/>
          <w:color w:val="auto"/>
        </w:rPr>
        <w:t>On February 1, 2013, Zena Energy L.L.C. (“Zena”), a subsidiary within our Chemical Business, entered into a loan</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“Secured Promissory Note”) with a lender in the original principal amount of $35 million. The Secured Promissory Note followed the original acquisition by Zena of working interests (“Working Interests”) in certain natural gas properties. Effective April 1, 2016, Zena entered into the second amended and restated note (the “Amended Note”) with the original lender. Principal and interest are payable in 20 monthly installments beginning with the May 1</w:t>
      </w:r>
      <w:r>
        <w:rPr>
          <w:rFonts w:ascii="Arial" w:cs="Arial" w:eastAsia="Arial" w:hAnsi="Arial"/>
          <w:sz w:val="14"/>
          <w:szCs w:val="14"/>
          <w:color w:val="auto"/>
        </w:rPr>
        <w:t>st</w:t>
      </w:r>
      <w:r>
        <w:rPr>
          <w:rFonts w:ascii="Arial" w:cs="Arial" w:eastAsia="Arial" w:hAnsi="Arial"/>
          <w:sz w:val="17"/>
          <w:szCs w:val="17"/>
          <w:color w:val="auto"/>
        </w:rPr>
        <w:t xml:space="preserve"> installment. Interest is based on the LIBOR rate plus 300 basis points and the terms of which were not changed by this amendment. The interest rate at April 1, 2016 was 3.63%. The Amended Note matures on December 1, 2017. The Amended Note continues to be secured by the Working Interests and related properties and proceeds. At March 31, 2016, Zena’s outstanding principal amount of approximately $14.1 million due to lender was reclassified to consist of a current portion of $8.8 million and a long</w:t>
      </w:r>
      <w:r>
        <w:rPr>
          <w:rFonts w:ascii="MS PGothic" w:cs="MS PGothic" w:eastAsia="MS PGothic" w:hAnsi="MS PGothic"/>
          <w:sz w:val="17"/>
          <w:szCs w:val="17"/>
          <w:color w:val="auto"/>
        </w:rPr>
        <w:t>‐</w:t>
      </w:r>
      <w:r>
        <w:rPr>
          <w:rFonts w:ascii="Arial" w:cs="Arial" w:eastAsia="Arial" w:hAnsi="Arial"/>
          <w:sz w:val="17"/>
          <w:szCs w:val="17"/>
          <w:color w:val="auto"/>
        </w:rPr>
        <w:t>term portion of $5.3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a review of the other items included in this Form 10-Q and our March 31, 2016 condensed consolidated financial statements included elsewhere in this report. Certain statements contained in this MD&amp;A may be deemed to be forward-looking statements. See “Special Note Regarding Forward-Looking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LSB is a manufacturing company operating through our subsidiaries. LSB and its wholly-owned subsidiaries own the following core businesses:</w:t>
      </w:r>
    </w:p>
    <w:p>
      <w:pPr>
        <w:spacing w:after="0" w:line="117" w:lineRule="exact"/>
        <w:rPr>
          <w:sz w:val="20"/>
          <w:szCs w:val="20"/>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Chemical Business manufactures and sells nitrogen-based chemical products for the agricultural, industrial, and mining markets which it produces at four facilities located in El Dorado, Arkansas; Cherokee, Alabama; Pryor, Oklahoma; and Baytown, Texas.</w:t>
      </w:r>
    </w:p>
    <w:p>
      <w:pPr>
        <w:spacing w:after="0" w:line="62"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which includes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Initiatives for 2016</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 in 2016:</w:t>
      </w:r>
    </w:p>
    <w:p>
      <w:pPr>
        <w:spacing w:after="0" w:line="62" w:lineRule="exact"/>
        <w:rPr>
          <w:sz w:val="20"/>
          <w:szCs w:val="20"/>
          <w:color w:val="auto"/>
        </w:rPr>
      </w:pPr>
    </w:p>
    <w:p>
      <w:pPr>
        <w:jc w:val="both"/>
        <w:ind w:left="10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Complete the El Dorado ammonia plant. </w:t>
      </w:r>
      <w:r>
        <w:rPr>
          <w:rFonts w:ascii="Arial" w:cs="Arial" w:eastAsia="Arial" w:hAnsi="Arial"/>
          <w:sz w:val="18"/>
          <w:szCs w:val="18"/>
          <w:color w:val="auto"/>
        </w:rPr>
        <w:t>The new ammonia plant at the El Dorado Facility was mechanically complete in February 2016 and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begin production early in the second quarter of 2016. We believe that we will complete this project within the latest budget estimates we have provided as discussed further in “—Liquidity and Capital Resources”. It will likely take us a few months to ramp up to full name plate production of 1,150 tons per day.</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Improve the on-stream rates of our chemical plants. </w:t>
      </w:r>
      <w:r>
        <w:rPr>
          <w:rFonts w:ascii="Arial" w:cs="Arial" w:eastAsia="Arial" w:hAnsi="Arial"/>
          <w:sz w:val="18"/>
          <w:szCs w:val="18"/>
          <w:color w:val="auto"/>
        </w:rPr>
        <w:t>During 2015, some of our chemical plants experienced unplanned outages and downtimes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planned turnarounds, which adversely affected our financial results. We have made and continue to make changes in the teams at our chemical plants and continue to upgrade the plants in order to reduce unplanned outages, unplanned downtimes, and the frequency of planned turnarounds and thereby to improve our financial results.</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Expand cost control and efficiency improvement activities in the Climate Control Business. </w:t>
      </w:r>
      <w:r>
        <w:rPr>
          <w:rFonts w:ascii="Arial" w:cs="Arial" w:eastAsia="Arial" w:hAnsi="Arial"/>
          <w:sz w:val="18"/>
          <w:szCs w:val="18"/>
          <w:color w:val="auto"/>
        </w:rPr>
        <w:t>During 2015, we began implementing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savings and efficiency initiatives for our Climate Control Business. We expect to expand this effort in 2016, and we expect these operational excellence initiatives to help us increase sales in the commercial and institutional markets that we serve. We are encouraged by the initial positive impact we have seen in the fourth quarter of 2015 and early 2016.</w:t>
      </w:r>
    </w:p>
    <w:p>
      <w:pPr>
        <w:spacing w:after="0" w:line="78"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Consolidate certain production and warehouse footprints in the Climate Control Business. </w:t>
      </w:r>
      <w:r>
        <w:rPr>
          <w:rFonts w:ascii="Arial" w:cs="Arial" w:eastAsia="Arial" w:hAnsi="Arial"/>
          <w:sz w:val="17"/>
          <w:szCs w:val="17"/>
          <w:color w:val="auto"/>
        </w:rPr>
        <w:t>We expect to complete the consolidations of some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production and warehouse facilities in the second half of 2016, which we expect will make the business more efficient.</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Enhance our capital structure. </w:t>
      </w:r>
      <w:r>
        <w:rPr>
          <w:rFonts w:ascii="Arial" w:cs="Arial" w:eastAsia="Arial" w:hAnsi="Arial"/>
          <w:sz w:val="18"/>
          <w:szCs w:val="18"/>
          <w:color w:val="auto"/>
        </w:rPr>
        <w:t>Once we recognize improved operating results from the initiatives mentioned above, we anticipate that our next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initiative will be to refinance our secured debt and preferred stock to obtain a lower cost of capital. We hope this will be accomplished towards the end of 2016 or in 2017.</w:t>
      </w:r>
    </w:p>
    <w:p>
      <w:pPr>
        <w:sectPr>
          <w:pgSz w:w="11900" w:h="16838" w:orient="portrait"/>
          <w:cols w:equalWidth="0" w:num="1">
            <w:col w:w="11420"/>
          </w:cols>
          <w:pgMar w:left="240" w:top="337" w:right="239" w:bottom="1440" w:gutter="0" w:footer="0" w:header="0"/>
        </w:sectPr>
      </w:pPr>
    </w:p>
    <w:p>
      <w:pPr>
        <w:spacing w:after="0" w:line="73" w:lineRule="exact"/>
        <w:rPr>
          <w:sz w:val="20"/>
          <w:szCs w:val="20"/>
          <w:color w:val="auto"/>
        </w:rPr>
      </w:pPr>
    </w:p>
    <w:p>
      <w:pPr>
        <w:ind w:left="1040" w:hanging="519"/>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Evaluate strategic initiatives for our two businesses. </w:t>
      </w:r>
      <w:r>
        <w:rPr>
          <w:rFonts w:ascii="Arial" w:cs="Arial" w:eastAsia="Arial" w:hAnsi="Arial"/>
          <w:sz w:val="17"/>
          <w:szCs w:val="17"/>
          <w:color w:val="auto"/>
        </w:rPr>
        <w:t>shareholder value and enhance our capital structure. separate our two businesses.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firstLine="97"/>
        <w:spacing w:after="0" w:line="342" w:lineRule="auto"/>
        <w:rPr>
          <w:sz w:val="20"/>
          <w:szCs w:val="20"/>
          <w:color w:val="auto"/>
        </w:rPr>
      </w:pPr>
      <w:r>
        <w:rPr>
          <w:rFonts w:ascii="Arial" w:cs="Arial" w:eastAsia="Arial" w:hAnsi="Arial"/>
          <w:sz w:val="16"/>
          <w:szCs w:val="16"/>
          <w:color w:val="auto"/>
        </w:rPr>
        <w:t>We plan to continue to review strategic choices for our businesses in order to maximize These strategies may include asset sales, line-of-business sales, or other actions that would</w:t>
      </w:r>
    </w:p>
    <w:p>
      <w:pPr>
        <w:spacing w:after="0" w:line="340" w:lineRule="exact"/>
        <w:rPr>
          <w:sz w:val="20"/>
          <w:szCs w:val="20"/>
          <w:color w:val="auto"/>
        </w:rPr>
      </w:pPr>
    </w:p>
    <w:p>
      <w:pPr>
        <w:sectPr>
          <w:pgSz w:w="11900" w:h="16838" w:orient="portrait"/>
          <w:cols w:equalWidth="0" w:num="2">
            <w:col w:w="4860" w:space="20"/>
            <w:col w:w="6540"/>
          </w:cols>
          <w:pgMar w:left="240" w:top="337"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beneficial results that we expect or desire.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 Dorado Expansion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ammonia plant at the El Dorado Facility was mechanically complete in February 2016. We are currently in the start-up phase of our ammonia plant and expect to begin production early in the second quarter of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detail below under “Liquidity and Capital Resources”, the total cost to complete the El Dorado expansion is estimated to be in the range of $825 million to $855 million, of which $796 million was spent as of March 31, 2016 with $29 million to $59 million estimated to be spent in the second quarter of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2016, we incurred a $12.1 million fee related to one-time consulting services associated with the reduction of assessed property tax values for the El Dorado projects real and personal property for both the nitric acid plant, nitric acid concentrator plant and the ammonia plant. We expect material savings in future periods through a reduction in property taxes paid.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subsidiary within our Chemical Business, Pryor Chemical Company (“PCC”), a wholly-owned subsidiary of LSB, is currently party to a contract with Koch Nitrogen Company, LLC (“Koch Nitrogen”) under which Koch Nitrogen agrees to purchase and distribute at market prices substantially all of the urea ammonium nitrate (“UAN”) produced at the Pryor Facility through June 30, 2016. On March 1, 2016, PCC provided notice of termination under the Urea Ammonium Nitrate Purchase Agreement. The termination will be effective as of May 31,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 2016, PCC entered into a Urea Ammonium Nitrate Purchase and Sale Agreement with Coffeyville Resources Nitrogen Fertilizers, LLC (“CVR”), which is effective as of June 1, 2016 (the “CVR Purchase Agreement”). We expect a significant reduction in distribution fees associated with this new contract.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Corn prices affect the number of acres of corn planted in a given year, and the number of acres planted will impact nitrogen fertilizer consumption, likely effecting ammonia, UAN and urea prices. Weather also will have an impact on fertilizer consumption. The latest World Agricultural Supply and Demand Estimates Report dated April 14, 2016 estimates record world ending stocks and that the USDA is estimating that U.S. growers will plant 93.6 million acres of corn in 2016 compared to 88.0 million in 2015. Following poor fall 2015 nitrogen fertilizer application, spring nitrogen fertilizer application has been strong, led by increased demand for ammonia as farmers prepare for the upcoming corn planting season. Demand for UAN and other nitrogen products has also been strong as dealers rush to position product in expectation of the increased demand due to higher estimated planted corn acres in 2016. The impact of stronger demand, coupled with lower imports of nitrogen products, has resulted in improved market prices and tighter inventory levels. We believe nitrogen fertilizer prices will stay at current levels through the remainder of the spring application season since fertilizer will need to be applied to maintain the desired yields. The strong U.S. dollar and higher world stocks have both resulted in lower grain prices, which means that farmers will need stronger yields to improve farm economics.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industrial product sales volumes are dependent upon general economic conditions primarily in the housing, automotive, and paper industries. According to the American Chemistry Council, the U.S. economic indicators continue to be mostly positive. Our sales prices generally vary with the market price of our feedstock (ammonia, natural gas or sulfur, as applicable) in our pricing arrangements with customers.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mining products are industrial grade AN (“LDAN”) and AN solutions. The primary uses are as AN fuel oil and specialty emulsions primarily in surface mining of coal and for usage in quarries and the construction industry. Coal mining is expected to decline further in 2016 after substantial decreases in 2015. Three of the top four major U.S. coal companies have filed for chapter 11 bankruptcy, representing 40% of U.S. coal production. Coal production in the U.S. affects our ability to sell LDAN, which is used in the explosive’s industry. We have executed contracts with customers with purchase requirements of 150,000 tons per year however with the downturn in the mining industry, we do not believe we will reach these sales levels in 2016. We believe that coal production in the U.S. will continue to face significant challenges assuming that natural gas prices remain at current and near term projected levels and that export demand could be lower due to the current strength of U.S. currency. While we believe our plants are strategically located to support the various regions around the country, our current mining sales volumes are being significantly impacted by overall lower customer demand for LDAN.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fertilizer is affected by aggregate crop planting and fertilizer application rates of individual farmers. Each farmer makes planting decisions based largely on prospective profitability of a harvest, while the specific varieties and amounts of fertilizer they apply depend on factors such as their financial resources, soil conditions, weather patterns and the types of crops planted. Corn prices, variability in fertilizer costs and expected yield can all play a part in the amount and types of fertilizer farmers choose to apply.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Natural gas is the primary feedstock for the production of nitrogen fertilizers at our Cherokee and Pryor Facilities and will be the primary feedstock at our El Dorado Facility beginning in the second quarter. Over the last five years, U.S. natural gas reserves have increased significantly due to, among other factors, advances in extracting shale gas, which have reduced and stabilized natural gas prices, providing North American plants manufacturing ammonia from natural gas with a cost advantage over certain imports. As a result, we believe that our competitive position (related to our Pryor, Cherokee and El Dorado Facilities) and that of other North American nitrogen fertilizer producers have been positively impacted.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historically have purchased natural gas in the spot market or through the use of forward purchase contracts, or a combination of both and have used forward-purchase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fluctuated significantly, which has had an impact on our cost of producing nitrogen fertilizer. The following table shows the volume of natural gas we purchased and the average cost per MMBtu:</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100" w:type="dxa"/>
            <w:vAlign w:val="bottom"/>
            <w:gridSpan w:val="5"/>
          </w:tcPr>
          <w:p>
            <w:pPr>
              <w:jc w:val="center"/>
              <w:ind w:left="255"/>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gridSpan w:val="4"/>
          </w:tcPr>
          <w:p>
            <w:pPr>
              <w:jc w:val="center"/>
              <w:ind w:right="345"/>
              <w:spacing w:after="0"/>
              <w:rPr>
                <w:sz w:val="20"/>
                <w:szCs w:val="20"/>
                <w:color w:val="auto"/>
              </w:rPr>
            </w:pPr>
            <w:r>
              <w:rPr>
                <w:rFonts w:ascii="Arial" w:cs="Arial" w:eastAsia="Arial" w:hAnsi="Arial"/>
                <w:sz w:val="18"/>
                <w:szCs w:val="18"/>
                <w:color w:val="auto"/>
                <w:w w:val="92"/>
              </w:rPr>
              <w:t>March 31,</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Electricity and Other Variable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electricity, precious metals and additives are a significant portion of our variable cost per ton and can vary depending on the plant and specific products produced. For example, for each ton of ammonia produced in 2016, we expect these costs to be in the range of 35%-45% of the total variable cost of ammonia, based on current natural gas pricing. For UAN and HDAN/LDAN, we expect these costs to be in the range of 40%-50% and 25%-35%, respectively, following the completion of the El Dorado project. The remaining variable costs primarily relate to the cost of natural gas.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Ammonia Prices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ammonia is the primary feedstock for the production of HDAN and LDAN at our El Dorado Facility, but will end when the new ammonia plant is fully operational which will be during the second quarter of 2016. Pursuant to the current ammonia purchase agreement with Koch, ammonia pricing is based on a published Tampa, Florida market index. The Tampa index is commonly used in annual contracts for the industrial sectors, and is based on the most recent major industry transactions in the Tampa market. Pricing considerations for ammonia incorporate international supply and demand, ocean freight and production factors. Subject to availability, we have the ability to source a portion of El Dorado’s ammonia requirements from our Pryor Facility, which costs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significantly less than current market prices. Once our new ammonia plant is fully operational, we believe this cost disadvantage will be eliminated. Over the past several years, ammonia prices have fluctuated significantly. Additionally, the El Dorado Facility’s cost to produce HDAN from purchased ammonia can at times exceed our selling price (a cost disadvantage as compared to producing ammonia from natural gas) as discussed below.</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full production, the El Dorado Facility will require 200,000 to 220,000 tons per year of ammonia feedstock to upgrade to other products. During the first quarter of 2016, the purchased ammonia was less than the amount required for full production due to lower production of LDAN from factors previously discussed.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El Dorado Facility’s volume of ammonia purchased and the average cost per short ton:</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120" w:type="dxa"/>
            <w:vAlign w:val="bottom"/>
            <w:gridSpan w:val="5"/>
          </w:tcPr>
          <w:p>
            <w:pPr>
              <w:jc w:val="center"/>
              <w:ind w:left="235"/>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gridSpan w:val="4"/>
          </w:tcPr>
          <w:p>
            <w:pPr>
              <w:jc w:val="center"/>
              <w:ind w:right="385"/>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Ammonia volumes (tons in thousands)</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Ammonia average cost per short ton</w:t>
            </w: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the cost disadvantage will continue into the second quarter of 2016 until we begin operating our new ammonia plant at the El Dorado Facility and will negatively impact our operating results until that point. As discussed above, we have executed certain contracts with customers with expected purchase requirements for LDAN. With the recent downturn in the mining industry, we do not believe we will reach those sales volumes.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mentioned above, our El Dorado Facility is currently at a cost disadvantage since it purchases ammonia instead of producing it. This cost disadvantage combined with the impact of the expiration of the Orica Agreement contributed to an operating loss for the facility during the first quarter of 2016 of approximately $22 million compared to an operating loss of approximately $4 million in the first quarter of 2015. As previously discussed, the $22 million loss includes the $12 million fee incurred relating to one-time consulting services. Excluding this fee, the El Dorado Facility’s operating loss in the first quarter of 2016 was $10 million.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has been imported. Therefore, nitrogen fertilizer prices in the U.S. are influenced by the cost to transport product from exporting countries, giving domestic producers who transport shorter distances an advantage.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Construction Markets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Climate Control Business serves the new, renovation and replacement commercial/institutional and residential construction sectors. Over the past several years, our overall business volume has shifted from a new construction majority to a dominance in renovation and replacement projects. Information available from the Dodge Construction Market Forecasting Service (“CMFS”), indicates that construction activity in the commercial/institutional markets we serve (including multi-family residential structures) is expected to increase 8%, 9% and 6% in the aggregate in 2016, 2017 and 2018, respectively, and has surpassed pre-recession levels collectively. In particular, the education, office and healthcare vertical end markets of the commercial/institutional sector are expected to grow faster than other vertical end markets we serve. Additionally, single-family residential construction is expected to grow 16% during 2016 to 755,000 units but still remains well below the 1.5 million unit pre-recession levels.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the above forecasted growth in the vertical markets we serve as well as the introduction of new products specifically targeted at the hospitality, education and healthcare vertical markets, we expect the commercial/institutional portion of the Climate Control Business to experience sales growth in the medium and long-term. We believe that our residential products, which are geothermal heat pumps (“GHP”), will experience limited, if any, sales growth due to the higher relative total system purchase cost of our higher efficiency GHP product offerings as compared to traditional HVAC systems. The higher initial purchase cost creates a longer payback period in most regions due to current low energy costs. We continue to concentrate our product development and sales and marketing efforts on increasing our share of the existing market for our products, as well as expanding the markets for and application of our products, with a focus on utilizing high efficiency technology.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In addition, the federal tax credit for geothermal installations will expire during 2016, but we believe they will be re-implemented but possibly with lower tax credit amounts. We are uncertain as to the impact this may have on our geothermal product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Unplanned downtime of the plants typically results in lost contribution margin, increased maintenance expense and decreased inventory for sale. The financial impact of planned downtime, including Turnaround maintenance, is mitigated through a diligent planning process that takes into account the availability of resources to perform the needed maintenance, feedstock logistics and other factors. Our Cherokee Facility is on a two-year Turnaround cycle while our Pryor Facility is on an annual Turnaround cycle. A Turnaround was not performed at our Cherokee Facility in 2015. We are anticipating a Turnaround at our Cherokee and Pryor Facilities in the third quarter of 2016, both of which are expected to last 20 to 25 days. At our El Dorado Facility, we are able to perform Turnaround projects on individual plants without shutting down the entire facility and the impact of lost production is not significant. However, upon completion of the new ammonia plant at our El Dorado Facility, the facility will begin to schedule annual Turnarounds that are also expected to last 20 to 25 days. All Turnarounds result in lost fixed overhead absorption and additional maintenance costs, which costs are expensed as incurred.</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of the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Orders, Sales and Ending Backlog</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Climate Control Business’ first quarter 2016 total new product bookings were $64.6 million, a decrease of 3% from the first quarter of 2015, reflecting a 1% decrease in new orders of commercial products and a 16% decrease in new orders for residential products. However the new bookings in the first quarter of 2016 increased 10% from the fourth quarter of 2015, with commercial products up 15% and residential products down 19%. Our backlog improved in the first quarter of 2016 over the fourth quarter of 2015 due to increased commercial orders in water source and geothermal heat pumps, fan coils and modular chillers as a result of increased quote activity, partially offset by lower orders for our large custom air handlers.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ind w:left="280"/>
              <w:spacing w:after="0"/>
              <w:rPr>
                <w:sz w:val="20"/>
                <w:szCs w:val="20"/>
                <w:color w:val="auto"/>
              </w:rPr>
            </w:pPr>
            <w:r>
              <w:rPr>
                <w:rFonts w:ascii="Arial" w:cs="Arial" w:eastAsia="Arial" w:hAnsi="Arial"/>
                <w:sz w:val="18"/>
                <w:szCs w:val="18"/>
                <w:color w:val="auto"/>
              </w:rPr>
              <w:t>New Orders (1)</w:t>
            </w:r>
          </w:p>
        </w:tc>
        <w:tc>
          <w:tcPr>
            <w:tcW w:w="1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Net Sales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4"/>
          </w:tcPr>
          <w:p>
            <w:pPr>
              <w:ind w:left="120"/>
              <w:spacing w:after="0"/>
              <w:rPr>
                <w:sz w:val="20"/>
                <w:szCs w:val="20"/>
                <w:color w:val="auto"/>
              </w:rPr>
            </w:pPr>
            <w:r>
              <w:rPr>
                <w:rFonts w:ascii="Arial" w:cs="Arial" w:eastAsia="Arial" w:hAnsi="Arial"/>
                <w:sz w:val="18"/>
                <w:szCs w:val="18"/>
                <w:color w:val="auto"/>
              </w:rPr>
              <w:t>Ending Backlog (1)</w:t>
            </w:r>
          </w:p>
        </w:tc>
      </w:tr>
      <w:tr>
        <w:trPr>
          <w:trHeight w:val="223"/>
        </w:trPr>
        <w:tc>
          <w:tcPr>
            <w:tcW w:w="2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04"/>
        </w:trPr>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FF0FC"/>
          </w:tcPr>
          <w:p>
            <w:pPr>
              <w:spacing w:after="0"/>
              <w:rPr>
                <w:sz w:val="20"/>
                <w:szCs w:val="20"/>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r>
      <w:tr>
        <w:trPr>
          <w:trHeight w:val="223"/>
        </w:trPr>
        <w:tc>
          <w:tcPr>
            <w:tcW w:w="2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Year</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93"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new orders consist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At March 31, 2016, the backlog includes five orders totaling approximately $1.8 million expected to ship beyond twelve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left="520"/>
        <w:spacing w:after="0" w:line="277" w:lineRule="auto"/>
        <w:rPr>
          <w:sz w:val="20"/>
          <w:szCs w:val="20"/>
          <w:color w:val="auto"/>
        </w:rPr>
      </w:pPr>
      <w:r>
        <w:rPr>
          <w:rFonts w:ascii="Arial" w:cs="Arial" w:eastAsia="Arial" w:hAnsi="Arial"/>
          <w:sz w:val="18"/>
          <w:szCs w:val="18"/>
          <w:color w:val="auto"/>
        </w:rPr>
        <w:t>reported, exclude contracts related to our construction business due to the relative size of individual projects and, in some cases, extended timeframe for completion beyond a twelve-month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April 2016, our new orders received were approximately $22.4 million and our backlog was approximately $70.5 million at April 30, 2016.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 Activities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2013 we began our Operational Excellence (“OpEx”) initiative at each of the companies within our Climate Control Business focusing on creating a safe work environment, industry leading quality, excellent customer service and operating cost reductions. Our OpEx focus intensified throughout 2014 and 2015 at our custom air handler business and realignment of our water source and geothermal heat pump and hydronic fan coil operations. We have increased our investment through the addition of a Group Director of OpEx and staffing of OpEx professionals at three of our operations to accelerate improvements in the businesses. The Climate Control Business continues to build the foundation for the continuous improvement culture desired in our organization. In the first quarter of 2016, the results of our OpEx initiatives were reflected through improved safety, quality, delivery and productivity. We continue to focus on our 2016 strategic plan which has specific goals, driving organizational development and management accountability. This OpEx focus will lead to further increases through manufacturing excellence, successful launches of new products, and synergies gained through changes in organizational structure which will leverage support across the businesses.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First Quarter of 2016</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net sales for the first quarter of 2016 were $165.6 million compared to $198.8 million for the same period in 2015. The sales decrease of $33.2 million included a decrease of $34.7 million in our Chemical Business partially offset by an increase of $1.4 million in our Climate Control Business. Our consolidated operating loss was $12.2 million compared to a consolidated operating income of $14.2 million for the same period in 2015. The increase in our operating loss of $26.4 million included an increase in our Chemical Business operating loss of $26.8 million partially offset by an increase of $1.2 million in operating income in our Climate Control Business. In addition, unallocated corporate expenses increased $1.0 million. The items impacting our operating results are discussed in more detail below and under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Chemical On-Stream Rates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Pryor Facility’s ammonia plant reported an on-stream factor in the first quarter of 2016 in excess of 90% in spite of a 5 day outage resulting from a rupture in a process airline compared to an on-stream factor of 75% for the full year 2015 and a 97% on-stream factor in the first quarter of 2015. The Cherokee Facility reported on-stream rates in its ammonia plant at 96% for the first quarter of 2016 and 2015, respectfully. Cherokee reported an on-stream factor of 93% for the full year 2015.</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Consulting Fee Related to EDC Property Taxes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EDC incurred a one-time fee of $12.1 million related to consulting services associated with the reduction of assessed property values for the El Dorado projects real and personal property for both the nitric acid plant, nitric acid concentrator plant and the ammonia plant. We expect material property tax savings in future periods through a reduction of property taxes paid.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Orica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reported, EDC’s LDAN sales agreement with Orica expired on April 9, 2015. The Orica Agreement included a provision for Orica to pay for fixed overhead costs and gross profit on the portion of the annual minimum of product not taken. The annual fixed overhead and gross profit associated with the 240,000 tons was approximately $20 million. As a result during the first quarter of 2016, our El Dorado Facility had approximately $3.4 million less contribution margin compared to the same period in 2015, due to the expiration of this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the expiration of the Orica Agreement, we continue selling LDAN to other customers including Orica but at a lower volume given that we are currently a high cost producer due to purchasing ammonia as the feedstock. We believe we will continue to experience lower volumes until the El Dorado ammonia plant construction is in production which is expected to begin early in the second quarter of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We have signed contracts with customers, which began in January 2016 and provide for the sale of approximately 150,000 tons of LDAN annually under various cost plus pricing arrangements. With the recent downturn in the mining industry, we do not believe we will reach these sales volumes. Unlike the Orica Agreement, which contained take-or-pay provisions, certain of these contracts include minimum annual volume levels with penalty payments if minimum volumes are not met. However, as discussed in more detail above under “Key Industry Factors,” our LDAN sales volumes are being impacted by the decline in coal production in the U.S.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2013, in connection with a major expansion of our El Dorado Facility, we sold $425 million of the 7.75% Senior Secured Notes and in November 2015, we sold $50 million of the 12% Senior Secured Notes. During the first quarter of 2016 and 2015, interest expense was $1.4 million and $3.4 million, net of capitalized interest of $10.0 million and $5.6 million, respectively. Interest was capitalized based upon construction in progress of the El Dorado expansion and certain other capital projects.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Results of Operations should be read in conjunction with our condensed consolidated financial statements for the three months ended March 31, 2016 and 2015 and accompanying notes and the discussions under “Overview” and “Liquidity and Capital Resources” included in this MD&amp;A.</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(loss) by business segment represents net sales less cost of sales. Operating income (loss) by business segment represents gross profit (loss) by business segment less SG&amp;A incurred by each business segment plus other income and other expense earned/incurred by each business segment before general corporate expenses. General corporate expenses consist of SG&amp;A, other income and other expenses that are not allocated to one of our business segments.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The following table contains certain information about our continuing operations in different business segments on a consolidated basis:</w:t>
      </w:r>
    </w:p>
    <w:p>
      <w:pPr>
        <w:sectPr>
          <w:pgSz w:w="11900" w:h="16838" w:orient="portrait"/>
          <w:cols w:equalWidth="0" w:num="1">
            <w:col w:w="11440"/>
          </w:cols>
          <w:pgMar w:left="240" w:top="557" w:right="21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(In Thousands)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97,005</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131,754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165,599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198,798</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Gross profit (loss):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(6,961)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19,962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54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15,009</w:t>
            </w:r>
          </w:p>
        </w:tc>
        <w:tc>
          <w:tcPr>
            <w:tcW w:w="2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40,761</w:t>
            </w:r>
          </w:p>
        </w:tc>
        <w:tc>
          <w:tcPr>
            <w:tcW w:w="80" w:type="dxa"/>
            <w:vAlign w:val="bottom"/>
            <w:tcBorders>
              <w:bottom w:val="single" w:sz="8" w:color="CFF0FC"/>
            </w:tcBorders>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(10,172)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corporate expenses</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(7,778)</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Corporate and other business operations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93,961</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76,689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54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94,210</w:t>
            </w:r>
          </w:p>
        </w:tc>
        <w:tc>
          <w:tcPr>
            <w:tcW w:w="2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76,826</w:t>
            </w:r>
          </w:p>
        </w:tc>
        <w:tc>
          <w:tcPr>
            <w:tcW w:w="80" w:type="dxa"/>
            <w:vAlign w:val="bottom"/>
            <w:tcBorders>
              <w:bottom w:val="single" w:sz="8" w:color="CFF0FC"/>
            </w:tcBorders>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4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Depreciation, depletion and amortization of property, plant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Chemical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Climate Control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u w:val="single" w:color="auto"/>
          <w:color w:val="auto"/>
        </w:rPr>
        <w:t>Three Months Ended March 31, 2016 Compared to Three Months Ended March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information about our net sales, gross profit (loss) and operating income (loss) in our Chemical Business: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2015</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Change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6"/>
                <w:szCs w:val="16"/>
                <w:color w:val="auto"/>
                <w:w w:val="92"/>
              </w:rPr>
              <w:t>(Dollars In Thousands)</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49,774</w:t>
            </w:r>
          </w:p>
        </w:tc>
        <w:tc>
          <w:tcPr>
            <w:tcW w:w="80" w:type="dxa"/>
            <w:vAlign w:val="bottom"/>
          </w:tcPr>
          <w:p>
            <w:pPr>
              <w:spacing w:after="0"/>
              <w:rPr>
                <w:sz w:val="19"/>
                <w:szCs w:val="19"/>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71,050</w:t>
            </w:r>
          </w:p>
        </w:tc>
        <w:tc>
          <w:tcPr>
            <w:tcW w:w="260" w:type="dxa"/>
            <w:vAlign w:val="bottom"/>
          </w:tcPr>
          <w:p>
            <w:pPr>
              <w:spacing w:after="0"/>
              <w:rPr>
                <w:sz w:val="19"/>
                <w:szCs w:val="19"/>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(21,276)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42,651</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(5,783)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(7,142)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(548)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Chemical</w:t>
            </w:r>
          </w:p>
        </w:tc>
        <w:tc>
          <w:tcPr>
            <w:tcW w:w="7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97,005</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131,754</w:t>
            </w:r>
          </w:p>
        </w:tc>
        <w:tc>
          <w:tcPr>
            <w:tcW w:w="2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(34,749)</w:t>
            </w:r>
          </w:p>
        </w:tc>
        <w:tc>
          <w:tcPr>
            <w:tcW w:w="3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 Chemical</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(27,193)</w:t>
            </w:r>
          </w:p>
        </w:tc>
        <w:tc>
          <w:tcPr>
            <w:tcW w:w="3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20" w:type="dxa"/>
            <w:vAlign w:val="bottom"/>
            <w:gridSpan w:val="2"/>
            <w:vMerge w:val="restart"/>
          </w:tcPr>
          <w:p>
            <w:pPr>
              <w:ind w:left="220"/>
              <w:spacing w:after="0"/>
              <w:rPr>
                <w:sz w:val="20"/>
                <w:szCs w:val="20"/>
                <w:color w:val="auto"/>
              </w:rPr>
            </w:pPr>
            <w:r>
              <w:rPr>
                <w:rFonts w:ascii="Arial" w:cs="Arial" w:eastAsia="Arial" w:hAnsi="Arial"/>
                <w:sz w:val="18"/>
                <w:szCs w:val="18"/>
                <w:color w:val="auto"/>
              </w:rPr>
              <w:t>Gross profit percentage - Chemical (1)</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2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74"/>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 Chemical</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(26,832)</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420" w:type="dxa"/>
            <w:vAlign w:val="bottom"/>
            <w:gridSpan w:val="2"/>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4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 of our Chemical Business: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jc w:val="center"/>
              <w:ind w:right="30"/>
              <w:spacing w:after="0"/>
              <w:rPr>
                <w:sz w:val="20"/>
                <w:szCs w:val="20"/>
                <w:color w:val="auto"/>
              </w:rPr>
            </w:pPr>
            <w:r>
              <w:rPr>
                <w:rFonts w:ascii="Arial" w:cs="Arial" w:eastAsia="Arial" w:hAnsi="Arial"/>
                <w:sz w:val="18"/>
                <w:szCs w:val="18"/>
                <w:color w:val="auto"/>
                <w:w w:val="90"/>
              </w:rPr>
              <w:t>Three Months Ended March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3"/>
          </w:tcPr>
          <w:p>
            <w:pPr>
              <w:jc w:val="center"/>
              <w:ind w:right="125"/>
              <w:spacing w:after="0"/>
              <w:rPr>
                <w:sz w:val="20"/>
                <w:szCs w:val="20"/>
                <w:color w:val="auto"/>
              </w:rPr>
            </w:pPr>
            <w:r>
              <w:rPr>
                <w:rFonts w:ascii="Arial" w:cs="Arial" w:eastAsia="Arial" w:hAnsi="Arial"/>
                <w:sz w:val="18"/>
                <w:szCs w:val="18"/>
                <w:color w:val="auto"/>
                <w:w w:val="87"/>
              </w:rPr>
              <w:t>31,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600" w:type="dxa"/>
            <w:vAlign w:val="bottom"/>
            <w:gridSpan w:val="2"/>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37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94,306</w:t>
            </w: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116,922</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(22,616)</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190,236</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215,094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(24,858)</w:t>
            </w: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jc w:val="center"/>
              <w:ind w:right="30"/>
              <w:spacing w:after="0"/>
              <w:rPr>
                <w:sz w:val="20"/>
                <w:szCs w:val="20"/>
                <w:color w:val="auto"/>
              </w:rPr>
            </w:pPr>
            <w:r>
              <w:rPr>
                <w:rFonts w:ascii="Arial" w:cs="Arial" w:eastAsia="Arial" w:hAnsi="Arial"/>
                <w:sz w:val="18"/>
                <w:szCs w:val="18"/>
                <w:color w:val="auto"/>
                <w:w w:val="90"/>
              </w:rPr>
              <w:t>Three Months Ended March</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3"/>
          </w:tcPr>
          <w:p>
            <w:pPr>
              <w:jc w:val="center"/>
              <w:ind w:right="125"/>
              <w:spacing w:after="0"/>
              <w:rPr>
                <w:sz w:val="20"/>
                <w:szCs w:val="20"/>
                <w:color w:val="auto"/>
              </w:rPr>
            </w:pPr>
            <w:r>
              <w:rPr>
                <w:rFonts w:ascii="Arial" w:cs="Arial" w:eastAsia="Arial" w:hAnsi="Arial"/>
                <w:sz w:val="18"/>
                <w:szCs w:val="18"/>
                <w:color w:val="auto"/>
                <w:w w:val="87"/>
              </w:rPr>
              <w:t>31,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r>
      <w:tr>
        <w:trPr>
          <w:trHeight w:val="237"/>
        </w:trPr>
        <w:tc>
          <w:tcPr>
            <w:tcW w:w="37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4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Three Months Ended March</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3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30"/>
              <w:spacing w:after="0"/>
              <w:rPr>
                <w:sz w:val="20"/>
                <w:szCs w:val="20"/>
                <w:color w:val="auto"/>
              </w:rPr>
            </w:pPr>
            <w:r>
              <w:rPr>
                <w:rFonts w:ascii="Arial" w:cs="Arial" w:eastAsia="Arial" w:hAnsi="Arial"/>
                <w:sz w:val="18"/>
                <w:szCs w:val="18"/>
                <w:color w:val="auto"/>
                <w:w w:val="97"/>
              </w:rPr>
              <w:t>Percentage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080" w:type="dxa"/>
            <w:vAlign w:val="bottom"/>
          </w:tcPr>
          <w:p>
            <w:pPr>
              <w:spacing w:after="0"/>
              <w:rPr>
                <w:sz w:val="20"/>
                <w:szCs w:val="20"/>
                <w:color w:val="auto"/>
              </w:rPr>
            </w:pPr>
          </w:p>
        </w:tc>
        <w:tc>
          <w:tcPr>
            <w:tcW w:w="3100" w:type="dxa"/>
            <w:vAlign w:val="bottom"/>
            <w:gridSpan w:val="2"/>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right"/>
              <w:ind w:right="450"/>
              <w:spacing w:after="0"/>
              <w:rPr>
                <w:sz w:val="20"/>
                <w:szCs w:val="20"/>
                <w:color w:val="auto"/>
              </w:rPr>
            </w:pPr>
            <w:r>
              <w:rPr>
                <w:rFonts w:ascii="Arial" w:cs="Arial" w:eastAsia="Arial" w:hAnsi="Arial"/>
                <w:sz w:val="18"/>
                <w:szCs w:val="18"/>
                <w:color w:val="auto"/>
              </w:rPr>
              <w:t>Change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18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w:t>
            </w:r>
          </w:p>
        </w:tc>
        <w:tc>
          <w:tcPr>
            <w:tcW w:w="20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140,530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130,737</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19,562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27,153</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(7,591)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3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22,427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Ammonia</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7,673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8,418</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our first quarter 2016 agricultural sales were lower due to lower selling prices for HDAN, UAN and ammonia, and lower sales volumes for HDAN and UAN, which were partially offset by higher sales volumes for ammonia. Industrial and mining sales were lower due to lower product prices tracking the lower published ammonia indices, which were partially offset by higher sales volumes. In addition, natural gas sales prices and volumes declined in the first quarter of 2016 compared to 2015.</w:t>
      </w:r>
    </w:p>
    <w:p>
      <w:pPr>
        <w:spacing w:after="0" w:line="79" w:lineRule="exact"/>
        <w:rPr>
          <w:sz w:val="20"/>
          <w:szCs w:val="20"/>
          <w:color w:val="auto"/>
        </w:rPr>
      </w:pPr>
    </w:p>
    <w:p>
      <w:pPr>
        <w:jc w:val="both"/>
        <w:ind w:left="1040" w:hanging="519"/>
        <w:spacing w:after="0" w:line="293"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Agricultural products comprised approximately 51% of the Chemical Business’ net sales for the first quarter 2016 compared to 54% for the same period of 2015. Agricultural products sales decreased primarily due to lower prices for nitrogen based fertilizers. Compared to 2015 first quarter, the 2016 average agriculture product selling prices per ton were lower by 35%, 29% and 22% for ammonia, UAN and HDAN respectfully. Sales volumes were lower for HDAN and UAN which were partially offset by higher ammonia sales volumes in the first quarter of 2016 compared to the first quarter of 2015. HDAN sales volumes were lower because buyers built inventories early in the first quarter of 2015 as compared to the first quarter of 2016. UAN sales volumes were lower as we sold more favorably priced ammonia at our Pryor Facility.</w:t>
      </w:r>
    </w:p>
    <w:p>
      <w:pPr>
        <w:spacing w:after="0" w:line="56" w:lineRule="exact"/>
        <w:rPr>
          <w:rFonts w:ascii="Arial" w:cs="Arial" w:eastAsia="Arial" w:hAnsi="Arial"/>
          <w:sz w:val="16"/>
          <w:szCs w:val="16"/>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as the result of lower product selling prices. This decrease was partially offset by higher sales volume as more product was available to sell resulting from the production from our nitric acid plant at El Dorado beginning in November 2015.</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Mining products sales decreased primarily due to the expiration of the Orica Agreement in April 2015, which resulted in lower volumes and lower sales prices from the pass-through of lower ammonia costs to our contractual customers partially offset by increased volumes at our Cherokee Facility.</w:t>
      </w:r>
    </w:p>
    <w:p>
      <w:pPr>
        <w:spacing w:after="0" w:line="73"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products consists of natural gas sales from our working interests in certain natural gas properties. The decrease in natural gas sales is due to lower realized selling prices out of the Marcellus Shale region combined with lower production volumes in the first quarter of 2016 compared to the same period in 2015 as the operator of these properties has slowed development due to the decline in natural gas sales prices.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b w:val="1"/>
          <w:bCs w:val="1"/>
          <w:color w:val="auto"/>
        </w:rPr>
        <w:t>Gross Profit (Loss) - Chemical</w:t>
      </w:r>
    </w:p>
    <w:p>
      <w:pPr>
        <w:spacing w:after="0" w:line="121" w:lineRule="exact"/>
        <w:rPr>
          <w:sz w:val="20"/>
          <w:szCs w:val="20"/>
          <w:color w:val="auto"/>
        </w:rPr>
      </w:pPr>
    </w:p>
    <w:p>
      <w:pPr>
        <w:jc w:val="both"/>
        <w:ind w:left="1040" w:right="20" w:hanging="519"/>
        <w:spacing w:after="0" w:line="291"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noted in the table above, our Chemical Business incurred a gross loss of $7.0 million for the first quarter of 2016 compared to gross profit of $20.2 million in the first quarter of 2015. The decrease in gross profit of $27.2 million was primarily due to a one-time cost of $12.1 million relating to consulting services for the El Dorado project, the loss of the margin contribution relating to the expiration of the Orica Agreement, increased operating costs, lower average selling prices and lower agricultural sales volumes. The decrease was partially offset by lower overall feedstock costs. The increase in operating costs relates primarily to start-up and commissioning costs incurred at the El Dorado Facility relating to the expansion project. Natural gas and ammonia feedstock costs both decreased approximately 33%. The positive impact from lower natural gas prices was partially offset by operating losses incurred from our working interests in certain natural gas properties.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Income (Loss) - Chemical</w:t>
      </w:r>
    </w:p>
    <w:p>
      <w:pPr>
        <w:spacing w:after="0" w:line="121" w:lineRule="exact"/>
        <w:rPr>
          <w:sz w:val="20"/>
          <w:szCs w:val="20"/>
          <w:color w:val="auto"/>
        </w:rPr>
      </w:pPr>
    </w:p>
    <w:p>
      <w:pPr>
        <w:ind w:left="1040" w:right="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Chemical Business operating loss was $10.2 million for the first quarter of 2016, a decrease in operating income of $26.8 million compared to the same period in 2015. The decrease was the result of the items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Business: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color w:val="auto"/>
              </w:rPr>
              <w:t>Three Months Ended March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Change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right"/>
              <w:ind w:right="80"/>
              <w:spacing w:after="0" w:line="155" w:lineRule="exact"/>
              <w:rPr>
                <w:sz w:val="20"/>
                <w:szCs w:val="20"/>
                <w:color w:val="auto"/>
              </w:rPr>
            </w:pPr>
            <w:r>
              <w:rPr>
                <w:rFonts w:ascii="Arial" w:cs="Arial" w:eastAsia="Arial" w:hAnsi="Arial"/>
                <w:sz w:val="14"/>
                <w:szCs w:val="14"/>
                <w:color w:val="auto"/>
              </w:rPr>
              <w:t>(Dollars 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Water source and geothermal heat pumps</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38,305</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37,494</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Hydronic fan coils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(940)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HVAC products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3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Climate Control</w:t>
            </w: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3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16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21,173</w:t>
            </w:r>
          </w:p>
        </w:tc>
        <w:tc>
          <w:tcPr>
            <w:tcW w:w="2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percentage - Climate Control (1)</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gridSpan w:val="2"/>
            <w:vMerge w:val="restart"/>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1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380" w:type="dxa"/>
            <w:vAlign w:val="bottom"/>
            <w:gridSpan w:val="2"/>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sales by market sector in our Climate Control Business: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7"/>
          </w:tcPr>
          <w:p>
            <w:pPr>
              <w:jc w:val="right"/>
              <w:ind w:right="280"/>
              <w:spacing w:after="0"/>
              <w:rPr>
                <w:sz w:val="20"/>
                <w:szCs w:val="20"/>
                <w:color w:val="auto"/>
              </w:rPr>
            </w:pPr>
            <w:r>
              <w:rPr>
                <w:rFonts w:ascii="Arial" w:cs="Arial" w:eastAsia="Arial" w:hAnsi="Arial"/>
                <w:sz w:val="18"/>
                <w:szCs w:val="18"/>
                <w:color w:val="auto"/>
                <w:w w:val="92"/>
              </w:rPr>
              <w:t>Three Months Ended March 31,</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2015</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7"/>
          </w:tcPr>
          <w:p>
            <w:pPr>
              <w:jc w:val="center"/>
              <w:ind w:right="500"/>
              <w:spacing w:after="0"/>
              <w:rPr>
                <w:sz w:val="20"/>
                <w:szCs w:val="20"/>
                <w:color w:val="auto"/>
              </w:rPr>
            </w:pPr>
            <w:r>
              <w:rPr>
                <w:rFonts w:ascii="Arial" w:cs="Arial" w:eastAsia="Arial" w:hAnsi="Arial"/>
                <w:sz w:val="16"/>
                <w:szCs w:val="16"/>
                <w:color w:val="auto"/>
                <w:w w:val="93"/>
              </w:rPr>
              <w:t>(Dollars in Thousands)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1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left="32"/>
              <w:spacing w:after="0"/>
              <w:rPr>
                <w:sz w:val="20"/>
                <w:szCs w:val="20"/>
                <w:color w:val="auto"/>
              </w:rPr>
            </w:pPr>
            <w:r>
              <w:rPr>
                <w:rFonts w:ascii="Arial" w:cs="Arial" w:eastAsia="Arial" w:hAnsi="Arial"/>
                <w:sz w:val="18"/>
                <w:szCs w:val="18"/>
                <w:color w:val="auto"/>
                <w:w w:val="88"/>
              </w:rPr>
              <w:t>Sector</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Sector</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Percentage</w:t>
            </w:r>
          </w:p>
        </w:tc>
        <w:tc>
          <w:tcPr>
            <w:tcW w:w="20" w:type="dxa"/>
            <w:vAlign w:val="bottom"/>
          </w:tcPr>
          <w:p>
            <w:pPr>
              <w:spacing w:after="0"/>
              <w:rPr>
                <w:sz w:val="20"/>
                <w:szCs w:val="20"/>
                <w:color w:val="auto"/>
              </w:rPr>
            </w:pPr>
          </w:p>
        </w:tc>
      </w:tr>
      <w:tr>
        <w:trPr>
          <w:trHeight w:val="217"/>
        </w:trPr>
        <w:tc>
          <w:tcPr>
            <w:tcW w:w="3580" w:type="dxa"/>
            <w:vAlign w:val="bottom"/>
            <w:gridSpan w:val="2"/>
          </w:tcPr>
          <w:p>
            <w:pPr>
              <w:spacing w:after="0"/>
              <w:rPr>
                <w:sz w:val="20"/>
                <w:szCs w:val="20"/>
                <w:color w:val="auto"/>
              </w:rPr>
            </w:pPr>
            <w:r>
              <w:rPr>
                <w:rFonts w:ascii="Arial" w:cs="Arial" w:eastAsia="Arial" w:hAnsi="Arial"/>
                <w:sz w:val="14"/>
                <w:szCs w:val="14"/>
                <w:color w:val="auto"/>
              </w:rPr>
              <w:t>Sales by Market Sector</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Sales</w:t>
            </w:r>
          </w:p>
        </w:tc>
        <w:tc>
          <w:tcPr>
            <w:tcW w:w="620" w:type="dxa"/>
            <w:vAlign w:val="bottom"/>
          </w:tcPr>
          <w:p>
            <w:pPr>
              <w:jc w:val="center"/>
              <w:ind w:left="32"/>
              <w:spacing w:after="0"/>
              <w:rPr>
                <w:sz w:val="20"/>
                <w:szCs w:val="20"/>
                <w:color w:val="auto"/>
              </w:rPr>
            </w:pPr>
            <w:r>
              <w:rPr>
                <w:rFonts w:ascii="Arial" w:cs="Arial" w:eastAsia="Arial" w:hAnsi="Arial"/>
                <w:sz w:val="18"/>
                <w:szCs w:val="18"/>
                <w:color w:val="auto"/>
              </w:rPr>
              <w:t>Mix</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Sales</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Mix</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r>
      <w:tr>
        <w:trPr>
          <w:trHeight w:val="20"/>
        </w:trPr>
        <w:tc>
          <w:tcPr>
            <w:tcW w:w="1340" w:type="dxa"/>
            <w:vAlign w:val="bottom"/>
            <w:tcBorders>
              <w:bottom w:val="single" w:sz="8" w:color="CFF0FC"/>
            </w:tcBorders>
            <w:shd w:val="clear" w:color="auto" w:fill="000000"/>
          </w:tcPr>
          <w:p>
            <w:pPr>
              <w:spacing w:after="0" w:line="20" w:lineRule="exact"/>
              <w:rPr>
                <w:sz w:val="1"/>
                <w:szCs w:val="1"/>
                <w:color w:val="auto"/>
              </w:rPr>
            </w:pPr>
          </w:p>
        </w:tc>
        <w:tc>
          <w:tcPr>
            <w:tcW w:w="224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Commercial/Institutional</w:t>
            </w: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30"/>
        </w:trPr>
        <w:tc>
          <w:tcPr>
            <w:tcW w:w="3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Residential</w:t>
            </w:r>
          </w:p>
        </w:tc>
        <w:tc>
          <w:tcPr>
            <w:tcW w:w="1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13</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3"/>
        </w:trPr>
        <w:tc>
          <w:tcPr>
            <w:tcW w:w="13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color w:val="auto"/>
        </w:rPr>
        <w:t>Net Sales – Climate Control</w:t>
      </w:r>
    </w:p>
    <w:p>
      <w:pPr>
        <w:spacing w:after="0" w:line="121" w:lineRule="exact"/>
        <w:rPr>
          <w:sz w:val="20"/>
          <w:szCs w:val="20"/>
          <w:color w:val="auto"/>
        </w:rPr>
      </w:pPr>
    </w:p>
    <w:p>
      <w:pPr>
        <w:jc w:val="both"/>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increased in the first quarter of 2016 as a result of a 5% increase in our commercial/institutional sales partially offset by an 8% decline in sales of our residential products. From a commercial/institutional market perspective, gains were primarily seen in the healthcare sector.</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hydronic fan coils decreased as a result of a decrease in the number of units sold partially offset by an increase in the average unit selling price related to favorable product mix. From a vertical market perspective, the decline was primarily in the hospitality and multi-family sectors, partially offset by an increase in the education sector.</w:t>
      </w:r>
    </w:p>
    <w:p>
      <w:pPr>
        <w:spacing w:after="0" w:line="73"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due to higher sales of our large custom air handlers, partially offset by a decrease in our modular chillers sales. The increase in our large custom air handler products was primarily related to the higher beginning backlog compared to the backlog at the beginning of the first quarter of 2015. The decline in modular chiller sales was the result of requested customer delivery dates being extended further into 2016. From a vertical market perspective, the increase was primarily related to the healthcare and industrial sectors.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Gross Profit - Climate Control</w:t>
      </w:r>
    </w:p>
    <w:p>
      <w:pPr>
        <w:spacing w:after="0" w:line="121" w:lineRule="exact"/>
        <w:rPr>
          <w:sz w:val="20"/>
          <w:szCs w:val="20"/>
          <w:color w:val="auto"/>
        </w:rPr>
      </w:pPr>
    </w:p>
    <w:p>
      <w:pPr>
        <w:jc w:val="both"/>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gross profit and gross profit percentage in our Climate Control Business was primarily the result of the increased sales volume as well as favorable product pricing, generating improved overhead absorption and relatively lower commodity costs (steel, copper, and aluminum) and cost savings realized from our OpEx activities.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Income - Climate Control</w:t>
      </w:r>
    </w:p>
    <w:p>
      <w:pPr>
        <w:spacing w:after="0" w:line="121" w:lineRule="exact"/>
        <w:rPr>
          <w:sz w:val="20"/>
          <w:szCs w:val="20"/>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in the first quarter of 2016 increased compared to the same period of 2015 due to the improvement in gross profit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for the first quarter of 2016 were approximately $7.8 million compared to $6.7 million for the same period in 2015. The increase of approximately $1.1 million primarily relates to an increase of $1.4 million in professional fees related to our review of strategic initiatives and updates to our corporate governance practices and policies. General corporate expenses also increased $0.8 million in compensation primarily relating to the issuance of restricted stock awards and $0.3 million related to one-time fees associated with the downsizing of our Board. These increases were partially offset by a decrease in shareholder related expenses of $1.8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first quarter of 2016 was $1.4 million compared to $3.4 million for the same period in 2015. The decrease is due primarily to capitalized interest on capital projects under development and construction, of which $10.0 million capitalized in the first quarter of 2016 compared to $5.6 million capitalized during first quarter of 2015, partially offset by interest expense of approximately $2.0 million associated with additional financing entered into subsequent to the first quarter of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for income taxes for the first quarter of 2016 was $0.6 million compared to a provision of approximately $4.2 million for the same period in 2015. The resulting effective tax rate for the first quarters of 2016 and 2015 was 4% and 39%,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activities continue to generate positive cash flows through March 31, 2016. Before discussing our capitalization and capital projects in detail, the following summarizes our cash flow activities for the first quarter of 2016:</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continuing operating activities was $14.1 million primarily as the result of a net loss of $14.9 million plus an adjustment of $11.7 million for depreciation, depletion and amortization of PP&amp;E and net cash provided of $17.3 million primarily from our working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by continuing investing activities was $104.8 million that consisted primarily of $104.3 million used for expenditures for PP&amp;E primarily for the benefit of our Chemical Business.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cash provided by continuing financing activities was $3.0 million and primarily related to net proceeds from long-term financing of $10.0 million partially offset by payments on short-term financing and long-term debt of $5.7 million and payments of debt and equity issuance costs of $1.3 million.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w w:val="93"/>
              </w:rPr>
              <w:t>The following is our total current cash and investments, long-term debt and stockholders’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7.75% Senior Secured Notes due 2019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12% Senior Secured Notes due 2019</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2016 (1)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2019</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Total long-term debt, including current portion,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E and F redeemable preferred stock</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April 2016, this note was amended under which $12.0 million of $14.1 million was refinanced. The amended note matures on December 1, 2017.</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our cash totaled $39.5 million. As discussed in detail below, the total cost to complete the El Dorado expansion is estimated to be in the range of $825 million to $855 million, of which $796 million was spent as of March 31, 2016 with $29 million to $59 million estimated to be spent in the second quarter of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2016, we received financing of $10 million related to the cogeneration facility equipment in connection with the El Dorado expansion projects. We are currently in discussions with several parties for further financing as it relates to the cogeneration facilities.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combination of our cash, the availability on our revolving credit facility, the additional borrowings discussed above and our cash from operations will be sufficient to fund our anticipated liquidity needs for the remainder of 2016. Over the long term, we will need to address the liquidity demands that will result on August 1, 2019, when our Senior Secured Notes mature and on August 2, 2019, when our Series E Redeemable Preferred will be redeemable at the election of the holders. Once we recognize improved operating results from the initiatives discussed in this MD&amp;A (see “—Key Initiatives for 2016” above), we anticipate that our next significant initiative will be to refinance our Senior Secured Notes and our Series E Redeemable Preferred to obtain a lower cost of capital. We hope this will be accomplished towards the end of 2016 or in 2017.</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Currently, our forecast is that we will be able to meet all financial covenant requirements for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When needed, we plan to use our revolving credit facility to fund operational needs though the remainder of 2016 and believe that even with this additional borrowing, we will meet the minimum fixed charge coverage ratio during the next twelve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Senior Secured Notes due 2019 </w:t>
      </w:r>
      <w:r>
        <w:rPr>
          <w:rFonts w:ascii="Arial" w:cs="Arial" w:eastAsia="Arial" w:hAnsi="Arial"/>
          <w:sz w:val="17"/>
          <w:szCs w:val="17"/>
          <w:color w:val="auto"/>
        </w:rPr>
        <w:t>- LSB has $425 million aggregate principal amount of the 7.75% Senior Secured Notes and $50 million aggregate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the 12% Senior Secured Notes currently outstanding. Interest is to be paid semiannually on February 1st and August 1st.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LSB and certain of its subsidiaries are party to the Working Capital Revolver Loan, by which the Borrowers may borrow</w:t>
      </w:r>
      <w:r>
        <w:rPr>
          <w:rFonts w:ascii="Arial" w:cs="Arial" w:eastAsia="Arial" w:hAnsi="Arial"/>
          <w:sz w:val="18"/>
          <w:szCs w:val="18"/>
          <w:b w:val="1"/>
          <w:bCs w:val="1"/>
          <w:color w:val="auto"/>
        </w:rPr>
        <w:t xml:space="preserve"> </w:t>
      </w:r>
      <w:r>
        <w:rPr>
          <w:rFonts w:ascii="Arial" w:cs="Arial" w:eastAsia="Arial" w:hAnsi="Arial"/>
          <w:sz w:val="18"/>
          <w:szCs w:val="18"/>
          <w:color w:val="auto"/>
        </w:rPr>
        <w:t>on a revolving basis up to $100 million, based on specific percentages of eligible accounts receivable and inventories. The Working Capital Revolver Loan will mature on April 13, 2018.</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2016, there were no outstanding borrowings under the Working Capital Revolver Loan and the net credit available for borrowings under our Working Capital Revolver Loan was approximately $69.3 million, based on our eligible collateral, less outstanding letters of credit as of that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Working Capital Revolver Loan requires the Borrowers to meet a minimum fixed charge coverage ratio of not less than 1.10 to 1, if at any time the excess availability (as defined by the Working Capital Revolver Loan), under the Working Capital Revolver Loan, is less than or equal to $12.5 million. If applicable, this ratio will be measured monthly on a trailing twelve month basis and as defined in the agreement. As of March 31, 2016, as defined in the agreement, the fixed charge coverage ratio was 2.0 to 1.</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Redemption of Series E Redeemable Preferred </w:t>
      </w:r>
      <w:r>
        <w:rPr>
          <w:rFonts w:ascii="Arial" w:cs="Arial" w:eastAsia="Arial" w:hAnsi="Arial"/>
          <w:sz w:val="17"/>
          <w:szCs w:val="17"/>
          <w:color w:val="auto"/>
        </w:rPr>
        <w:t>- At any time on or after August 2, 2019, each Series E Holder has the right to elect to have such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this accretion has and will continue to impact income (loss) per common share.</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Quarter of 2016</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Capital additions during the first quarter of 2016 were $96.1 million, including $94.7 million for the benefit of our Chemical Business. The Chemical Business capital additions included $90.8 million for expansion projects at our El Dorado Facility (which capital additions include equipment associated with maintaining compliance with environmental laws, regulations and guidelines), $3.4 million for various major renewal and improvement projects, $0.2 million for the development of natural gas leaseholds, and an additional $0.3 million associated with maintaining compliance with environmental laws, regulations and guidelines not associated with the El Dorado expansion. Additionally, we incurred $1.0 million in relation to our new Enterprise Resource Planning system (“ERP”). The capital additions were funded primarily from cash, third-party financing and working capital. Due to the increase in the amount of capital additions incurred and planned, our depreciation, depletion and amortization expenses have increased and are expected to continue to increase in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Planned Capital Additions – For the Remainder of 2016</w:t>
      </w:r>
    </w:p>
    <w:p>
      <w:pPr>
        <w:spacing w:after="0" w:line="23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Planned Capital Additions</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for the Remainder of 2016</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5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Chemical:</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rPr>
              <w:t>Low</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High</w:t>
            </w:r>
          </w:p>
        </w:tc>
      </w:tr>
      <w:tr>
        <w:trPr>
          <w:trHeight w:val="223"/>
        </w:trPr>
        <w:tc>
          <w:tcPr>
            <w:tcW w:w="5460" w:type="dxa"/>
            <w:vAlign w:val="bottom"/>
          </w:tcPr>
          <w:p>
            <w:pPr>
              <w:ind w:left="240"/>
              <w:spacing w:after="0"/>
              <w:rPr>
                <w:sz w:val="20"/>
                <w:szCs w:val="20"/>
                <w:color w:val="auto"/>
              </w:rPr>
            </w:pPr>
            <w:r>
              <w:rPr>
                <w:rFonts w:ascii="Arial" w:cs="Arial" w:eastAsia="Arial" w:hAnsi="Arial"/>
                <w:sz w:val="18"/>
                <w:szCs w:val="18"/>
                <w:color w:val="auto"/>
              </w:rPr>
              <w:t>El Dorado Expansion</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(1)</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Chemical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Climate Control (2)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 (2)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5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cost associated with renewal and improvement projects, environmental projects and the development of natural gas leaseholds, some of which may be deferred.</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planned capital expenditures for the remainder of 2016 is capitalized interest of approximately $4.1 million. The planned capital expenditures for Corporate and Other are primarily for our ERP implementation project.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planned capital expenditures include investments that we anticipate making for expansion and development projects, environmental requirements, and major renewal and improvement projects. Beyond the completion of our El Dorado expansion projects, specific capital projects are less identifiable but, beginning in 2017, are expected to range between $40 million to $60 million per year at our chemical facilities for ongoing capital maintenance, including environmental compliance, major renewal and improvement projects, and other capital projects, and approximately $21 million for the remainder of 2016 through 2019 to fully develop our natural gas working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El Dorado Expansion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El Dorado Facility has certain expansion projects underway, of which a portion has been completed. These expansion projects include an ammonia plant; a new 65% strength nitric acid plant and concentrator; and other support infrastructure, all of which were analyzed and evaluated based on their forecasted return on investment. The expected costs of these projects are outlined below, and their planned amounts are included in the table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color w:val="auto"/>
                <w:w w:val="96"/>
              </w:rPr>
              <w:t>Planned Capital Additions</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4700" w:type="dxa"/>
            <w:vAlign w:val="bottom"/>
          </w:tcPr>
          <w:p>
            <w:pPr>
              <w:spacing w:after="0"/>
              <w:rPr>
                <w:sz w:val="19"/>
                <w:szCs w:val="19"/>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Capitalized</w:t>
            </w:r>
          </w:p>
        </w:tc>
        <w:tc>
          <w:tcPr>
            <w:tcW w:w="28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0"/>
              </w:rPr>
              <w:t>For the Remainder</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To Date</w:t>
            </w:r>
          </w:p>
        </w:tc>
        <w:tc>
          <w:tcPr>
            <w:tcW w:w="280" w:type="dxa"/>
            <w:vAlign w:val="bottom"/>
          </w:tcPr>
          <w:p>
            <w:pPr>
              <w:spacing w:after="0"/>
              <w:rPr>
                <w:sz w:val="20"/>
                <w:szCs w:val="20"/>
                <w:color w:val="auto"/>
              </w:rPr>
            </w:pP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rPr>
              <w:t>of the Project</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jc w:val="right"/>
              <w:ind w:right="405"/>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4"/>
        </w:trPr>
        <w:tc>
          <w:tcPr>
            <w:tcW w:w="4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rPr>
              <w:t>(In Millions)</w:t>
            </w:r>
          </w:p>
        </w:tc>
        <w:tc>
          <w:tcPr>
            <w:tcW w:w="3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Ammonia Plant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$ 14</w:t>
            </w:r>
          </w:p>
        </w:tc>
        <w:tc>
          <w:tcPr>
            <w:tcW w:w="5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Support Infrastructure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Contingency</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w:t>
            </w:r>
          </w:p>
        </w:tc>
        <w:tc>
          <w:tcPr>
            <w:tcW w:w="110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4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79"/>
              </w:rPr>
              <w:t>29</w:t>
            </w:r>
          </w:p>
        </w:tc>
        <w:tc>
          <w:tcPr>
            <w:tcW w:w="54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620" w:type="dxa"/>
            <w:vAlign w:val="bottom"/>
            <w:gridSpan w:val="2"/>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El Dorado Facility produces nitric acid, HDAN and LDAN from purchased ammonia, which is currently at a cost disadvantage compared to products produced from natural gas. The El Dorado Facility historically purchased 600-700 tons of ammonia per day when operating at full capacity. We are constructing a 1,150 ton per day ammonia plant at the El Dorado Facility, which we believe will eliminate the cost disadvantage, increase capacity, and improve efficiency of the El Dorado Facility. This plant is expected to be operational in May of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As the result of the completion of the various capital projects included in the El Dorado expansion, the capitalization of interest to these capital projects will cease. That combined with the issuance of the 12% Senior Secured Notes, will increase interest expense and impact our future operating results.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$1.1 million during the first quarter of 2016 in connection with maintaining environmental regulatory compliance. For the remainder of 2016, we expect to incur an additional $3.6 million to $4.1 million of these expenses. However, it is possible that the actual costs could be significantly different than our estimates.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 However, our Board has not made a decision whether or not to pay such dividends on our common stock in 2016</w:t>
      </w:r>
      <w:r>
        <w:rPr>
          <w:rFonts w:ascii="Arial" w:cs="Arial" w:eastAsia="Arial" w:hAnsi="Arial"/>
          <w:sz w:val="18"/>
          <w:szCs w:val="18"/>
          <w:b w:val="1"/>
          <w:bCs w:val="1"/>
          <w:color w:val="auto"/>
        </w:rPr>
        <w:t>.</w:t>
      </w:r>
      <w:r>
        <w:rPr>
          <w:rFonts w:ascii="Arial" w:cs="Arial" w:eastAsia="Arial" w:hAnsi="Arial"/>
          <w:sz w:val="18"/>
          <w:szCs w:val="18"/>
          <w:color w:val="auto"/>
        </w:rPr>
        <w:t xml:space="preserve"> Also see the discussion below concerning certain limitations related to paying dividends on our common stock.</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Dividends on the Series E Redeemable Preferred are cumulative and payable semi-annually, commencing May 1, 2016, in arrears at the annual rate of 14% of the liquidation value of $1,000 per share. Each share of Series E Redeemable Preferred is entitled to receive a semi-annual dividend, when approved by our Board, of $70.00 per share for the aggregate semi-annual dividend of $14.7 million. In addition, dividends in arrears at the dividend date, until paid, shall compound additional dividends at the annual rate of 14%.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2016, the amount of accumulated dividends on the Series E Redeemable Preferred was approximately $9.6 million.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the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the amount of accumulated dividends on the Series D Preferred and Series B Preferred totaled approximately $0.1 million. All shares of the Series D Preferred and Series B Preferred are owned by the Golsen Holders. There are no optional or mandatory redemption rights with respect to the Series B Preferred or Series D Preferred.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chemical products sold by our Chemical Business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HDAN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2016, we have agreed to indemnify the sureties for payments, up to $10 million, made by them in respect of such bonds. All of these insurance bonds are expected to expire or be renewed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“Critical Accounting Policies and Estimates,” Item 7 of our 2015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 xml:space="preserve">make estimates and assumptions, including costs relating to a corrective action study work plan approved by the KDHE discussed under footnote 3 – Other Environmental Matters of Note 8 to Condensed Consolidated Financial Statements and the lawsuit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xml:space="preserve"> discussed under “Other Pending, Threatened or Settled Litigation” of Note 8. It is reasonably possible that the estimates and assumptions utilized as of March 31, 2016 could change in the near-term.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2015 Form 10-K, we had certain contractual obligations as of March 31, 2015, with various maturity dates, showing payments due for the next five years and thereafter related to the following:</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first quarter of 2016, we entered into contracts to purchase 1.1 million MMBtu of natural gas through December 2016, which contracts are included in the discussion in Note 8, and we entered into new and amended loan agreements as discussed above under “Liquidity and Capital Resources”.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ammonia and natural gas, changes in market interest rates, and changes in market currency exchange rates.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March 31, 2016, we had no embedded losses associated with sales commitments with firm sales prices relating to our Chemical Business.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Our Chemical Business periodically enters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2015, approximately 611,000 MMBtus’ of natural gas derivatives did not meet the definition of a normal purchase and sale and therefore a $0.10 change in natural gas price would have a minimal impact on income from continuing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March 31, 2016, we did not have any outstanding borrowings on this credit facility. We are also exposed to interest rate risk on variable rate borrowings for certain commercial loans in the amount of approximately $29 million. We currently do not hedge our interest rate risk associated with these variable interest loans.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2016. Based on this evaluation, the Company's Chief Executive Officer and Chief Financial Officer have concluded that the Company's disclosure controls and procedures were effective as of March 31, 2016, at the reasonable assurance level.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2014, we began implementing a new ERP system. We are implementing this system in discreet phases during the next few years. As a result, this implementation requires us to monitor and maintain appropriate internal control over financial reporting during this transition.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4"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 in projects that will generate best returns for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construction and sales outlook for the markets we serve and the products we sell in the Climate Control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timing and impact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for our geothermal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from the lack of non-seasonal volume in the Chemical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is based upon service, price, location of production and distribution sites, and product quality and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 for our Chemical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leadership positions in certain product categories for our Climate Control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from the ongoing Operational Excellence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our strategy for our Climate Control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geothermal technology being one of the most energy efficient;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eliminating our external ammonia purchase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stimulating sales of our geothermal heat pump products, and other “green”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eliminating the current ammonia cost disadvantage;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improved sales in 2016 for our Climate Control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the ERP;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from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obtain ammonia from other 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Turnarounds during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estimated accrued warranty costs could change in the near and long term;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projected warranty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 from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comply with debt servicing and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ammonia, natural gas, copper, steel and purchased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described in “Risk Factors” in our 2015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rPr>
              <w:t>AN</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Ammonium nitrate.</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Arkansas Department of Environmental Quality.</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Asset retirement obligation.</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A consent administrative order.</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w w:val="93"/>
              </w:rPr>
              <w:t>-  Formerly Bayer MaterialScience, LLC., the party with whom our subsidiary in Baytown has entered into an agreement</w:t>
            </w:r>
          </w:p>
        </w:tc>
      </w:tr>
      <w:tr>
        <w:trPr>
          <w:trHeight w:val="230"/>
        </w:trPr>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for supply of nitric acid through at least June 2021, the Covestro Agreement.</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Coffeyville Resources Nitrogen Fertilizers, LLC.</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LSB and certain of its subsidiaries that are party to the Amended Working Capital Revolver Loan.</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Chemical Business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w w:val="90"/>
              </w:rPr>
              <w:t>-  LSB’s business segment that manufactures and sells nitrogen-based chemical products for the agricultural, industrial, and</w:t>
            </w:r>
          </w:p>
        </w:tc>
      </w:tr>
      <w:tr>
        <w:trPr>
          <w:trHeight w:val="230"/>
        </w:trPr>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mining markets.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w w:val="97"/>
              </w:rPr>
              <w:t>LSB’s business segment manufactures and sells a broad range of HVAC products that include water source and</w:t>
            </w:r>
          </w:p>
        </w:tc>
      </w:tr>
      <w:tr>
        <w:trPr>
          <w:trHeight w:val="216"/>
        </w:trPr>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w w:val="92"/>
              </w:rPr>
              <w:t>geothermal heat pumps, hydronic fan coils, large custom air handlers, modular geothermal and other chillers, and other</w:t>
            </w:r>
          </w:p>
        </w:tc>
      </w:tr>
      <w:tr>
        <w:trPr>
          <w:trHeight w:val="230"/>
        </w:trPr>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related products and services.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CMFS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Dodge Construction Market Forecasting Service.</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U.S. Department of Justice.</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Numerous federal, state and local environmental laws.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U.S. Environmental Protection Agency.</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ERP</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Enterprise resource planning.</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GHP</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Geothermal heat pump.</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w w:val="93"/>
              </w:rPr>
              <w:t>-  Jack E. Golsen, our Executive Chairman of the Board, members of his immediate family, including Barry H. Golsen, a</w:t>
            </w:r>
          </w:p>
        </w:tc>
      </w:tr>
      <w:tr>
        <w:trPr>
          <w:trHeight w:val="230"/>
        </w:trPr>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w w:val="92"/>
              </w:rPr>
              <w:t>member of the Board, entities owned by them and trusts for which they possess voting or dispositive power as trustee.</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Health Laws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Numerous federal, state and local health and safety laws.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Kansas Department of Health and Environment.</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w w:val="91"/>
              </w:rPr>
              <w:t>-  The Series E Redeemable Preferred has a liquidation preference per share of $1,000 plus accrued and unpaid dividends</w:t>
            </w:r>
          </w:p>
        </w:tc>
      </w:tr>
      <w:tr>
        <w:trPr>
          <w:trHeight w:val="230"/>
        </w:trPr>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plus the participation rights value.</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Million Metric British thermal units.</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National Pollutant Discharge Elimination.</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Orica</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Orica International Pte Ltd.</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Pryor Chemical Company.</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9220" w:type="dxa"/>
            <w:vAlign w:val="bottom"/>
            <w:gridSpan w:val="2"/>
          </w:tcPr>
          <w:p>
            <w:pPr>
              <w:ind w:left="280"/>
              <w:spacing w:after="0"/>
              <w:rPr>
                <w:sz w:val="20"/>
                <w:szCs w:val="20"/>
                <w:color w:val="auto"/>
              </w:rPr>
            </w:pPr>
            <w:r>
              <w:rPr>
                <w:rFonts w:ascii="Arial" w:cs="Arial" w:eastAsia="Arial" w:hAnsi="Arial"/>
                <w:sz w:val="18"/>
                <w:szCs w:val="18"/>
                <w:color w:val="auto"/>
              </w:rPr>
              <w:t>-  Plant, property and equipment.</w:t>
            </w:r>
          </w:p>
        </w:tc>
      </w:tr>
      <w:tr>
        <w:trPr>
          <w:trHeight w:val="432"/>
        </w:trPr>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tcPr>
          <w:p>
            <w:pPr>
              <w:ind w:left="3000"/>
              <w:spacing w:after="0"/>
              <w:rPr>
                <w:sz w:val="20"/>
                <w:szCs w:val="20"/>
                <w:color w:val="auto"/>
              </w:rPr>
            </w:pPr>
            <w:r>
              <w:rPr>
                <w:rFonts w:ascii="Arial" w:cs="Arial" w:eastAsia="Arial" w:hAnsi="Arial"/>
                <w:sz w:val="18"/>
                <w:szCs w:val="18"/>
                <w:color w:val="auto"/>
              </w:rPr>
              <w:t>50</w:t>
            </w:r>
          </w:p>
        </w:tc>
      </w:tr>
      <w:tr>
        <w:trPr>
          <w:trHeight w:val="115"/>
        </w:trPr>
        <w:tc>
          <w:tcPr>
            <w:tcW w:w="2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Our chemical production facility located in Pryor, Oklahoma.</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U.S. Securities and Exchange Commission.</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Series B 12% cumulative convertible Class C Preferred stock.</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Series D 6% cumulative convertible Class C preferred stock.</w:t>
            </w: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w w:val="90"/>
              </w:rPr>
              <w:t>Series E Redeemable Preferred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w w:val="93"/>
              </w:rPr>
              <w:t>The $210 million 14% Series E Redeemable Preferred stock with participating rights and liquidating distributions equal</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to 456,225 shares of our common stock.</w:t>
            </w: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w w:val="90"/>
              </w:rPr>
              <w:t>Series F Redeemable Preferred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w w:val="90"/>
              </w:rPr>
              <w:t>The Series F Redeemable Preferred stock have one share to vote as a single class on all matters with our common stock</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equal to 4,559,971 shares of our common stock.</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w w:val="99"/>
              </w:rPr>
              <w:t>7.75% Senior Secured Notes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$425 million aggregate principal amount of 7.75% Senior Secured Notes due August 1, 2019.</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12% Senior Secured Notes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$50 million aggregate principal amount of 12% Senior Secured Notes due August 1, 2019.</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A planned major maintenance activity.</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Urea ammonium nitrate.</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Warrant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A warrant to purchase 4,103,746 shares of our common stock at a par value $0.10.</w:t>
            </w:r>
          </w:p>
        </w:tc>
      </w:tr>
      <w:tr>
        <w:trPr>
          <w:trHeight w:val="319"/>
        </w:trPr>
        <w:tc>
          <w:tcPr>
            <w:tcW w:w="244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20" w:type="dxa"/>
            <w:vAlign w:val="bottom"/>
          </w:tcPr>
          <w:p>
            <w:pPr>
              <w:ind w:left="60"/>
              <w:spacing w:after="0"/>
              <w:rPr>
                <w:sz w:val="20"/>
                <w:szCs w:val="20"/>
                <w:color w:val="auto"/>
              </w:rPr>
            </w:pPr>
            <w:r>
              <w:rPr>
                <w:rFonts w:ascii="Arial" w:cs="Arial" w:eastAsia="Arial" w:hAnsi="Arial"/>
                <w:sz w:val="18"/>
                <w:szCs w:val="18"/>
                <w:color w:val="auto"/>
              </w:rPr>
              <w:t>The senior secured revolving credit facility.</w:t>
            </w: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180" w:type="dxa"/>
            <w:vAlign w:val="bottom"/>
          </w:tcPr>
          <w:p>
            <w:pPr>
              <w:spacing w:after="0"/>
              <w:rPr>
                <w:sz w:val="20"/>
                <w:szCs w:val="20"/>
                <w:color w:val="auto"/>
              </w:rPr>
            </w:pPr>
          </w:p>
        </w:tc>
        <w:tc>
          <w:tcPr>
            <w:tcW w:w="8820" w:type="dxa"/>
            <w:vAlign w:val="bottom"/>
          </w:tcPr>
          <w:p>
            <w:pPr>
              <w:spacing w:after="0"/>
              <w:rPr>
                <w:sz w:val="20"/>
                <w:szCs w:val="20"/>
                <w:color w:val="auto"/>
              </w:rPr>
            </w:pPr>
          </w:p>
        </w:tc>
      </w:tr>
      <w:tr>
        <w:trPr>
          <w:trHeight w:val="837"/>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tcPr>
          <w:p>
            <w:pPr>
              <w:ind w:left="3000"/>
              <w:spacing w:after="0"/>
              <w:rPr>
                <w:sz w:val="20"/>
                <w:szCs w:val="20"/>
                <w:color w:val="auto"/>
              </w:rPr>
            </w:pPr>
            <w:r>
              <w:rPr>
                <w:rFonts w:ascii="Arial" w:cs="Arial" w:eastAsia="Arial" w:hAnsi="Arial"/>
                <w:sz w:val="18"/>
                <w:szCs w:val="18"/>
                <w:color w:val="auto"/>
              </w:rPr>
              <w:t>51</w:t>
            </w:r>
          </w:p>
        </w:tc>
      </w:tr>
      <w:tr>
        <w:trPr>
          <w:trHeight w:val="115"/>
        </w:trPr>
        <w:tc>
          <w:tcPr>
            <w:tcW w:w="2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from time to time subject to various legal proceedings and claims arising in the ordinary course of business, including, but not limited to, examinations by the IRS. For further discussion of legal matters affecting the Company, see “Note 8—Commitments and Contingencies—Legal Matters” in the Notes to the Consolidated Financial Statements in this Form 10-Q.</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1A of our 2015 Form 10K, filed with the SEC on February 29, 2016, for our discussion regarding risk factors.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1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3(i)</w:t>
            </w:r>
          </w:p>
        </w:tc>
        <w:tc>
          <w:tcPr>
            <w:tcW w:w="7640" w:type="dxa"/>
            <w:vAlign w:val="bottom"/>
          </w:tcPr>
          <w:p>
            <w:pPr>
              <w:ind w:left="460"/>
              <w:spacing w:after="0"/>
              <w:rPr>
                <w:sz w:val="20"/>
                <w:szCs w:val="20"/>
                <w:color w:val="auto"/>
              </w:rPr>
            </w:pPr>
            <w:r>
              <w:rPr>
                <w:rFonts w:ascii="Arial" w:cs="Arial" w:eastAsia="Arial" w:hAnsi="Arial"/>
                <w:sz w:val="18"/>
                <w:szCs w:val="18"/>
                <w:color w:val="auto"/>
                <w:w w:val="95"/>
              </w:rPr>
              <w:t>Restated Certificate of Incorporation, as amended, which the Company hereby incorporates by</w:t>
            </w:r>
          </w:p>
        </w:tc>
      </w:tr>
      <w:tr>
        <w:trPr>
          <w:trHeight w:val="230"/>
        </w:trPr>
        <w:tc>
          <w:tcPr>
            <w:tcW w:w="72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reference from</w:t>
            </w:r>
          </w:p>
        </w:tc>
      </w:tr>
    </w:tbl>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Exhibit 3(i).1 to the Company’s Form 10-K for the fiscal year ended December 31, 2012, filed February 28, 2013</w:t>
      </w:r>
    </w:p>
    <w:p>
      <w:pPr>
        <w:spacing w:after="0" w:line="92"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179"/>
        <w:spacing w:after="0" w:line="277" w:lineRule="auto"/>
        <w:tabs>
          <w:tab w:leader="none" w:pos="1260" w:val="left"/>
        </w:tabs>
        <w:rPr>
          <w:sz w:val="20"/>
          <w:szCs w:val="20"/>
          <w:color w:val="auto"/>
        </w:rPr>
      </w:pPr>
      <w:r>
        <w:rPr>
          <w:rFonts w:ascii="Arial" w:cs="Arial" w:eastAsia="Arial" w:hAnsi="Arial"/>
          <w:sz w:val="18"/>
          <w:szCs w:val="18"/>
          <w:color w:val="auto"/>
        </w:rPr>
        <w:t>3(ii).1</w:t>
      </w:r>
      <w:r>
        <w:rPr>
          <w:sz w:val="20"/>
          <w:szCs w:val="20"/>
          <w:color w:val="auto"/>
        </w:rPr>
        <w:tab/>
      </w:r>
      <w:r>
        <w:rPr>
          <w:rFonts w:ascii="Arial" w:cs="Arial" w:eastAsia="Arial" w:hAnsi="Arial"/>
          <w:sz w:val="18"/>
          <w:szCs w:val="18"/>
          <w:color w:val="auto"/>
        </w:rPr>
        <w:t>Amended and Restated Bylaws of LSB Industries, Inc. dated August 20, 2009, as amended February 18, 2010, January 17, 2014, February 4, 2014 and August 21, 2014</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Exhibit 3(ii).1 to the Company’s Form 8-K filed August 27, 2014</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3(ii).2</w:t>
            </w:r>
          </w:p>
        </w:tc>
        <w:tc>
          <w:tcPr>
            <w:tcW w:w="7540" w:type="dxa"/>
            <w:vAlign w:val="bottom"/>
          </w:tcPr>
          <w:p>
            <w:pPr>
              <w:ind w:left="360"/>
              <w:spacing w:after="0"/>
              <w:rPr>
                <w:sz w:val="20"/>
                <w:szCs w:val="20"/>
                <w:color w:val="auto"/>
              </w:rPr>
            </w:pPr>
            <w:r>
              <w:rPr>
                <w:rFonts w:ascii="Arial" w:cs="Arial" w:eastAsia="Arial" w:hAnsi="Arial"/>
                <w:sz w:val="18"/>
                <w:szCs w:val="18"/>
                <w:color w:val="auto"/>
                <w:w w:val="93"/>
              </w:rPr>
              <w:t>Fifth Amendment to the Amended and Restated Bylaws of LSB Industries, Inc., dated as of April</w:t>
            </w:r>
          </w:p>
        </w:tc>
      </w:tr>
      <w:tr>
        <w:trPr>
          <w:trHeight w:val="230"/>
        </w:trPr>
        <w:tc>
          <w:tcPr>
            <w:tcW w:w="82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26, 2015</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April 30,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179"/>
        <w:spacing w:after="0" w:line="277" w:lineRule="auto"/>
        <w:tabs>
          <w:tab w:leader="none" w:pos="1260" w:val="left"/>
        </w:tabs>
        <w:rPr>
          <w:sz w:val="20"/>
          <w:szCs w:val="20"/>
          <w:color w:val="auto"/>
        </w:rPr>
      </w:pPr>
      <w:r>
        <w:rPr>
          <w:rFonts w:ascii="Arial" w:cs="Arial" w:eastAsia="Arial" w:hAnsi="Arial"/>
          <w:sz w:val="18"/>
          <w:szCs w:val="18"/>
          <w:color w:val="auto"/>
        </w:rPr>
        <w:t>3(ii).3</w:t>
      </w:r>
      <w:r>
        <w:rPr>
          <w:sz w:val="20"/>
          <w:szCs w:val="20"/>
          <w:color w:val="auto"/>
        </w:rPr>
        <w:tab/>
      </w:r>
      <w:r>
        <w:rPr>
          <w:rFonts w:ascii="Arial" w:cs="Arial" w:eastAsia="Arial" w:hAnsi="Arial"/>
          <w:sz w:val="18"/>
          <w:szCs w:val="18"/>
          <w:color w:val="auto"/>
        </w:rPr>
        <w:t>Sixth Amendment to the Amended and Restated Bylaws of LSB Industries, Inc., dated as of December 2, 2015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8,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179"/>
        <w:spacing w:after="0" w:line="277" w:lineRule="auto"/>
        <w:tabs>
          <w:tab w:leader="none" w:pos="1260" w:val="left"/>
        </w:tabs>
        <w:rPr>
          <w:sz w:val="20"/>
          <w:szCs w:val="20"/>
          <w:color w:val="auto"/>
        </w:rPr>
      </w:pPr>
      <w:r>
        <w:rPr>
          <w:rFonts w:ascii="Arial" w:cs="Arial" w:eastAsia="Arial" w:hAnsi="Arial"/>
          <w:sz w:val="18"/>
          <w:szCs w:val="18"/>
          <w:color w:val="auto"/>
        </w:rPr>
        <w:t>3(ii).4</w:t>
      </w:r>
      <w:r>
        <w:rPr>
          <w:sz w:val="20"/>
          <w:szCs w:val="20"/>
          <w:color w:val="auto"/>
        </w:rPr>
        <w:tab/>
      </w:r>
      <w:r>
        <w:rPr>
          <w:rFonts w:ascii="Arial" w:cs="Arial" w:eastAsia="Arial" w:hAnsi="Arial"/>
          <w:sz w:val="18"/>
          <w:szCs w:val="18"/>
          <w:color w:val="auto"/>
        </w:rPr>
        <w:t>Seventh Amendment to the Amended and Restated Bylaws of LSB Industries, Inc., dated as of December 22, 2015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29,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540" w:type="dxa"/>
            <w:vAlign w:val="bottom"/>
          </w:tcPr>
          <w:p>
            <w:pPr>
              <w:ind w:left="340"/>
              <w:spacing w:after="0"/>
              <w:rPr>
                <w:sz w:val="20"/>
                <w:szCs w:val="20"/>
                <w:color w:val="auto"/>
              </w:rPr>
            </w:pPr>
            <w:r>
              <w:rPr>
                <w:rFonts w:ascii="Arial" w:cs="Arial" w:eastAsia="Arial" w:hAnsi="Arial"/>
                <w:sz w:val="18"/>
                <w:szCs w:val="18"/>
                <w:color w:val="auto"/>
              </w:rPr>
              <w:t>Form of Incentive Stock Option Agreement of LSB Industries, Inc.</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w w:val="98"/>
              </w:rPr>
              <w:t>Exhibit 10.8 to the Company’s Form</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10-K  for  the  fiscal  year  ended</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w w:val="91"/>
              </w:rPr>
              <w:t>December 31, 2015, filed February 29,</w:t>
            </w:r>
          </w:p>
        </w:tc>
      </w:tr>
      <w:tr>
        <w:trPr>
          <w:trHeight w:val="230"/>
        </w:trPr>
        <w:tc>
          <w:tcPr>
            <w:tcW w:w="8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2016</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540" w:type="dxa"/>
            <w:vAlign w:val="bottom"/>
          </w:tcPr>
          <w:p>
            <w:pPr>
              <w:ind w:left="340"/>
              <w:spacing w:after="0"/>
              <w:rPr>
                <w:sz w:val="20"/>
                <w:szCs w:val="20"/>
                <w:color w:val="auto"/>
              </w:rPr>
            </w:pPr>
            <w:r>
              <w:rPr>
                <w:rFonts w:ascii="Arial" w:cs="Arial" w:eastAsia="Arial" w:hAnsi="Arial"/>
                <w:sz w:val="18"/>
                <w:szCs w:val="18"/>
                <w:color w:val="auto"/>
              </w:rPr>
              <w:t>Form of Restricted Stock Agreement of LSB Industries, Inc.</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w w:val="91"/>
              </w:rPr>
              <w:t>Exhibit 10.3 to the Company’s Form 8-</w:t>
            </w:r>
          </w:p>
        </w:tc>
      </w:tr>
      <w:tr>
        <w:trPr>
          <w:trHeight w:val="230"/>
        </w:trPr>
        <w:tc>
          <w:tcPr>
            <w:tcW w:w="8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K, filed January 8, 2016</w:t>
            </w:r>
          </w:p>
        </w:tc>
        <w:tc>
          <w:tcPr>
            <w:tcW w:w="70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7540" w:type="dxa"/>
            <w:vAlign w:val="bottom"/>
          </w:tcPr>
          <w:p>
            <w:pPr>
              <w:ind w:left="340"/>
              <w:spacing w:after="0"/>
              <w:rPr>
                <w:sz w:val="20"/>
                <w:szCs w:val="20"/>
                <w:color w:val="auto"/>
              </w:rPr>
            </w:pPr>
            <w:r>
              <w:rPr>
                <w:rFonts w:ascii="Arial" w:cs="Arial" w:eastAsia="Arial" w:hAnsi="Arial"/>
                <w:sz w:val="18"/>
                <w:szCs w:val="18"/>
                <w:color w:val="auto"/>
                <w:w w:val="91"/>
              </w:rPr>
              <w:t>Urea Ammonium Nitrate Purchase and Sale Agreement dated as of March 3, 2016 and effective as</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CERTAIN INFORMATION WITHIN</w:t>
            </w:r>
          </w:p>
        </w:tc>
      </w:tr>
      <w:tr>
        <w:trPr>
          <w:trHeight w:val="216"/>
        </w:trPr>
        <w:tc>
          <w:tcPr>
            <w:tcW w:w="84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w w:val="97"/>
              </w:rPr>
              <w:t>of June 1, 2016 between Coffeyville Resources Nitrogen Fertilizers, LLC and Pryor Chemical</w:t>
            </w:r>
          </w:p>
        </w:tc>
        <w:tc>
          <w:tcPr>
            <w:tcW w:w="520" w:type="dxa"/>
            <w:vAlign w:val="bottom"/>
          </w:tcPr>
          <w:p>
            <w:pPr>
              <w:ind w:left="100"/>
              <w:spacing w:after="0"/>
              <w:rPr>
                <w:sz w:val="20"/>
                <w:szCs w:val="20"/>
                <w:color w:val="auto"/>
              </w:rPr>
            </w:pPr>
            <w:r>
              <w:rPr>
                <w:rFonts w:ascii="Arial" w:cs="Arial" w:eastAsia="Arial" w:hAnsi="Arial"/>
                <w:sz w:val="18"/>
                <w:szCs w:val="18"/>
                <w:color w:val="auto"/>
                <w:w w:val="97"/>
              </w:rPr>
              <w:t>THIS</w:t>
            </w:r>
          </w:p>
        </w:tc>
        <w:tc>
          <w:tcPr>
            <w:tcW w:w="2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rPr>
              <w:t>EXHIBIT</w:t>
            </w:r>
          </w:p>
        </w:tc>
        <w:tc>
          <w:tcPr>
            <w:tcW w:w="460" w:type="dxa"/>
            <w:vAlign w:val="bottom"/>
          </w:tcPr>
          <w:p>
            <w:pPr>
              <w:ind w:left="20"/>
              <w:spacing w:after="0"/>
              <w:rPr>
                <w:sz w:val="20"/>
                <w:szCs w:val="20"/>
                <w:color w:val="auto"/>
              </w:rPr>
            </w:pPr>
            <w:r>
              <w:rPr>
                <w:rFonts w:ascii="Arial" w:cs="Arial" w:eastAsia="Arial" w:hAnsi="Arial"/>
                <w:sz w:val="18"/>
                <w:szCs w:val="18"/>
                <w:color w:val="auto"/>
              </w:rPr>
              <w:t>HAS</w:t>
            </w:r>
          </w:p>
        </w:tc>
        <w:tc>
          <w:tcPr>
            <w:tcW w:w="700" w:type="dxa"/>
            <w:vAlign w:val="bottom"/>
          </w:tcPr>
          <w:p>
            <w:pPr>
              <w:jc w:val="right"/>
              <w:spacing w:after="0"/>
              <w:rPr>
                <w:sz w:val="20"/>
                <w:szCs w:val="20"/>
                <w:color w:val="auto"/>
              </w:rPr>
            </w:pPr>
            <w:r>
              <w:rPr>
                <w:rFonts w:ascii="Arial" w:cs="Arial" w:eastAsia="Arial" w:hAnsi="Arial"/>
                <w:sz w:val="18"/>
                <w:szCs w:val="18"/>
                <w:color w:val="auto"/>
              </w:rPr>
              <w:t>BEEN</w:t>
            </w:r>
          </w:p>
        </w:tc>
      </w:tr>
      <w:tr>
        <w:trPr>
          <w:trHeight w:val="216"/>
        </w:trPr>
        <w:tc>
          <w:tcPr>
            <w:tcW w:w="84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Company</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OMITTED AS IT IS THE SUBJECT</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OF</w:t>
            </w:r>
          </w:p>
        </w:tc>
        <w:tc>
          <w:tcPr>
            <w:tcW w:w="220" w:type="dxa"/>
            <w:vAlign w:val="bottom"/>
          </w:tcPr>
          <w:p>
            <w:pPr>
              <w:ind w:left="40"/>
              <w:spacing w:after="0"/>
              <w:rPr>
                <w:sz w:val="20"/>
                <w:szCs w:val="20"/>
                <w:color w:val="auto"/>
              </w:rPr>
            </w:pPr>
            <w:r>
              <w:rPr>
                <w:rFonts w:ascii="Arial" w:cs="Arial" w:eastAsia="Arial" w:hAnsi="Arial"/>
                <w:sz w:val="18"/>
                <w:szCs w:val="18"/>
                <w:color w:val="auto"/>
              </w:rPr>
              <w:t>A</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6"/>
              </w:rPr>
              <w:t>COMMISSION</w:t>
            </w:r>
          </w:p>
        </w:tc>
        <w:tc>
          <w:tcPr>
            <w:tcW w:w="700" w:type="dxa"/>
            <w:vAlign w:val="bottom"/>
          </w:tcPr>
          <w:p>
            <w:pPr>
              <w:jc w:val="right"/>
              <w:spacing w:after="0"/>
              <w:rPr>
                <w:sz w:val="20"/>
                <w:szCs w:val="20"/>
                <w:color w:val="auto"/>
              </w:rPr>
            </w:pPr>
            <w:r>
              <w:rPr>
                <w:rFonts w:ascii="Arial" w:cs="Arial" w:eastAsia="Arial" w:hAnsi="Arial"/>
                <w:sz w:val="18"/>
                <w:szCs w:val="18"/>
                <w:color w:val="auto"/>
              </w:rPr>
              <w:t>ORDER</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w w:val="97"/>
              </w:rPr>
              <w:t>SUBMITTED TO THE SECURITIES</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AND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8"/>
              </w:rPr>
              <w:t>EXCHANGE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COMMISSION</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ON MAY 4, 2016 WHEREBY THE</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REQUESTS</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CONFIDENTIAL TREATMENT BY</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THE</w:t>
            </w:r>
          </w:p>
        </w:tc>
        <w:tc>
          <w:tcPr>
            <w:tcW w:w="2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4"/>
              </w:rPr>
              <w:t>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EXCHANGE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COMMISSION</w:t>
            </w:r>
          </w:p>
        </w:tc>
      </w:tr>
      <w:tr>
        <w:trPr>
          <w:trHeight w:val="216"/>
        </w:trPr>
        <w:tc>
          <w:tcPr>
            <w:tcW w:w="8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6"/>
              </w:rPr>
              <w:t>UNDER</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THE   FREEDOM   OF</w:t>
            </w:r>
          </w:p>
        </w:tc>
      </w:tr>
      <w:tr>
        <w:trPr>
          <w:trHeight w:val="230"/>
        </w:trPr>
        <w:tc>
          <w:tcPr>
            <w:tcW w:w="8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w w:val="96"/>
              </w:rPr>
              <w:t>INFORMATION ACT.</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10.2*</w:t>
            </w:r>
          </w:p>
        </w:tc>
        <w:tc>
          <w:tcPr>
            <w:tcW w:w="7560" w:type="dxa"/>
            <w:vAlign w:val="bottom"/>
          </w:tcPr>
          <w:p>
            <w:pPr>
              <w:ind w:left="380"/>
              <w:spacing w:after="0"/>
              <w:rPr>
                <w:sz w:val="20"/>
                <w:szCs w:val="20"/>
                <w:color w:val="auto"/>
              </w:rPr>
            </w:pPr>
            <w:r>
              <w:rPr>
                <w:rFonts w:ascii="Arial" w:cs="Arial" w:eastAsia="Arial" w:hAnsi="Arial"/>
                <w:sz w:val="18"/>
                <w:szCs w:val="18"/>
                <w:color w:val="auto"/>
                <w:w w:val="89"/>
              </w:rPr>
              <w:t>Separation and Release Agreement by and between LSB Industries, Inc. and Tony M. Shelby, dated</w:t>
            </w:r>
          </w:p>
        </w:tc>
      </w:tr>
      <w:tr>
        <w:trPr>
          <w:trHeight w:val="230"/>
        </w:trPr>
        <w:tc>
          <w:tcPr>
            <w:tcW w:w="80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auto"/>
              </w:rPr>
              <w:t>as of February 22, 2016</w:t>
            </w:r>
          </w:p>
        </w:tc>
      </w:tr>
      <w:tr>
        <w:trPr>
          <w:trHeight w:val="323"/>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10.3*</w:t>
            </w:r>
          </w:p>
        </w:tc>
        <w:tc>
          <w:tcPr>
            <w:tcW w:w="7560" w:type="dxa"/>
            <w:vAlign w:val="bottom"/>
          </w:tcPr>
          <w:p>
            <w:pPr>
              <w:ind w:left="380"/>
              <w:spacing w:after="0"/>
              <w:rPr>
                <w:sz w:val="20"/>
                <w:szCs w:val="20"/>
                <w:color w:val="auto"/>
              </w:rPr>
            </w:pPr>
            <w:r>
              <w:rPr>
                <w:rFonts w:ascii="Arial" w:cs="Arial" w:eastAsia="Arial" w:hAnsi="Arial"/>
                <w:sz w:val="18"/>
                <w:szCs w:val="18"/>
                <w:color w:val="auto"/>
                <w:w w:val="96"/>
              </w:rPr>
              <w:t>Employment Agreement by and between LSB Industries, Inc. and Mark Behrman, dated as of</w:t>
            </w:r>
          </w:p>
        </w:tc>
      </w:tr>
      <w:tr>
        <w:trPr>
          <w:trHeight w:val="230"/>
        </w:trPr>
        <w:tc>
          <w:tcPr>
            <w:tcW w:w="80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auto"/>
              </w:rPr>
              <w:t>January 14, 2016</w:t>
            </w:r>
          </w:p>
        </w:tc>
      </w:tr>
      <w:tr>
        <w:trPr>
          <w:trHeight w:val="323"/>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10.4*</w:t>
            </w:r>
          </w:p>
        </w:tc>
        <w:tc>
          <w:tcPr>
            <w:tcW w:w="7560" w:type="dxa"/>
            <w:vAlign w:val="bottom"/>
          </w:tcPr>
          <w:p>
            <w:pPr>
              <w:ind w:left="380"/>
              <w:spacing w:after="0"/>
              <w:rPr>
                <w:sz w:val="20"/>
                <w:szCs w:val="20"/>
                <w:color w:val="auto"/>
              </w:rPr>
            </w:pPr>
            <w:r>
              <w:rPr>
                <w:rFonts w:ascii="Arial" w:cs="Arial" w:eastAsia="Arial" w:hAnsi="Arial"/>
                <w:sz w:val="18"/>
                <w:szCs w:val="18"/>
                <w:color w:val="auto"/>
                <w:w w:val="96"/>
              </w:rPr>
              <w:t>Employment Agreement by and between LSB Industries, Inc. and Michael Foster, dated as of</w:t>
            </w:r>
          </w:p>
        </w:tc>
      </w:tr>
      <w:tr>
        <w:trPr>
          <w:trHeight w:val="230"/>
        </w:trPr>
        <w:tc>
          <w:tcPr>
            <w:tcW w:w="80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auto"/>
              </w:rPr>
              <w:t>January 5, 2016</w:t>
            </w:r>
          </w:p>
        </w:tc>
      </w:tr>
      <w:tr>
        <w:trPr>
          <w:trHeight w:val="323"/>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10.5*</w:t>
            </w:r>
          </w:p>
        </w:tc>
        <w:tc>
          <w:tcPr>
            <w:tcW w:w="7560" w:type="dxa"/>
            <w:vAlign w:val="bottom"/>
          </w:tcPr>
          <w:p>
            <w:pPr>
              <w:ind w:left="380"/>
              <w:spacing w:after="0"/>
              <w:rPr>
                <w:sz w:val="20"/>
                <w:szCs w:val="20"/>
                <w:color w:val="auto"/>
              </w:rPr>
            </w:pPr>
            <w:r>
              <w:rPr>
                <w:rFonts w:ascii="Arial" w:cs="Arial" w:eastAsia="Arial" w:hAnsi="Arial"/>
                <w:sz w:val="18"/>
                <w:szCs w:val="18"/>
                <w:color w:val="auto"/>
                <w:w w:val="92"/>
              </w:rPr>
              <w:t>Restricted Stock Agreement by and between LSB Industries, Inc. and Michael Foster, dated as of</w:t>
            </w:r>
          </w:p>
        </w:tc>
      </w:tr>
      <w:tr>
        <w:trPr>
          <w:trHeight w:val="230"/>
        </w:trPr>
        <w:tc>
          <w:tcPr>
            <w:tcW w:w="80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auto"/>
              </w:rPr>
              <w:t>January 5, 2016</w:t>
            </w:r>
          </w:p>
        </w:tc>
      </w:tr>
      <w:tr>
        <w:trPr>
          <w:trHeight w:val="554"/>
        </w:trPr>
        <w:tc>
          <w:tcPr>
            <w:tcW w:w="800" w:type="dxa"/>
            <w:vAlign w:val="bottom"/>
          </w:tcPr>
          <w:p>
            <w:pPr>
              <w:spacing w:after="0"/>
              <w:rPr>
                <w:sz w:val="24"/>
                <w:szCs w:val="24"/>
                <w:color w:val="auto"/>
              </w:rPr>
            </w:pPr>
          </w:p>
        </w:tc>
        <w:tc>
          <w:tcPr>
            <w:tcW w:w="7560" w:type="dxa"/>
            <w:vAlign w:val="bottom"/>
          </w:tcPr>
          <w:p>
            <w:pPr>
              <w:ind w:left="472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10.1 to the Company’s Form 8-K, filed February 25, 2016</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January 21, 2016</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10.25(a) to the Company’s Form 10-K, filed February 29, 2016</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10.26(a) to the Company’s Form 10-K, filed February 29, 2016</w:t>
      </w:r>
    </w:p>
    <w:p>
      <w:pPr>
        <w:sectPr>
          <w:pgSz w:w="11900" w:h="16838" w:orient="portrait"/>
          <w:cols w:equalWidth="0" w:num="2">
            <w:col w:w="8460" w:space="120"/>
            <w:col w:w="2840"/>
          </w:cols>
          <w:pgMar w:left="240" w:top="337"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71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100"/>
              <w:spacing w:after="0"/>
              <w:rPr>
                <w:sz w:val="20"/>
                <w:szCs w:val="20"/>
                <w:color w:val="auto"/>
              </w:rPr>
            </w:pPr>
            <w:r>
              <w:rPr>
                <w:rFonts w:ascii="Arial" w:cs="Arial" w:eastAsia="Arial" w:hAnsi="Arial"/>
                <w:sz w:val="18"/>
                <w:szCs w:val="18"/>
                <w:color w:val="auto"/>
              </w:rPr>
              <w:t>31.1(a)</w:t>
            </w:r>
          </w:p>
        </w:tc>
        <w:tc>
          <w:tcPr>
            <w:tcW w:w="7180" w:type="dxa"/>
            <w:vAlign w:val="bottom"/>
          </w:tcPr>
          <w:p>
            <w:pPr>
              <w:spacing w:after="0"/>
              <w:rPr>
                <w:sz w:val="20"/>
                <w:szCs w:val="20"/>
                <w:color w:val="auto"/>
              </w:rPr>
            </w:pPr>
            <w:r>
              <w:rPr>
                <w:rFonts w:ascii="Arial" w:cs="Arial" w:eastAsia="Arial" w:hAnsi="Arial"/>
                <w:sz w:val="18"/>
                <w:szCs w:val="18"/>
                <w:color w:val="auto"/>
                <w:w w:val="93"/>
              </w:rPr>
              <w:t>Certification of Daniel D. Greenwell , Chief Executive Officer, pursuant to Sarbanes-Oxley Act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2002, Section 302</w:t>
            </w:r>
          </w:p>
        </w:tc>
        <w:tc>
          <w:tcPr>
            <w:tcW w:w="0" w:type="dxa"/>
            <w:vAlign w:val="bottom"/>
          </w:tcPr>
          <w:p>
            <w:pPr>
              <w:spacing w:after="0"/>
              <w:rPr>
                <w:sz w:val="1"/>
                <w:szCs w:val="1"/>
                <w:color w:val="auto"/>
              </w:rPr>
            </w:pPr>
          </w:p>
        </w:tc>
      </w:tr>
      <w:tr>
        <w:trPr>
          <w:trHeight w:val="323"/>
        </w:trPr>
        <w:tc>
          <w:tcPr>
            <w:tcW w:w="1280" w:type="dxa"/>
            <w:vAlign w:val="bottom"/>
            <w:gridSpan w:val="2"/>
          </w:tcPr>
          <w:p>
            <w:pPr>
              <w:ind w:left="100"/>
              <w:spacing w:after="0"/>
              <w:rPr>
                <w:sz w:val="20"/>
                <w:szCs w:val="20"/>
                <w:color w:val="auto"/>
              </w:rPr>
            </w:pPr>
            <w:r>
              <w:rPr>
                <w:rFonts w:ascii="Arial" w:cs="Arial" w:eastAsia="Arial" w:hAnsi="Arial"/>
                <w:sz w:val="18"/>
                <w:szCs w:val="18"/>
                <w:color w:val="auto"/>
              </w:rPr>
              <w:t>31.2(a)</w:t>
            </w:r>
          </w:p>
        </w:tc>
        <w:tc>
          <w:tcPr>
            <w:tcW w:w="7180" w:type="dxa"/>
            <w:vAlign w:val="bottom"/>
          </w:tcPr>
          <w:p>
            <w:pPr>
              <w:spacing w:after="0"/>
              <w:rPr>
                <w:sz w:val="20"/>
                <w:szCs w:val="20"/>
                <w:color w:val="auto"/>
              </w:rPr>
            </w:pPr>
            <w:r>
              <w:rPr>
                <w:rFonts w:ascii="Arial" w:cs="Arial" w:eastAsia="Arial" w:hAnsi="Arial"/>
                <w:sz w:val="18"/>
                <w:szCs w:val="18"/>
                <w:color w:val="auto"/>
                <w:w w:val="97"/>
              </w:rPr>
              <w:t>Certification of Mark T. Behrman, Chief Financial Officer, pursuant to Sarbanes-Oxley Act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2002, Section 302</w:t>
            </w:r>
          </w:p>
        </w:tc>
        <w:tc>
          <w:tcPr>
            <w:tcW w:w="0" w:type="dxa"/>
            <w:vAlign w:val="bottom"/>
          </w:tcPr>
          <w:p>
            <w:pPr>
              <w:spacing w:after="0"/>
              <w:rPr>
                <w:sz w:val="1"/>
                <w:szCs w:val="1"/>
                <w:color w:val="auto"/>
              </w:rPr>
            </w:pPr>
          </w:p>
        </w:tc>
      </w:tr>
      <w:tr>
        <w:trPr>
          <w:trHeight w:val="323"/>
        </w:trPr>
        <w:tc>
          <w:tcPr>
            <w:tcW w:w="1280" w:type="dxa"/>
            <w:vAlign w:val="bottom"/>
            <w:gridSpan w:val="2"/>
          </w:tcPr>
          <w:p>
            <w:pPr>
              <w:ind w:left="100"/>
              <w:spacing w:after="0"/>
              <w:rPr>
                <w:sz w:val="20"/>
                <w:szCs w:val="20"/>
                <w:color w:val="auto"/>
              </w:rPr>
            </w:pPr>
            <w:r>
              <w:rPr>
                <w:rFonts w:ascii="Arial" w:cs="Arial" w:eastAsia="Arial" w:hAnsi="Arial"/>
                <w:sz w:val="18"/>
                <w:szCs w:val="18"/>
                <w:color w:val="auto"/>
              </w:rPr>
              <w:t>32.1(b)</w:t>
            </w:r>
          </w:p>
        </w:tc>
        <w:tc>
          <w:tcPr>
            <w:tcW w:w="7180" w:type="dxa"/>
            <w:vAlign w:val="bottom"/>
          </w:tcPr>
          <w:p>
            <w:pPr>
              <w:spacing w:after="0"/>
              <w:rPr>
                <w:sz w:val="20"/>
                <w:szCs w:val="20"/>
                <w:color w:val="auto"/>
              </w:rPr>
            </w:pPr>
            <w:r>
              <w:rPr>
                <w:rFonts w:ascii="Arial" w:cs="Arial" w:eastAsia="Arial" w:hAnsi="Arial"/>
                <w:sz w:val="18"/>
                <w:szCs w:val="18"/>
                <w:color w:val="auto"/>
                <w:w w:val="91"/>
              </w:rPr>
              <w:t>Certification of Daniel D. Greenwell, Chief Executive Officer, furnished pursuant to Sarbanes-Oxley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Act of 2002, Section 906</w:t>
            </w:r>
          </w:p>
        </w:tc>
        <w:tc>
          <w:tcPr>
            <w:tcW w:w="0" w:type="dxa"/>
            <w:vAlign w:val="bottom"/>
          </w:tcPr>
          <w:p>
            <w:pPr>
              <w:spacing w:after="0"/>
              <w:rPr>
                <w:sz w:val="1"/>
                <w:szCs w:val="1"/>
                <w:color w:val="auto"/>
              </w:rPr>
            </w:pPr>
          </w:p>
        </w:tc>
      </w:tr>
      <w:tr>
        <w:trPr>
          <w:trHeight w:val="323"/>
        </w:trPr>
        <w:tc>
          <w:tcPr>
            <w:tcW w:w="1280" w:type="dxa"/>
            <w:vAlign w:val="bottom"/>
            <w:gridSpan w:val="2"/>
          </w:tcPr>
          <w:p>
            <w:pPr>
              <w:ind w:left="100"/>
              <w:spacing w:after="0"/>
              <w:rPr>
                <w:sz w:val="20"/>
                <w:szCs w:val="20"/>
                <w:color w:val="auto"/>
              </w:rPr>
            </w:pPr>
            <w:r>
              <w:rPr>
                <w:rFonts w:ascii="Arial" w:cs="Arial" w:eastAsia="Arial" w:hAnsi="Arial"/>
                <w:sz w:val="18"/>
                <w:szCs w:val="18"/>
                <w:color w:val="auto"/>
              </w:rPr>
              <w:t>32.2(b)</w:t>
            </w:r>
          </w:p>
        </w:tc>
        <w:tc>
          <w:tcPr>
            <w:tcW w:w="7180" w:type="dxa"/>
            <w:vAlign w:val="bottom"/>
          </w:tcPr>
          <w:p>
            <w:pPr>
              <w:spacing w:after="0"/>
              <w:rPr>
                <w:sz w:val="20"/>
                <w:szCs w:val="20"/>
                <w:color w:val="auto"/>
              </w:rPr>
            </w:pPr>
            <w:r>
              <w:rPr>
                <w:rFonts w:ascii="Arial" w:cs="Arial" w:eastAsia="Arial" w:hAnsi="Arial"/>
                <w:sz w:val="18"/>
                <w:szCs w:val="18"/>
                <w:color w:val="auto"/>
                <w:w w:val="90"/>
              </w:rPr>
              <w:t>Certification of Mark T. Behrman, Chief Financial Officer, furnished pursuant to Sarbanes-Oxley Act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of 2002, Section 906</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101.INS(a)</w:t>
            </w:r>
          </w:p>
        </w:tc>
        <w:tc>
          <w:tcPr>
            <w:tcW w:w="71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101.SCH(a)</w:t>
            </w:r>
          </w:p>
        </w:tc>
        <w:tc>
          <w:tcPr>
            <w:tcW w:w="71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101.CAL(a)</w:t>
            </w:r>
          </w:p>
        </w:tc>
        <w:tc>
          <w:tcPr>
            <w:tcW w:w="71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101.DEF(a)</w:t>
            </w:r>
          </w:p>
        </w:tc>
        <w:tc>
          <w:tcPr>
            <w:tcW w:w="71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101.LAB(a)</w:t>
            </w:r>
          </w:p>
        </w:tc>
        <w:tc>
          <w:tcPr>
            <w:tcW w:w="718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101.PRE(a)</w:t>
            </w:r>
          </w:p>
        </w:tc>
        <w:tc>
          <w:tcPr>
            <w:tcW w:w="71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b w:val="1"/>
          <w:bCs w:val="1"/>
          <w:color w:val="auto"/>
        </w:rPr>
        <w:t>Incorporated by Reference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2">
            <w:col w:w="8460" w:space="700"/>
            <w:col w:w="1660"/>
          </w:cols>
          <w:pgMar w:left="240" w:top="320" w:right="8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4</w:t>
      </w:r>
      <w:r>
        <w:rPr>
          <w:rFonts w:ascii="Arial" w:cs="Arial" w:eastAsia="Arial" w:hAnsi="Arial"/>
          <w:sz w:val="15"/>
          <w:szCs w:val="15"/>
          <w:color w:val="auto"/>
        </w:rPr>
        <w:t>th</w:t>
      </w:r>
      <w:r>
        <w:rPr>
          <w:rFonts w:ascii="Arial" w:cs="Arial" w:eastAsia="Arial" w:hAnsi="Arial"/>
          <w:sz w:val="18"/>
          <w:szCs w:val="18"/>
          <w:color w:val="auto"/>
        </w:rPr>
        <w:t xml:space="preserve"> day of May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5" w:name="page56"/>
    <w:bookmarkEnd w:id="55"/>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600" w:right="56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8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rPr>
              <w:t>UREA AMMONIUM NITRATE</w:t>
            </w:r>
          </w:p>
        </w:tc>
        <w:tc>
          <w:tcPr>
            <w:tcW w:w="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88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w w:val="99"/>
              </w:rPr>
              <w:t>PURCHASE AND SALE AGREEMENT</w:t>
            </w:r>
          </w:p>
        </w:tc>
        <w:tc>
          <w:tcPr>
            <w:tcW w:w="20" w:type="dxa"/>
            <w:vAlign w:val="bottom"/>
          </w:tcPr>
          <w:p>
            <w:pPr>
              <w:spacing w:after="0"/>
              <w:rPr>
                <w:sz w:val="20"/>
                <w:szCs w:val="20"/>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18"/>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Effective Date</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June 1, 2016</w:t>
            </w:r>
          </w:p>
        </w:tc>
        <w:tc>
          <w:tcPr>
            <w:tcW w:w="20" w:type="dxa"/>
            <w:vAlign w:val="bottom"/>
          </w:tcPr>
          <w:p>
            <w:pPr>
              <w:spacing w:after="0"/>
              <w:rPr>
                <w:sz w:val="24"/>
                <w:szCs w:val="24"/>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Buyer</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Coffeyville Resources Nitrogen Fertilizers, LLC ("Buyer")</w:t>
            </w:r>
          </w:p>
        </w:tc>
        <w:tc>
          <w:tcPr>
            <w:tcW w:w="20" w:type="dxa"/>
            <w:vAlign w:val="bottom"/>
          </w:tcPr>
          <w:p>
            <w:pPr>
              <w:spacing w:after="0"/>
              <w:rPr>
                <w:sz w:val="24"/>
                <w:szCs w:val="24"/>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Seller</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Pryor Chemical Company (“Seller”)</w:t>
            </w:r>
          </w:p>
        </w:tc>
        <w:tc>
          <w:tcPr>
            <w:tcW w:w="20" w:type="dxa"/>
            <w:vAlign w:val="bottom"/>
          </w:tcPr>
          <w:p>
            <w:pPr>
              <w:spacing w:after="0"/>
              <w:rPr>
                <w:sz w:val="24"/>
                <w:szCs w:val="24"/>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Term and Termination</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6"/>
              </w:rPr>
              <w:t>The term shall commence on the Effective Date and shall terminate on May 31, 2019, unless otherwise terminated</w:t>
            </w:r>
          </w:p>
        </w:tc>
        <w:tc>
          <w:tcPr>
            <w:tcW w:w="20" w:type="dxa"/>
            <w:vAlign w:val="bottom"/>
          </w:tcPr>
          <w:p>
            <w:pPr>
              <w:spacing w:after="0"/>
              <w:rPr>
                <w:sz w:val="24"/>
                <w:szCs w:val="24"/>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4"/>
              </w:rPr>
              <w:t>earlier in accordance with this Agreement (“Term”). The Term shall automatically extend for additional periods of one</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4"/>
              </w:rPr>
              <w:t>year each unless either party provides notice of non-extension at least 12 months prior to the end of the Term or any</w:t>
            </w:r>
          </w:p>
        </w:tc>
        <w:tc>
          <w:tcPr>
            <w:tcW w:w="20" w:type="dxa"/>
            <w:vAlign w:val="bottom"/>
          </w:tcPr>
          <w:p>
            <w:pPr>
              <w:spacing w:after="0"/>
              <w:rPr>
                <w:sz w:val="18"/>
                <w:szCs w:val="18"/>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extended Term, as applicable, unless otherwise terminated as provided herein.</w:t>
            </w:r>
          </w:p>
        </w:tc>
        <w:tc>
          <w:tcPr>
            <w:tcW w:w="20" w:type="dxa"/>
            <w:vAlign w:val="bottom"/>
          </w:tcPr>
          <w:p>
            <w:pPr>
              <w:spacing w:after="0"/>
              <w:rPr>
                <w:sz w:val="20"/>
                <w:szCs w:val="20"/>
                <w:color w:val="auto"/>
              </w:rPr>
            </w:pPr>
          </w:p>
        </w:tc>
      </w:tr>
      <w:tr>
        <w:trPr>
          <w:trHeight w:val="418"/>
        </w:trPr>
        <w:tc>
          <w:tcPr>
            <w:tcW w:w="3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6"/>
              </w:rPr>
              <w:t>Buyer may unilaterally terminate this Agreement at any time and for any reason, without liability therefor, upon 180</w:t>
            </w:r>
          </w:p>
        </w:tc>
        <w:tc>
          <w:tcPr>
            <w:tcW w:w="20" w:type="dxa"/>
            <w:vAlign w:val="bottom"/>
          </w:tcPr>
          <w:p>
            <w:pPr>
              <w:spacing w:after="0"/>
              <w:rPr>
                <w:sz w:val="24"/>
                <w:szCs w:val="24"/>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6"/>
              </w:rPr>
              <w:t>days advance written notice of termination to Seller, provided that each party’s rights and obligations pertaining to</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7"/>
              </w:rPr>
              <w:t>Product committed to prior to such advance notice shall survive termination. Seller may unilaterally terminate this</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2"/>
              </w:rPr>
              <w:t>Agreement at any time and for any reason, without liability therefor, upon 90 days advance written notice of termination</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5"/>
              </w:rPr>
              <w:t>to Buyer, provided that each party’s rights and obligations pertaining to Product committed to prior to such advance</w:t>
            </w:r>
          </w:p>
        </w:tc>
        <w:tc>
          <w:tcPr>
            <w:tcW w:w="20" w:type="dxa"/>
            <w:vAlign w:val="bottom"/>
          </w:tcPr>
          <w:p>
            <w:pPr>
              <w:spacing w:after="0"/>
              <w:rPr>
                <w:sz w:val="18"/>
                <w:szCs w:val="18"/>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notice shall survive termination.</w:t>
            </w:r>
          </w:p>
        </w:tc>
        <w:tc>
          <w:tcPr>
            <w:tcW w:w="20" w:type="dxa"/>
            <w:vAlign w:val="bottom"/>
          </w:tcPr>
          <w:p>
            <w:pPr>
              <w:spacing w:after="0"/>
              <w:rPr>
                <w:sz w:val="20"/>
                <w:szCs w:val="20"/>
                <w:color w:val="auto"/>
              </w:rPr>
            </w:pPr>
          </w:p>
        </w:tc>
      </w:tr>
      <w:tr>
        <w:trPr>
          <w:trHeight w:val="418"/>
        </w:trPr>
        <w:tc>
          <w:tcPr>
            <w:tcW w:w="3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5"/>
              </w:rPr>
              <w:t>Either party may terminate this Agreement (a) upon a material breach of this Agreement by the other party which, if</w:t>
            </w:r>
          </w:p>
        </w:tc>
        <w:tc>
          <w:tcPr>
            <w:tcW w:w="20" w:type="dxa"/>
            <w:vAlign w:val="bottom"/>
          </w:tcPr>
          <w:p>
            <w:pPr>
              <w:spacing w:after="0"/>
              <w:rPr>
                <w:sz w:val="24"/>
                <w:szCs w:val="24"/>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3"/>
              </w:rPr>
              <w:t>capable of being cured, is not cured within 30 days of notice of such material breach, or (b) if the other party becomes</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1"/>
              </w:rPr>
              <w:t>insolvent or is generally unable to pay, or fails to pay, its debts as they become due, files or has filed against it a petition</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2"/>
              </w:rPr>
              <w:t>for bankruptcy, seeks reorganization or other relief with respect to its debts, makes a general assignment for the benefit</w:t>
            </w:r>
          </w:p>
        </w:tc>
        <w:tc>
          <w:tcPr>
            <w:tcW w:w="20" w:type="dxa"/>
            <w:vAlign w:val="bottom"/>
          </w:tcPr>
          <w:p>
            <w:pPr>
              <w:spacing w:after="0"/>
              <w:rPr>
                <w:sz w:val="18"/>
                <w:szCs w:val="18"/>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of its creditors, or applies for or has appointed a receiver, trustee, custodian, or similar agent.</w:t>
            </w:r>
          </w:p>
        </w:tc>
        <w:tc>
          <w:tcPr>
            <w:tcW w:w="20" w:type="dxa"/>
            <w:vAlign w:val="bottom"/>
          </w:tcPr>
          <w:p>
            <w:pPr>
              <w:spacing w:after="0"/>
              <w:rPr>
                <w:sz w:val="20"/>
                <w:szCs w:val="20"/>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Product</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Urea ammonium nitrate (“UAN” or "Product"). The specifications for the Product are contained in Appendix I</w:t>
            </w:r>
          </w:p>
        </w:tc>
        <w:tc>
          <w:tcPr>
            <w:tcW w:w="20" w:type="dxa"/>
            <w:vAlign w:val="bottom"/>
          </w:tcPr>
          <w:p>
            <w:pPr>
              <w:spacing w:after="0"/>
              <w:rPr>
                <w:sz w:val="24"/>
                <w:szCs w:val="24"/>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(“Specifications”). Seller warrants title to the Products and warrants that the Products shall conform to the</w:t>
            </w:r>
          </w:p>
        </w:tc>
        <w:tc>
          <w:tcPr>
            <w:tcW w:w="20" w:type="dxa"/>
            <w:vAlign w:val="bottom"/>
          </w:tcPr>
          <w:p>
            <w:pPr>
              <w:spacing w:after="0"/>
              <w:rPr>
                <w:sz w:val="19"/>
                <w:szCs w:val="19"/>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5"/>
              </w:rPr>
              <w:t>Specifications. Except for the foregoing, Seller makes no representation or warranty of any kind, express or implied,</w:t>
            </w:r>
          </w:p>
        </w:tc>
        <w:tc>
          <w:tcPr>
            <w:tcW w:w="2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5"/>
              </w:rPr>
              <w:t>including, without limitation, any warranty of merchantability, fitness for any particular purpose, or any other matters</w:t>
            </w:r>
          </w:p>
        </w:tc>
        <w:tc>
          <w:tcPr>
            <w:tcW w:w="20" w:type="dxa"/>
            <w:vAlign w:val="bottom"/>
          </w:tcPr>
          <w:p>
            <w:pPr>
              <w:spacing w:after="0"/>
              <w:rPr>
                <w:sz w:val="18"/>
                <w:szCs w:val="18"/>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with respect to the Products, whether the Products are used alone or in combination with any other material.</w:t>
            </w:r>
          </w:p>
        </w:tc>
        <w:tc>
          <w:tcPr>
            <w:tcW w:w="20" w:type="dxa"/>
            <w:vAlign w:val="bottom"/>
          </w:tcPr>
          <w:p>
            <w:pPr>
              <w:spacing w:after="0"/>
              <w:rPr>
                <w:sz w:val="20"/>
                <w:szCs w:val="20"/>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Price</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The price for Product is set forth in Appendix II. An example of the price calculation is included in Appendix II.</w:t>
            </w:r>
          </w:p>
        </w:tc>
        <w:tc>
          <w:tcPr>
            <w:tcW w:w="20" w:type="dxa"/>
            <w:vAlign w:val="bottom"/>
          </w:tcPr>
          <w:p>
            <w:pPr>
              <w:spacing w:after="0"/>
              <w:rPr>
                <w:sz w:val="24"/>
                <w:szCs w:val="24"/>
                <w:color w:val="auto"/>
              </w:rPr>
            </w:pPr>
          </w:p>
        </w:tc>
      </w:tr>
      <w:tr>
        <w:trPr>
          <w:trHeight w:val="142"/>
        </w:trPr>
        <w:tc>
          <w:tcPr>
            <w:tcW w:w="320" w:type="dxa"/>
            <w:vAlign w:val="bottom"/>
            <w:tcBorders>
              <w:left w:val="single" w:sz="8" w:color="auto"/>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18"/>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Available Tons</w:t>
            </w: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8"/>
              </w:rPr>
              <w:t>Seller shall advise Buyer each month as to how many Tons of Product it expects to make available to Buyer for</w:t>
            </w:r>
          </w:p>
        </w:tc>
        <w:tc>
          <w:tcPr>
            <w:tcW w:w="20" w:type="dxa"/>
            <w:vAlign w:val="bottom"/>
          </w:tcPr>
          <w:p>
            <w:pPr>
              <w:spacing w:after="0"/>
              <w:rPr>
                <w:sz w:val="24"/>
                <w:szCs w:val="24"/>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3"/>
              </w:rPr>
              <w:t>purchase in future months (“Expected Available Tons”). Expected Available Tons shall not be a commitment by Seller,</w:t>
            </w:r>
          </w:p>
        </w:tc>
        <w:tc>
          <w:tcPr>
            <w:tcW w:w="20" w:type="dxa"/>
            <w:vAlign w:val="bottom"/>
          </w:tcPr>
          <w:p>
            <w:pPr>
              <w:spacing w:after="0"/>
              <w:rPr>
                <w:sz w:val="18"/>
                <w:szCs w:val="18"/>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but only a good faith forecast.</w:t>
            </w:r>
          </w:p>
        </w:tc>
        <w:tc>
          <w:tcPr>
            <w:tcW w:w="20" w:type="dxa"/>
            <w:vAlign w:val="bottom"/>
          </w:tcPr>
          <w:p>
            <w:pPr>
              <w:spacing w:after="0"/>
              <w:rPr>
                <w:sz w:val="20"/>
                <w:szCs w:val="20"/>
                <w:color w:val="auto"/>
              </w:rPr>
            </w:pPr>
          </w:p>
        </w:tc>
      </w:tr>
      <w:tr>
        <w:trPr>
          <w:trHeight w:val="122"/>
        </w:trPr>
        <w:tc>
          <w:tcPr>
            <w:tcW w:w="32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426"/>
        </w:trPr>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40" w:type="dxa"/>
            <w:vAlign w:val="bottom"/>
            <w:gridSpan w:val="2"/>
          </w:tcPr>
          <w:p>
            <w:pPr>
              <w:jc w:val="center"/>
              <w:ind w:left="2710"/>
              <w:spacing w:after="0"/>
              <w:rPr>
                <w:sz w:val="20"/>
                <w:szCs w:val="20"/>
                <w:color w:val="auto"/>
              </w:rPr>
            </w:pPr>
            <w:r>
              <w:rPr>
                <w:rFonts w:ascii="Arial" w:cs="Arial" w:eastAsia="Arial" w:hAnsi="Arial"/>
                <w:sz w:val="18"/>
                <w:szCs w:val="18"/>
                <w:color w:val="auto"/>
                <w:w w:val="99"/>
              </w:rPr>
              <w:t>1</w:t>
            </w: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600" w:right="56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6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Quantity, Exclusivity,</w:t>
            </w:r>
          </w:p>
        </w:tc>
        <w:tc>
          <w:tcPr>
            <w:tcW w:w="8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Buyer shall have the exclusive right (but not the obligation) to purchase all UAN produced at Seller’s Facility up to the</w:t>
            </w:r>
          </w:p>
        </w:tc>
        <w:tc>
          <w:tcPr>
            <w:tcW w:w="20" w:type="dxa"/>
            <w:vAlign w:val="bottom"/>
          </w:tcPr>
          <w:p>
            <w:pPr>
              <w:spacing w:after="0"/>
              <w:rPr>
                <w:sz w:val="24"/>
                <w:szCs w:val="24"/>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Seller’s Rights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number of Expected Available Tons ***, the parties shall use commercially reasonable efforts to satisfy Seller’s</w:t>
            </w:r>
          </w:p>
        </w:tc>
        <w:tc>
          <w:tcPr>
            <w:tcW w:w="20" w:type="dxa"/>
            <w:vAlign w:val="bottom"/>
          </w:tcPr>
          <w:p>
            <w:pPr>
              <w:spacing w:after="0"/>
              <w:rPr>
                <w:sz w:val="18"/>
                <w:szCs w:val="18"/>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requirements. Buyer shall market the Product produced by Seller with the same effort and priority as similarly situated</w:t>
            </w:r>
          </w:p>
        </w:tc>
        <w:tc>
          <w:tcPr>
            <w:tcW w:w="20" w:type="dxa"/>
            <w:vAlign w:val="bottom"/>
          </w:tcPr>
          <w:p>
            <w:pPr>
              <w:spacing w:after="0"/>
              <w:rPr>
                <w:sz w:val="18"/>
                <w:szCs w:val="18"/>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Product produced by Buyer.</w:t>
            </w:r>
          </w:p>
        </w:tc>
        <w:tc>
          <w:tcPr>
            <w:tcW w:w="20" w:type="dxa"/>
            <w:vAlign w:val="bottom"/>
          </w:tcPr>
          <w:p>
            <w:pPr>
              <w:spacing w:after="0"/>
              <w:rPr>
                <w:sz w:val="20"/>
                <w:szCs w:val="20"/>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10.</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Reporting and Payment</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Buyer shall submit Product orders to Seller, and Seller shall process such orders and submit invoices to Buyer, all in</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accordance with the pricing outlined in Section 6. ***</w:t>
            </w:r>
          </w:p>
        </w:tc>
        <w:tc>
          <w:tcPr>
            <w:tcW w:w="20" w:type="dxa"/>
            <w:vAlign w:val="bottom"/>
          </w:tcPr>
          <w:p>
            <w:pPr>
              <w:spacing w:after="0"/>
              <w:rPr>
                <w:sz w:val="20"/>
                <w:szCs w:val="20"/>
                <w:color w:val="auto"/>
              </w:rPr>
            </w:pPr>
          </w:p>
        </w:tc>
      </w:tr>
      <w:tr>
        <w:trPr>
          <w:trHeight w:val="418"/>
        </w:trPr>
        <w:tc>
          <w:tcPr>
            <w:tcW w:w="360" w:type="dxa"/>
            <w:vAlign w:val="bottom"/>
            <w:tcBorders>
              <w:lef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parties acknowledge that minor variances may occur in the billing process, such as differences in the actual and</w:t>
            </w:r>
          </w:p>
        </w:tc>
        <w:tc>
          <w:tcPr>
            <w:tcW w:w="20" w:type="dxa"/>
            <w:vAlign w:val="bottom"/>
          </w:tcPr>
          <w:p>
            <w:pPr>
              <w:spacing w:after="0"/>
              <w:rPr>
                <w:sz w:val="24"/>
                <w:szCs w:val="24"/>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expected freight rates due to fuel surcharges. As such, a quarterly reconciliation process will be conducted where either</w:t>
            </w:r>
          </w:p>
        </w:tc>
        <w:tc>
          <w:tcPr>
            <w:tcW w:w="20" w:type="dxa"/>
            <w:vAlign w:val="bottom"/>
          </w:tcPr>
          <w:p>
            <w:pPr>
              <w:spacing w:after="0"/>
              <w:rPr>
                <w:sz w:val="18"/>
                <w:szCs w:val="18"/>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party may propose adjustments to the prior month’s billings.  The parties shall use commercially reasonable efforts to</w:t>
            </w:r>
          </w:p>
        </w:tc>
        <w:tc>
          <w:tcPr>
            <w:tcW w:w="20" w:type="dxa"/>
            <w:vAlign w:val="bottom"/>
          </w:tcPr>
          <w:p>
            <w:pPr>
              <w:spacing w:after="0"/>
              <w:rPr>
                <w:sz w:val="18"/>
                <w:szCs w:val="18"/>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resolve the billing differences in a timely manner, but in no case later than three weeks following the end of each</w:t>
            </w:r>
          </w:p>
        </w:tc>
        <w:tc>
          <w:tcPr>
            <w:tcW w:w="20" w:type="dxa"/>
            <w:vAlign w:val="bottom"/>
          </w:tcPr>
          <w:p>
            <w:pPr>
              <w:spacing w:after="0"/>
              <w:rPr>
                <w:sz w:val="18"/>
                <w:szCs w:val="18"/>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calendar quarter.</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11.</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Buyers Position Report</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Buyer will report weekly to Seller the volume of Product on the books for future delivery, and an estimated timeframe</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delivery of said Product.</w:t>
            </w:r>
          </w:p>
        </w:tc>
        <w:tc>
          <w:tcPr>
            <w:tcW w:w="20" w:type="dxa"/>
            <w:vAlign w:val="bottom"/>
          </w:tcPr>
          <w:p>
            <w:pPr>
              <w:spacing w:after="0"/>
              <w:rPr>
                <w:sz w:val="20"/>
                <w:szCs w:val="20"/>
                <w:color w:val="auto"/>
              </w:rPr>
            </w:pPr>
          </w:p>
        </w:tc>
      </w:tr>
      <w:tr>
        <w:trPr>
          <w:trHeight w:val="418"/>
        </w:trPr>
        <w:tc>
          <w:tcPr>
            <w:tcW w:w="360" w:type="dxa"/>
            <w:vAlign w:val="bottom"/>
            <w:tcBorders>
              <w:lef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Buyer shall maintain adequate books and records to document all sales of Seller’s Product to third parties (“Third-Party</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Sales”). ***</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12.</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Seller’s Facility</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Seller’s chemical plant facility located at Pryor, Oklahoma (“Seller’s Facility”).</w:t>
            </w:r>
          </w:p>
        </w:tc>
        <w:tc>
          <w:tcPr>
            <w:tcW w:w="20" w:type="dxa"/>
            <w:vAlign w:val="bottom"/>
          </w:tcPr>
          <w:p>
            <w:pPr>
              <w:spacing w:after="0"/>
              <w:rPr>
                <w:sz w:val="24"/>
                <w:szCs w:val="24"/>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13.</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Delivery Terms/Shipping</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All Product shall be delivered to Buyer on an FCA Free Carrier (INCOTERMS 2010) Seller’s Facility basis. Product</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Mode</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may be delivered to railcars or trucks arranged by Buyer. Timely delivery of Product is of importance to the parties.</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14.</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Seller Turnaround</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Seller shall use commercially reasonable efforts to provide Buyer with at least 120 days prior notice of the</w:t>
            </w:r>
          </w:p>
        </w:tc>
        <w:tc>
          <w:tcPr>
            <w:tcW w:w="20" w:type="dxa"/>
            <w:vAlign w:val="bottom"/>
          </w:tcPr>
          <w:p>
            <w:pPr>
              <w:spacing w:after="0"/>
              <w:rPr>
                <w:sz w:val="24"/>
                <w:szCs w:val="24"/>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commencement of any turnaround at Seller’s Facility, describing the expected commencement date, scope, and length</w:t>
            </w:r>
          </w:p>
        </w:tc>
        <w:tc>
          <w:tcPr>
            <w:tcW w:w="20" w:type="dxa"/>
            <w:vAlign w:val="bottom"/>
          </w:tcPr>
          <w:p>
            <w:pPr>
              <w:spacing w:after="0"/>
              <w:rPr>
                <w:sz w:val="18"/>
                <w:szCs w:val="18"/>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such turnaround.</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15.</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Make-Whole</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Seller must timely deliver all Product ordered by Buyer. Seller’s obligation to make timely delivery of Product ordered</w:t>
            </w:r>
          </w:p>
        </w:tc>
        <w:tc>
          <w:tcPr>
            <w:tcW w:w="20" w:type="dxa"/>
            <w:vAlign w:val="bottom"/>
          </w:tcPr>
          <w:p>
            <w:pPr>
              <w:spacing w:after="0"/>
              <w:rPr>
                <w:sz w:val="24"/>
                <w:szCs w:val="24"/>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by Buyer is absolute and shall not be affected by force majeure, other than a tornado, earthquake, hurricane, or terrorist</w:t>
            </w:r>
          </w:p>
        </w:tc>
        <w:tc>
          <w:tcPr>
            <w:tcW w:w="20" w:type="dxa"/>
            <w:vAlign w:val="bottom"/>
          </w:tcPr>
          <w:p>
            <w:pPr>
              <w:spacing w:after="0"/>
              <w:rPr>
                <w:sz w:val="18"/>
                <w:szCs w:val="18"/>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attack that destroys or otherwise incapacitates Seller’s Facility (in such limited cases, a “Force Majeure Event”). Seller</w:t>
            </w:r>
          </w:p>
        </w:tc>
        <w:tc>
          <w:tcPr>
            <w:tcW w:w="20" w:type="dxa"/>
            <w:vAlign w:val="bottom"/>
          </w:tcPr>
          <w:p>
            <w:pPr>
              <w:spacing w:after="0"/>
              <w:rPr>
                <w:sz w:val="18"/>
                <w:szCs w:val="18"/>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shall notify Buyer as far in advance as practical if Seller anticipates any inability to make timely delivery of Product</w:t>
            </w:r>
          </w:p>
        </w:tc>
        <w:tc>
          <w:tcPr>
            <w:tcW w:w="20" w:type="dxa"/>
            <w:vAlign w:val="bottom"/>
          </w:tcPr>
          <w:p>
            <w:pPr>
              <w:spacing w:after="0"/>
              <w:rPr>
                <w:sz w:val="18"/>
                <w:szCs w:val="18"/>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ordered by Buyer from Product produced at Seller’s Facility (a “Product Shortfall”). ***</w:t>
            </w:r>
          </w:p>
        </w:tc>
        <w:tc>
          <w:tcPr>
            <w:tcW w:w="20" w:type="dxa"/>
            <w:vAlign w:val="bottom"/>
          </w:tcPr>
          <w:p>
            <w:pPr>
              <w:spacing w:after="0"/>
              <w:rPr>
                <w:sz w:val="20"/>
                <w:szCs w:val="20"/>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18"/>
        </w:trPr>
        <w:tc>
          <w:tcPr>
            <w:tcW w:w="360" w:type="dxa"/>
            <w:vAlign w:val="bottom"/>
            <w:tcBorders>
              <w:lef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Notwithstanding anything seemingly to the contrary in this Agreement, Seller’s obligation to deliver Product to Buyer is</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limited to Product orders placed by Buyer.</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16.</w:t>
            </w:r>
          </w:p>
        </w:tc>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Railcars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Seller will provide railcars to Buyer (the “Railcars”) to facilitate deliveries of Product to Buyer and its customers, under</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 Railcar Agreement.</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17.</w:t>
            </w:r>
          </w:p>
        </w:tc>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Access to Seller’s Facility</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All drivers for motor carriers loading Product at the Seller’s Facility will be required to follow Seller’s plant safety</w:t>
            </w:r>
          </w:p>
        </w:tc>
        <w:tc>
          <w:tcPr>
            <w:tcW w:w="20" w:type="dxa"/>
            <w:vAlign w:val="bottom"/>
          </w:tcPr>
          <w:p>
            <w:pPr>
              <w:spacing w:after="0"/>
              <w:rPr>
                <w:sz w:val="24"/>
                <w:szCs w:val="24"/>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rules.</w:t>
            </w:r>
          </w:p>
        </w:tc>
        <w:tc>
          <w:tcPr>
            <w:tcW w:w="20" w:type="dxa"/>
            <w:vAlign w:val="bottom"/>
          </w:tcPr>
          <w:p>
            <w:pPr>
              <w:spacing w:after="0"/>
              <w:rPr>
                <w:sz w:val="20"/>
                <w:szCs w:val="20"/>
                <w:color w:val="auto"/>
              </w:rPr>
            </w:pPr>
          </w:p>
        </w:tc>
      </w:tr>
      <w:tr>
        <w:trPr>
          <w:trHeight w:val="122"/>
        </w:trPr>
        <w:tc>
          <w:tcPr>
            <w:tcW w:w="36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426"/>
        </w:trPr>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80" w:type="dxa"/>
            <w:vAlign w:val="bottom"/>
          </w:tcPr>
          <w:p>
            <w:pPr>
              <w:ind w:left="3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8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600" w:right="56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Indemnification</w:t>
            </w:r>
          </w:p>
        </w:tc>
        <w:tc>
          <w:tcPr>
            <w:tcW w:w="8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Seller shall indemnify, defend, and hold harmless Buyer, its direct and indirect parent, affiliate, and subsidiary entities,</w:t>
            </w:r>
          </w:p>
        </w:tc>
        <w:tc>
          <w:tcPr>
            <w:tcW w:w="20" w:type="dxa"/>
            <w:vAlign w:val="bottom"/>
          </w:tcPr>
          <w:p>
            <w:pPr>
              <w:spacing w:after="0"/>
              <w:rPr>
                <w:sz w:val="24"/>
                <w:szCs w:val="24"/>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and each of their respective officers, directors, employees, and agents (each an “Indemnified Party”) against any and all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losses, damages, liabilities, deficiencies, claims, actions, judgments, settlements, awards, penalties, fines, costs or</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expenses of any kind, including reasonable attorneys’ fees (collectively, “Losses”), incurred by an Indemnified Party</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relating to any claim of a third party arising out of or in connection with the Products purchased from Seller or from</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Seller’s negligence, willful misconduct, or breach of this Agreement. Seller’s parent shall execute this Agreement for</w:t>
            </w:r>
          </w:p>
        </w:tc>
        <w:tc>
          <w:tcPr>
            <w:tcW w:w="20" w:type="dxa"/>
            <w:vAlign w:val="bottom"/>
          </w:tcPr>
          <w:p>
            <w:pPr>
              <w:spacing w:after="0"/>
              <w:rPr>
                <w:sz w:val="18"/>
                <w:szCs w:val="18"/>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sole purpose of guaranteeing Seller’s obligations under this Section.</w:t>
            </w:r>
          </w:p>
        </w:tc>
        <w:tc>
          <w:tcPr>
            <w:tcW w:w="20" w:type="dxa"/>
            <w:vAlign w:val="bottom"/>
          </w:tcPr>
          <w:p>
            <w:pPr>
              <w:spacing w:after="0"/>
              <w:rPr>
                <w:sz w:val="20"/>
                <w:szCs w:val="20"/>
                <w:color w:val="auto"/>
              </w:rPr>
            </w:pPr>
          </w:p>
        </w:tc>
      </w:tr>
      <w:tr>
        <w:trPr>
          <w:trHeight w:val="122"/>
        </w:trPr>
        <w:tc>
          <w:tcPr>
            <w:tcW w:w="420" w:type="dxa"/>
            <w:vAlign w:val="bottom"/>
            <w:tcBorders>
              <w:left w:val="single" w:sz="8" w:color="auto"/>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Insurance</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Seller agrees to maintain during the term of this Agreement Commercial General Liability insurance with a minimum</w:t>
            </w:r>
          </w:p>
        </w:tc>
        <w:tc>
          <w:tcPr>
            <w:tcW w:w="20" w:type="dxa"/>
            <w:vAlign w:val="bottom"/>
          </w:tcPr>
          <w:p>
            <w:pPr>
              <w:spacing w:after="0"/>
              <w:rPr>
                <w:sz w:val="24"/>
                <w:szCs w:val="24"/>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limit of $5,000,000 per occurrence. This insurance will include vendor endorsement naming Buyer as Additional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Named Insured using ISO form #CG 20-15-11-88, or equivalent. Seller agrees to waive their insurers’ right of</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subrogation against Buyer, for any insurance maintained by Seller which meets any indemnification requirements of</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Seller in this Agreement. Seller will provide Buyer with a Certificate of Insurance evidencing this insurance is</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continuously maintained. The amount of insurance required is not intended to limit or cap indemnity obligations of</w:t>
            </w:r>
          </w:p>
        </w:tc>
        <w:tc>
          <w:tcPr>
            <w:tcW w:w="20" w:type="dxa"/>
            <w:vAlign w:val="bottom"/>
          </w:tcPr>
          <w:p>
            <w:pPr>
              <w:spacing w:after="0"/>
              <w:rPr>
                <w:sz w:val="18"/>
                <w:szCs w:val="18"/>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Seller under this Agreement.</w:t>
            </w:r>
          </w:p>
        </w:tc>
        <w:tc>
          <w:tcPr>
            <w:tcW w:w="20" w:type="dxa"/>
            <w:vAlign w:val="bottom"/>
          </w:tcPr>
          <w:p>
            <w:pPr>
              <w:spacing w:after="0"/>
              <w:rPr>
                <w:sz w:val="20"/>
                <w:szCs w:val="20"/>
                <w:color w:val="auto"/>
              </w:rPr>
            </w:pPr>
          </w:p>
        </w:tc>
      </w:tr>
      <w:tr>
        <w:trPr>
          <w:trHeight w:val="122"/>
        </w:trPr>
        <w:tc>
          <w:tcPr>
            <w:tcW w:w="420" w:type="dxa"/>
            <w:vAlign w:val="bottom"/>
            <w:tcBorders>
              <w:left w:val="single" w:sz="8" w:color="auto"/>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Buyer’s General Terms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The General Terms and Conditions for Sales of Fertilizer Products (“General Terms and Conditions”) attached as</w:t>
            </w:r>
          </w:p>
        </w:tc>
        <w:tc>
          <w:tcPr>
            <w:tcW w:w="20" w:type="dxa"/>
            <w:vAlign w:val="bottom"/>
          </w:tcPr>
          <w:p>
            <w:pPr>
              <w:spacing w:after="0"/>
              <w:rPr>
                <w:sz w:val="24"/>
                <w:szCs w:val="24"/>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Conditions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Appendix III control the terms and conditions of sale and purchase of Product from Seller to Buyer unless otherwise</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expressly set forth set forth in the Agreement. Without limiting the foregoing, for the avoidance of doubt, Section 15</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(Make-Whole), Section 16 (Railcars), Section 18 (Indemnification), and Section 19 (Insurance) of this Agreement shall</w:t>
            </w:r>
          </w:p>
        </w:tc>
        <w:tc>
          <w:tcPr>
            <w:tcW w:w="20" w:type="dxa"/>
            <w:vAlign w:val="bottom"/>
          </w:tcPr>
          <w:p>
            <w:pPr>
              <w:spacing w:after="0"/>
              <w:rPr>
                <w:sz w:val="18"/>
                <w:szCs w:val="18"/>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not be limited by the General Terms and Conditions. All Attachments are incorporated in this Agreement by reference.</w:t>
            </w:r>
          </w:p>
        </w:tc>
        <w:tc>
          <w:tcPr>
            <w:tcW w:w="20" w:type="dxa"/>
            <w:vAlign w:val="bottom"/>
          </w:tcPr>
          <w:p>
            <w:pPr>
              <w:spacing w:after="0"/>
              <w:rPr>
                <w:sz w:val="20"/>
                <w:szCs w:val="20"/>
                <w:color w:val="auto"/>
              </w:rPr>
            </w:pPr>
          </w:p>
        </w:tc>
      </w:tr>
      <w:tr>
        <w:trPr>
          <w:trHeight w:val="122"/>
        </w:trPr>
        <w:tc>
          <w:tcPr>
            <w:tcW w:w="420" w:type="dxa"/>
            <w:vAlign w:val="bottom"/>
            <w:tcBorders>
              <w:left w:val="single" w:sz="8" w:color="auto"/>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Confidentiality</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This Agreement, and the information exchanged between the parties in connection with this Agreement (“Confidential</w:t>
            </w:r>
          </w:p>
        </w:tc>
        <w:tc>
          <w:tcPr>
            <w:tcW w:w="20" w:type="dxa"/>
            <w:vAlign w:val="bottom"/>
          </w:tcPr>
          <w:p>
            <w:pPr>
              <w:spacing w:after="0"/>
              <w:rPr>
                <w:sz w:val="24"/>
                <w:szCs w:val="24"/>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Information”), is confidential. Neither party shall disclose the existence of this Agreement or any Confidential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Information without the prior written consent of the other party, except to the extent required by law. Confidential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Information shall not be used for any purpose other than furthering each party’s respective obligations under this</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Agreement. Confidential Information shall not include information to the extent such information (a) is or becomes</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generally available to the public, (b) is or becomes generally available to one party on a non-confidential basis from a</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source other than the other party, provided that the source is not known by the receiving party to be bound by a</w:t>
            </w:r>
          </w:p>
        </w:tc>
        <w:tc>
          <w:tcPr>
            <w:tcW w:w="20" w:type="dxa"/>
            <w:vAlign w:val="bottom"/>
          </w:tcPr>
          <w:p>
            <w:pPr>
              <w:spacing w:after="0"/>
              <w:rPr>
                <w:sz w:val="18"/>
                <w:szCs w:val="18"/>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confidentiality agreement, or (c) was previously known by a party or is or was independently developed by such party.</w:t>
            </w:r>
          </w:p>
        </w:tc>
        <w:tc>
          <w:tcPr>
            <w:tcW w:w="20" w:type="dxa"/>
            <w:vAlign w:val="bottom"/>
          </w:tcPr>
          <w:p>
            <w:pPr>
              <w:spacing w:after="0"/>
              <w:rPr>
                <w:sz w:val="20"/>
                <w:szCs w:val="20"/>
                <w:color w:val="auto"/>
              </w:rPr>
            </w:pPr>
          </w:p>
        </w:tc>
      </w:tr>
      <w:tr>
        <w:trPr>
          <w:trHeight w:val="122"/>
        </w:trPr>
        <w:tc>
          <w:tcPr>
            <w:tcW w:w="420" w:type="dxa"/>
            <w:vAlign w:val="bottom"/>
            <w:tcBorders>
              <w:left w:val="single" w:sz="8" w:color="auto"/>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0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Counterparts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This Agreement may be executed in one or more counterparts, each of which will be deemed to be an original copy and</w:t>
            </w:r>
          </w:p>
        </w:tc>
        <w:tc>
          <w:tcPr>
            <w:tcW w:w="20" w:type="dxa"/>
            <w:vAlign w:val="bottom"/>
          </w:tcPr>
          <w:p>
            <w:pPr>
              <w:spacing w:after="0"/>
              <w:rPr>
                <w:sz w:val="24"/>
                <w:szCs w:val="24"/>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all of which, when taken together, will be deemed to constitute one and the same agreement or document, and will be</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effective when counterparts have been signed by each of the parties and delivered to the other parties. A manual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signature on the signature page to this Agreement, an image of which shall have been transmitted electronically, will</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constitute an original signature for all purposes. The delivery of copies of the signature page to this Agreement or any</w:t>
            </w:r>
          </w:p>
        </w:tc>
        <w:tc>
          <w:tcPr>
            <w:tcW w:w="20" w:type="dxa"/>
            <w:vAlign w:val="bottom"/>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other document to be delivered pursuant to this Agreement, including executed signature pages where required, by</w:t>
            </w:r>
          </w:p>
        </w:tc>
        <w:tc>
          <w:tcPr>
            <w:tcW w:w="20" w:type="dxa"/>
            <w:vAlign w:val="bottom"/>
          </w:tcPr>
          <w:p>
            <w:pPr>
              <w:spacing w:after="0"/>
              <w:rPr>
                <w:sz w:val="18"/>
                <w:szCs w:val="18"/>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electronic transmission will constitute effective delivery for all purposes.</w:t>
            </w:r>
          </w:p>
        </w:tc>
        <w:tc>
          <w:tcPr>
            <w:tcW w:w="20" w:type="dxa"/>
            <w:vAlign w:val="bottom"/>
          </w:tcPr>
          <w:p>
            <w:pPr>
              <w:spacing w:after="0"/>
              <w:rPr>
                <w:sz w:val="20"/>
                <w:szCs w:val="20"/>
                <w:color w:val="auto"/>
              </w:rPr>
            </w:pPr>
          </w:p>
        </w:tc>
      </w:tr>
      <w:tr>
        <w:trPr>
          <w:trHeight w:val="122"/>
        </w:trPr>
        <w:tc>
          <w:tcPr>
            <w:tcW w:w="420" w:type="dxa"/>
            <w:vAlign w:val="bottom"/>
            <w:tcBorders>
              <w:left w:val="single" w:sz="8" w:color="auto"/>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453"/>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80" w:type="dxa"/>
            <w:vAlign w:val="bottom"/>
          </w:tcPr>
          <w:p>
            <w:pPr>
              <w:ind w:left="2060"/>
              <w:spacing w:after="0"/>
              <w:rPr>
                <w:sz w:val="20"/>
                <w:szCs w:val="20"/>
                <w:color w:val="auto"/>
              </w:rPr>
            </w:pPr>
            <w:r>
              <w:rPr>
                <w:rFonts w:ascii="Arial" w:cs="Arial" w:eastAsia="Arial" w:hAnsi="Arial"/>
                <w:sz w:val="18"/>
                <w:szCs w:val="18"/>
                <w:color w:val="auto"/>
              </w:rPr>
              <w:t>[Signatures on following page]</w:t>
            </w:r>
          </w:p>
        </w:tc>
        <w:tc>
          <w:tcPr>
            <w:tcW w:w="20" w:type="dxa"/>
            <w:vAlign w:val="bottom"/>
          </w:tcPr>
          <w:p>
            <w:pPr>
              <w:spacing w:after="0"/>
              <w:rPr>
                <w:sz w:val="24"/>
                <w:szCs w:val="24"/>
                <w:color w:val="auto"/>
              </w:rPr>
            </w:pPr>
          </w:p>
        </w:tc>
      </w:tr>
      <w:tr>
        <w:trPr>
          <w:trHeight w:val="864"/>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80" w:type="dxa"/>
            <w:vAlign w:val="bottom"/>
          </w:tcPr>
          <w:p>
            <w:pPr>
              <w:ind w:left="31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540" w:right="54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40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BUYER:</w:t>
      </w:r>
    </w:p>
    <w:p>
      <w:pPr>
        <w:spacing w:after="0" w:line="248"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COFFEYVILLE RESOURCES NITROGEN FERTILIZERS,</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LLC</w:t>
      </w:r>
    </w:p>
    <w:p>
      <w:pPr>
        <w:spacing w:after="0" w:line="238"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Pytosh</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Mark A. Pytosh</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SELLER:</w:t>
      </w:r>
    </w:p>
    <w:p>
      <w:pPr>
        <w:spacing w:after="0" w:line="248"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PRYOR CHEMICAL COMPANY</w:t>
      </w:r>
    </w:p>
    <w:p>
      <w:pPr>
        <w:spacing w:after="0" w:line="256"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Lewis</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Brian Lewis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General Manager and Vice President</w:t>
            </w:r>
          </w:p>
        </w:tc>
      </w:tr>
    </w:tbl>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PARENT (FOR THE SOLE PURPOSE OF GUARANTEEING</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SELLER’S OBLIGATIONS UNDER SECTION 18 OF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AGREEMENT):</w:t>
      </w:r>
    </w:p>
    <w:p>
      <w:pPr>
        <w:spacing w:after="0" w:line="234"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LSB INDUSTRIES, INC.</w:t>
      </w:r>
    </w:p>
    <w:p>
      <w:pPr>
        <w:spacing w:after="0" w:line="256"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D. Greenwell</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Dan Greenwell</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540" w:right="50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Specifications</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1520" w:type="dxa"/>
            <w:vAlign w:val="bottom"/>
          </w:tcPr>
          <w:p>
            <w:pPr>
              <w:spacing w:after="0"/>
              <w:rPr>
                <w:sz w:val="19"/>
                <w:szCs w:val="19"/>
                <w:color w:val="auto"/>
              </w:rPr>
            </w:pPr>
          </w:p>
        </w:tc>
        <w:tc>
          <w:tcPr>
            <w:tcW w:w="1540" w:type="dxa"/>
            <w:vAlign w:val="bottom"/>
          </w:tcPr>
          <w:p>
            <w:pPr>
              <w:ind w:left="440"/>
              <w:spacing w:after="0"/>
              <w:rPr>
                <w:sz w:val="20"/>
                <w:szCs w:val="20"/>
                <w:color w:val="auto"/>
              </w:rPr>
            </w:pPr>
            <w:r>
              <w:rPr>
                <w:rFonts w:ascii="Arial" w:cs="Arial" w:eastAsia="Arial" w:hAnsi="Arial"/>
                <w:sz w:val="18"/>
                <w:szCs w:val="18"/>
                <w:b w:val="1"/>
                <w:bCs w:val="1"/>
                <w:color w:val="auto"/>
              </w:rPr>
              <w:t>Typical</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Min</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Max</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 Nitrogen</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32.00%</w:t>
            </w:r>
          </w:p>
        </w:tc>
        <w:tc>
          <w:tcPr>
            <w:tcW w:w="1360" w:type="dxa"/>
            <w:vAlign w:val="bottom"/>
          </w:tcPr>
          <w:p>
            <w:pPr>
              <w:ind w:left="280"/>
              <w:spacing w:after="0"/>
              <w:rPr>
                <w:sz w:val="20"/>
                <w:szCs w:val="20"/>
                <w:color w:val="auto"/>
              </w:rPr>
            </w:pPr>
            <w:r>
              <w:rPr>
                <w:rFonts w:ascii="Arial" w:cs="Arial" w:eastAsia="Arial" w:hAnsi="Arial"/>
                <w:sz w:val="18"/>
                <w:szCs w:val="18"/>
                <w:color w:val="auto"/>
              </w:rPr>
              <w:t>31.80%</w:t>
            </w:r>
          </w:p>
        </w:tc>
        <w:tc>
          <w:tcPr>
            <w:tcW w:w="1100" w:type="dxa"/>
            <w:vAlign w:val="bottom"/>
          </w:tcPr>
          <w:p>
            <w:pPr>
              <w:ind w:left="280"/>
              <w:spacing w:after="0"/>
              <w:rPr>
                <w:sz w:val="20"/>
                <w:szCs w:val="20"/>
                <w:color w:val="auto"/>
              </w:rPr>
            </w:pPr>
            <w:r>
              <w:rPr>
                <w:rFonts w:ascii="Arial" w:cs="Arial" w:eastAsia="Arial" w:hAnsi="Arial"/>
                <w:sz w:val="18"/>
                <w:szCs w:val="18"/>
                <w:color w:val="auto"/>
              </w:rPr>
              <w:t>32.50%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Appearance</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Clear</w:t>
            </w:r>
          </w:p>
        </w:tc>
        <w:tc>
          <w:tcPr>
            <w:tcW w:w="1360" w:type="dxa"/>
            <w:vAlign w:val="bottom"/>
          </w:tcPr>
          <w:p>
            <w:pPr>
              <w:ind w:left="280"/>
              <w:spacing w:after="0"/>
              <w:rPr>
                <w:sz w:val="20"/>
                <w:szCs w:val="20"/>
                <w:color w:val="auto"/>
              </w:rPr>
            </w:pPr>
            <w:r>
              <w:rPr>
                <w:rFonts w:ascii="Arial" w:cs="Arial" w:eastAsia="Arial" w:hAnsi="Arial"/>
                <w:sz w:val="18"/>
                <w:szCs w:val="18"/>
                <w:color w:val="auto"/>
              </w:rPr>
              <w:t>Clear</w:t>
            </w:r>
          </w:p>
        </w:tc>
        <w:tc>
          <w:tcPr>
            <w:tcW w:w="1100" w:type="dxa"/>
            <w:vAlign w:val="bottom"/>
          </w:tcPr>
          <w:p>
            <w:pPr>
              <w:ind w:left="280"/>
              <w:spacing w:after="0"/>
              <w:rPr>
                <w:sz w:val="20"/>
                <w:szCs w:val="20"/>
                <w:color w:val="auto"/>
              </w:rPr>
            </w:pPr>
            <w:r>
              <w:rPr>
                <w:rFonts w:ascii="Arial" w:cs="Arial" w:eastAsia="Arial" w:hAnsi="Arial"/>
                <w:sz w:val="18"/>
                <w:szCs w:val="18"/>
                <w:color w:val="auto"/>
              </w:rPr>
              <w:t>Clear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Color</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colorless</w:t>
            </w:r>
          </w:p>
        </w:tc>
        <w:tc>
          <w:tcPr>
            <w:tcW w:w="1360" w:type="dxa"/>
            <w:vAlign w:val="bottom"/>
          </w:tcPr>
          <w:p>
            <w:pPr>
              <w:ind w:left="280"/>
              <w:spacing w:after="0"/>
              <w:rPr>
                <w:sz w:val="20"/>
                <w:szCs w:val="20"/>
                <w:color w:val="auto"/>
              </w:rPr>
            </w:pPr>
            <w:r>
              <w:rPr>
                <w:rFonts w:ascii="Arial" w:cs="Arial" w:eastAsia="Arial" w:hAnsi="Arial"/>
                <w:sz w:val="18"/>
                <w:szCs w:val="18"/>
                <w:color w:val="auto"/>
              </w:rPr>
              <w:t>colorless</w:t>
            </w:r>
          </w:p>
        </w:tc>
        <w:tc>
          <w:tcPr>
            <w:tcW w:w="1100" w:type="dxa"/>
            <w:vAlign w:val="bottom"/>
          </w:tcPr>
          <w:p>
            <w:pPr>
              <w:ind w:left="280"/>
              <w:spacing w:after="0"/>
              <w:rPr>
                <w:sz w:val="20"/>
                <w:szCs w:val="20"/>
                <w:color w:val="auto"/>
              </w:rPr>
            </w:pPr>
            <w:r>
              <w:rPr>
                <w:rFonts w:ascii="Arial" w:cs="Arial" w:eastAsia="Arial" w:hAnsi="Arial"/>
                <w:sz w:val="18"/>
                <w:szCs w:val="18"/>
                <w:color w:val="auto"/>
              </w:rPr>
              <w:t>colorless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Free Ammonia</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500 ppm</w:t>
            </w:r>
          </w:p>
        </w:tc>
        <w:tc>
          <w:tcPr>
            <w:tcW w:w="1360" w:type="dxa"/>
            <w:vAlign w:val="bottom"/>
          </w:tcPr>
          <w:p>
            <w:pPr>
              <w:ind w:left="280"/>
              <w:spacing w:after="0"/>
              <w:rPr>
                <w:sz w:val="20"/>
                <w:szCs w:val="20"/>
                <w:color w:val="auto"/>
              </w:rPr>
            </w:pPr>
            <w:r>
              <w:rPr>
                <w:rFonts w:ascii="Arial" w:cs="Arial" w:eastAsia="Arial" w:hAnsi="Arial"/>
                <w:sz w:val="18"/>
                <w:szCs w:val="18"/>
                <w:color w:val="auto"/>
              </w:rPr>
              <w:t>200 ppm</w:t>
            </w:r>
          </w:p>
        </w:tc>
        <w:tc>
          <w:tcPr>
            <w:tcW w:w="1100" w:type="dxa"/>
            <w:vAlign w:val="bottom"/>
          </w:tcPr>
          <w:p>
            <w:pPr>
              <w:ind w:left="280"/>
              <w:spacing w:after="0"/>
              <w:rPr>
                <w:sz w:val="20"/>
                <w:szCs w:val="20"/>
                <w:color w:val="auto"/>
              </w:rPr>
            </w:pPr>
            <w:r>
              <w:rPr>
                <w:rFonts w:ascii="Arial" w:cs="Arial" w:eastAsia="Arial" w:hAnsi="Arial"/>
                <w:sz w:val="18"/>
                <w:szCs w:val="18"/>
                <w:color w:val="auto"/>
              </w:rPr>
              <w:t>700 ppm</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Specific Gravity @ 60 deg F</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1.32</w:t>
            </w:r>
          </w:p>
        </w:tc>
        <w:tc>
          <w:tcPr>
            <w:tcW w:w="1360" w:type="dxa"/>
            <w:vAlign w:val="bottom"/>
          </w:tcPr>
          <w:p>
            <w:pPr>
              <w:ind w:left="280"/>
              <w:spacing w:after="0"/>
              <w:rPr>
                <w:sz w:val="20"/>
                <w:szCs w:val="20"/>
                <w:color w:val="auto"/>
              </w:rPr>
            </w:pPr>
            <w:r>
              <w:rPr>
                <w:rFonts w:ascii="Arial" w:cs="Arial" w:eastAsia="Arial" w:hAnsi="Arial"/>
                <w:sz w:val="18"/>
                <w:szCs w:val="18"/>
                <w:color w:val="auto"/>
              </w:rPr>
              <w:t>1.30</w:t>
            </w:r>
          </w:p>
        </w:tc>
        <w:tc>
          <w:tcPr>
            <w:tcW w:w="1100" w:type="dxa"/>
            <w:vAlign w:val="bottom"/>
          </w:tcPr>
          <w:p>
            <w:pPr>
              <w:ind w:left="280"/>
              <w:spacing w:after="0"/>
              <w:rPr>
                <w:sz w:val="20"/>
                <w:szCs w:val="20"/>
                <w:color w:val="auto"/>
              </w:rPr>
            </w:pPr>
            <w:r>
              <w:rPr>
                <w:rFonts w:ascii="Arial" w:cs="Arial" w:eastAsia="Arial" w:hAnsi="Arial"/>
                <w:sz w:val="18"/>
                <w:szCs w:val="18"/>
                <w:color w:val="auto"/>
              </w:rPr>
              <w:t>1.34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Gauge Pressure @ 140 deg F</w:t>
            </w:r>
          </w:p>
        </w:tc>
        <w:tc>
          <w:tcPr>
            <w:tcW w:w="1520" w:type="dxa"/>
            <w:vAlign w:val="bottom"/>
          </w:tcPr>
          <w:p>
            <w:pPr>
              <w:ind w:left="600"/>
              <w:spacing w:after="0"/>
              <w:rPr>
                <w:sz w:val="20"/>
                <w:szCs w:val="20"/>
                <w:color w:val="auto"/>
              </w:rPr>
            </w:pPr>
            <w:r>
              <w:rPr>
                <w:rFonts w:ascii="Arial" w:cs="Arial" w:eastAsia="Arial" w:hAnsi="Arial"/>
                <w:sz w:val="18"/>
                <w:szCs w:val="18"/>
                <w:color w:val="auto"/>
              </w:rPr>
              <w:t>PSIG</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Approx. Salt Out Temp (deg F)</w:t>
            </w:r>
          </w:p>
        </w:tc>
        <w:tc>
          <w:tcPr>
            <w:tcW w:w="1520" w:type="dxa"/>
            <w:vAlign w:val="bottom"/>
          </w:tcPr>
          <w:p>
            <w:pPr>
              <w:ind w:left="600"/>
              <w:spacing w:after="0"/>
              <w:rPr>
                <w:sz w:val="20"/>
                <w:szCs w:val="20"/>
                <w:color w:val="auto"/>
              </w:rPr>
            </w:pPr>
            <w:r>
              <w:rPr>
                <w:rFonts w:ascii="Arial" w:cs="Arial" w:eastAsia="Arial" w:hAnsi="Arial"/>
                <w:sz w:val="18"/>
                <w:szCs w:val="18"/>
                <w:color w:val="auto"/>
              </w:rPr>
              <w:t>Deg F</w:t>
            </w:r>
          </w:p>
        </w:tc>
        <w:tc>
          <w:tcPr>
            <w:tcW w:w="1540" w:type="dxa"/>
            <w:vAlign w:val="bottom"/>
          </w:tcPr>
          <w:p>
            <w:pPr>
              <w:ind w:left="440"/>
              <w:spacing w:after="0"/>
              <w:rPr>
                <w:sz w:val="20"/>
                <w:szCs w:val="20"/>
                <w:color w:val="auto"/>
              </w:rPr>
            </w:pPr>
            <w:r>
              <w:rPr>
                <w:rFonts w:ascii="Arial" w:cs="Arial" w:eastAsia="Arial" w:hAnsi="Arial"/>
                <w:sz w:val="18"/>
                <w:szCs w:val="18"/>
                <w:color w:val="auto"/>
              </w:rPr>
              <w:t>32 F</w:t>
            </w:r>
          </w:p>
        </w:tc>
        <w:tc>
          <w:tcPr>
            <w:tcW w:w="1360" w:type="dxa"/>
            <w:vAlign w:val="bottom"/>
          </w:tcPr>
          <w:p>
            <w:pPr>
              <w:ind w:left="280"/>
              <w:spacing w:after="0"/>
              <w:rPr>
                <w:sz w:val="20"/>
                <w:szCs w:val="20"/>
                <w:color w:val="auto"/>
              </w:rPr>
            </w:pPr>
            <w:r>
              <w:rPr>
                <w:rFonts w:ascii="Arial" w:cs="Arial" w:eastAsia="Arial" w:hAnsi="Arial"/>
                <w:sz w:val="18"/>
                <w:szCs w:val="18"/>
                <w:color w:val="auto"/>
              </w:rPr>
              <w:t>32 F</w:t>
            </w:r>
          </w:p>
        </w:tc>
        <w:tc>
          <w:tcPr>
            <w:tcW w:w="1100" w:type="dxa"/>
            <w:vAlign w:val="bottom"/>
          </w:tcPr>
          <w:p>
            <w:pPr>
              <w:ind w:left="280"/>
              <w:spacing w:after="0"/>
              <w:rPr>
                <w:sz w:val="20"/>
                <w:szCs w:val="20"/>
                <w:color w:val="auto"/>
              </w:rPr>
            </w:pPr>
            <w:r>
              <w:rPr>
                <w:rFonts w:ascii="Arial" w:cs="Arial" w:eastAsia="Arial" w:hAnsi="Arial"/>
                <w:sz w:val="18"/>
                <w:szCs w:val="18"/>
                <w:color w:val="auto"/>
              </w:rPr>
              <w:t>32 F</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Approx. Salt Out Temp (deg C)</w:t>
            </w:r>
          </w:p>
        </w:tc>
        <w:tc>
          <w:tcPr>
            <w:tcW w:w="1520" w:type="dxa"/>
            <w:vAlign w:val="bottom"/>
          </w:tcPr>
          <w:p>
            <w:pPr>
              <w:ind w:left="600"/>
              <w:spacing w:after="0"/>
              <w:rPr>
                <w:sz w:val="20"/>
                <w:szCs w:val="20"/>
                <w:color w:val="auto"/>
              </w:rPr>
            </w:pPr>
            <w:r>
              <w:rPr>
                <w:rFonts w:ascii="Arial" w:cs="Arial" w:eastAsia="Arial" w:hAnsi="Arial"/>
                <w:sz w:val="18"/>
                <w:szCs w:val="18"/>
                <w:color w:val="auto"/>
              </w:rPr>
              <w:t>Deg C</w:t>
            </w:r>
          </w:p>
        </w:tc>
        <w:tc>
          <w:tcPr>
            <w:tcW w:w="1540" w:type="dxa"/>
            <w:vAlign w:val="bottom"/>
          </w:tcPr>
          <w:p>
            <w:pPr>
              <w:ind w:left="440"/>
              <w:spacing w:after="0"/>
              <w:rPr>
                <w:sz w:val="20"/>
                <w:szCs w:val="20"/>
                <w:color w:val="auto"/>
              </w:rPr>
            </w:pPr>
            <w:r>
              <w:rPr>
                <w:rFonts w:ascii="Arial" w:cs="Arial" w:eastAsia="Arial" w:hAnsi="Arial"/>
                <w:sz w:val="18"/>
                <w:szCs w:val="18"/>
                <w:color w:val="auto"/>
              </w:rPr>
              <w:t>0 C</w:t>
            </w:r>
          </w:p>
        </w:tc>
        <w:tc>
          <w:tcPr>
            <w:tcW w:w="1360" w:type="dxa"/>
            <w:vAlign w:val="bottom"/>
          </w:tcPr>
          <w:p>
            <w:pPr>
              <w:ind w:left="280"/>
              <w:spacing w:after="0"/>
              <w:rPr>
                <w:sz w:val="20"/>
                <w:szCs w:val="20"/>
                <w:color w:val="auto"/>
              </w:rPr>
            </w:pPr>
            <w:r>
              <w:rPr>
                <w:rFonts w:ascii="Arial" w:cs="Arial" w:eastAsia="Arial" w:hAnsi="Arial"/>
                <w:sz w:val="18"/>
                <w:szCs w:val="18"/>
                <w:color w:val="auto"/>
              </w:rPr>
              <w:t>0 C</w:t>
            </w:r>
          </w:p>
        </w:tc>
        <w:tc>
          <w:tcPr>
            <w:tcW w:w="1100" w:type="dxa"/>
            <w:vAlign w:val="bottom"/>
          </w:tcPr>
          <w:p>
            <w:pPr>
              <w:ind w:left="280"/>
              <w:spacing w:after="0"/>
              <w:rPr>
                <w:sz w:val="20"/>
                <w:szCs w:val="20"/>
                <w:color w:val="auto"/>
              </w:rPr>
            </w:pPr>
            <w:r>
              <w:rPr>
                <w:rFonts w:ascii="Arial" w:cs="Arial" w:eastAsia="Arial" w:hAnsi="Arial"/>
                <w:sz w:val="18"/>
                <w:szCs w:val="18"/>
                <w:color w:val="auto"/>
              </w:rPr>
              <w:t>0 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PH UAN Day Tank (to maintain 0.1% Free NH3)</w:t>
            </w:r>
          </w:p>
        </w:tc>
        <w:tc>
          <w:tcPr>
            <w:tcW w:w="1520" w:type="dxa"/>
            <w:vAlign w:val="bottom"/>
          </w:tcPr>
          <w:p>
            <w:pPr>
              <w:spacing w:after="0"/>
              <w:rPr>
                <w:sz w:val="18"/>
                <w:szCs w:val="18"/>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7</w:t>
            </w:r>
          </w:p>
        </w:tc>
        <w:tc>
          <w:tcPr>
            <w:tcW w:w="1360" w:type="dxa"/>
            <w:vAlign w:val="bottom"/>
          </w:tcPr>
          <w:p>
            <w:pPr>
              <w:ind w:left="280"/>
              <w:spacing w:after="0"/>
              <w:rPr>
                <w:sz w:val="20"/>
                <w:szCs w:val="20"/>
                <w:color w:val="auto"/>
              </w:rPr>
            </w:pPr>
            <w:r>
              <w:rPr>
                <w:rFonts w:ascii="Arial" w:cs="Arial" w:eastAsia="Arial" w:hAnsi="Arial"/>
                <w:sz w:val="18"/>
                <w:szCs w:val="18"/>
                <w:color w:val="auto"/>
              </w:rPr>
              <w:t>6.8</w:t>
            </w:r>
          </w:p>
        </w:tc>
        <w:tc>
          <w:tcPr>
            <w:tcW w:w="1100" w:type="dxa"/>
            <w:vAlign w:val="bottom"/>
          </w:tcPr>
          <w:p>
            <w:pPr>
              <w:ind w:left="280"/>
              <w:spacing w:after="0"/>
              <w:rPr>
                <w:sz w:val="20"/>
                <w:szCs w:val="20"/>
                <w:color w:val="auto"/>
              </w:rPr>
            </w:pPr>
            <w:r>
              <w:rPr>
                <w:rFonts w:ascii="Arial" w:cs="Arial" w:eastAsia="Arial" w:hAnsi="Arial"/>
                <w:sz w:val="18"/>
                <w:szCs w:val="18"/>
                <w:color w:val="auto"/>
              </w:rPr>
              <w:t>7.2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AN/UREA Ratio @ Origin</w:t>
            </w:r>
          </w:p>
        </w:tc>
        <w:tc>
          <w:tcPr>
            <w:tcW w:w="1520" w:type="dxa"/>
            <w:vAlign w:val="bottom"/>
          </w:tcPr>
          <w:p>
            <w:pPr>
              <w:spacing w:after="0"/>
              <w:rPr>
                <w:sz w:val="20"/>
                <w:szCs w:val="20"/>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1.33</w:t>
            </w:r>
          </w:p>
        </w:tc>
        <w:tc>
          <w:tcPr>
            <w:tcW w:w="1360" w:type="dxa"/>
            <w:vAlign w:val="bottom"/>
          </w:tcPr>
          <w:p>
            <w:pPr>
              <w:ind w:left="280"/>
              <w:spacing w:after="0"/>
              <w:rPr>
                <w:sz w:val="20"/>
                <w:szCs w:val="20"/>
                <w:color w:val="auto"/>
              </w:rPr>
            </w:pPr>
            <w:r>
              <w:rPr>
                <w:rFonts w:ascii="Arial" w:cs="Arial" w:eastAsia="Arial" w:hAnsi="Arial"/>
                <w:sz w:val="18"/>
                <w:szCs w:val="18"/>
                <w:color w:val="auto"/>
              </w:rPr>
              <w:t>1.1</w:t>
            </w:r>
          </w:p>
        </w:tc>
        <w:tc>
          <w:tcPr>
            <w:tcW w:w="1100" w:type="dxa"/>
            <w:vAlign w:val="bottom"/>
          </w:tcPr>
          <w:p>
            <w:pPr>
              <w:ind w:left="280"/>
              <w:spacing w:after="0"/>
              <w:rPr>
                <w:sz w:val="20"/>
                <w:szCs w:val="20"/>
                <w:color w:val="auto"/>
              </w:rPr>
            </w:pPr>
            <w:r>
              <w:rPr>
                <w:rFonts w:ascii="Arial" w:cs="Arial" w:eastAsia="Arial" w:hAnsi="Arial"/>
                <w:sz w:val="18"/>
                <w:szCs w:val="18"/>
                <w:color w:val="auto"/>
              </w:rPr>
              <w:t>1.35</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Corrosion Inhibitor</w:t>
            </w:r>
          </w:p>
        </w:tc>
        <w:tc>
          <w:tcPr>
            <w:tcW w:w="152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PO4 Based</w:t>
            </w:r>
          </w:p>
        </w:tc>
        <w:tc>
          <w:tcPr>
            <w:tcW w:w="1360" w:type="dxa"/>
            <w:vAlign w:val="bottom"/>
          </w:tcPr>
          <w:p>
            <w:pPr>
              <w:ind w:left="280"/>
              <w:spacing w:after="0"/>
              <w:rPr>
                <w:sz w:val="20"/>
                <w:szCs w:val="20"/>
                <w:color w:val="auto"/>
              </w:rPr>
            </w:pPr>
            <w:r>
              <w:rPr>
                <w:rFonts w:ascii="Arial" w:cs="Arial" w:eastAsia="Arial" w:hAnsi="Arial"/>
                <w:sz w:val="18"/>
                <w:szCs w:val="18"/>
                <w:color w:val="auto"/>
              </w:rPr>
              <w:t>PO4 Based</w:t>
            </w:r>
          </w:p>
        </w:tc>
        <w:tc>
          <w:tcPr>
            <w:tcW w:w="1100" w:type="dxa"/>
            <w:vAlign w:val="bottom"/>
          </w:tcPr>
          <w:p>
            <w:pPr>
              <w:ind w:left="280"/>
              <w:spacing w:after="0"/>
              <w:rPr>
                <w:sz w:val="20"/>
                <w:szCs w:val="20"/>
                <w:color w:val="auto"/>
              </w:rPr>
            </w:pPr>
            <w:r>
              <w:rPr>
                <w:rFonts w:ascii="Arial" w:cs="Arial" w:eastAsia="Arial" w:hAnsi="Arial"/>
                <w:sz w:val="18"/>
                <w:szCs w:val="18"/>
                <w:color w:val="auto"/>
                <w:w w:val="86"/>
              </w:rPr>
              <w:t>PO4 Based</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Inhibitor rate</w:t>
            </w:r>
          </w:p>
        </w:tc>
        <w:tc>
          <w:tcPr>
            <w:tcW w:w="1520" w:type="dxa"/>
            <w:vAlign w:val="bottom"/>
          </w:tcPr>
          <w:p>
            <w:pPr>
              <w:ind w:left="600"/>
              <w:spacing w:after="0"/>
              <w:rPr>
                <w:sz w:val="20"/>
                <w:szCs w:val="20"/>
                <w:color w:val="auto"/>
              </w:rPr>
            </w:pPr>
            <w:r>
              <w:rPr>
                <w:rFonts w:ascii="Arial" w:cs="Arial" w:eastAsia="Arial" w:hAnsi="Arial"/>
                <w:sz w:val="18"/>
                <w:szCs w:val="18"/>
                <w:color w:val="auto"/>
              </w:rPr>
              <w:t>ppm</w:t>
            </w:r>
          </w:p>
        </w:tc>
        <w:tc>
          <w:tcPr>
            <w:tcW w:w="1540" w:type="dxa"/>
            <w:vAlign w:val="bottom"/>
          </w:tcPr>
          <w:p>
            <w:pPr>
              <w:ind w:left="440"/>
              <w:spacing w:after="0"/>
              <w:rPr>
                <w:sz w:val="20"/>
                <w:szCs w:val="20"/>
                <w:color w:val="auto"/>
              </w:rPr>
            </w:pPr>
            <w:r>
              <w:rPr>
                <w:rFonts w:ascii="Arial" w:cs="Arial" w:eastAsia="Arial" w:hAnsi="Arial"/>
                <w:sz w:val="18"/>
                <w:szCs w:val="18"/>
                <w:color w:val="auto"/>
              </w:rPr>
              <w:t>100 ppm</w:t>
            </w:r>
          </w:p>
        </w:tc>
        <w:tc>
          <w:tcPr>
            <w:tcW w:w="1360" w:type="dxa"/>
            <w:vAlign w:val="bottom"/>
          </w:tcPr>
          <w:p>
            <w:pPr>
              <w:ind w:left="280"/>
              <w:spacing w:after="0"/>
              <w:rPr>
                <w:sz w:val="20"/>
                <w:szCs w:val="20"/>
                <w:color w:val="auto"/>
              </w:rPr>
            </w:pPr>
            <w:r>
              <w:rPr>
                <w:rFonts w:ascii="Arial" w:cs="Arial" w:eastAsia="Arial" w:hAnsi="Arial"/>
                <w:sz w:val="18"/>
                <w:szCs w:val="18"/>
                <w:color w:val="auto"/>
              </w:rPr>
              <w:t>80 ppm</w:t>
            </w:r>
          </w:p>
        </w:tc>
        <w:tc>
          <w:tcPr>
            <w:tcW w:w="1100" w:type="dxa"/>
            <w:vAlign w:val="bottom"/>
          </w:tcPr>
          <w:p>
            <w:pPr>
              <w:ind w:left="280"/>
              <w:spacing w:after="0"/>
              <w:rPr>
                <w:sz w:val="20"/>
                <w:szCs w:val="20"/>
                <w:color w:val="auto"/>
              </w:rPr>
            </w:pPr>
            <w:r>
              <w:rPr>
                <w:rFonts w:ascii="Arial" w:cs="Arial" w:eastAsia="Arial" w:hAnsi="Arial"/>
                <w:sz w:val="18"/>
                <w:szCs w:val="18"/>
                <w:color w:val="auto"/>
              </w:rPr>
              <w:t>120 ppm</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 Nitrogen</w:t>
            </w:r>
          </w:p>
        </w:tc>
        <w:tc>
          <w:tcPr>
            <w:tcW w:w="152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28.00%</w:t>
            </w:r>
          </w:p>
        </w:tc>
        <w:tc>
          <w:tcPr>
            <w:tcW w:w="1360" w:type="dxa"/>
            <w:vAlign w:val="bottom"/>
          </w:tcPr>
          <w:p>
            <w:pPr>
              <w:ind w:left="280"/>
              <w:spacing w:after="0"/>
              <w:rPr>
                <w:sz w:val="20"/>
                <w:szCs w:val="20"/>
                <w:color w:val="auto"/>
              </w:rPr>
            </w:pPr>
            <w:r>
              <w:rPr>
                <w:rFonts w:ascii="Arial" w:cs="Arial" w:eastAsia="Arial" w:hAnsi="Arial"/>
                <w:sz w:val="18"/>
                <w:szCs w:val="18"/>
                <w:color w:val="auto"/>
              </w:rPr>
              <w:t>27.80%</w:t>
            </w:r>
          </w:p>
        </w:tc>
        <w:tc>
          <w:tcPr>
            <w:tcW w:w="1100" w:type="dxa"/>
            <w:vAlign w:val="bottom"/>
          </w:tcPr>
          <w:p>
            <w:pPr>
              <w:ind w:left="280"/>
              <w:spacing w:after="0"/>
              <w:rPr>
                <w:sz w:val="20"/>
                <w:szCs w:val="20"/>
                <w:color w:val="auto"/>
              </w:rPr>
            </w:pPr>
            <w:r>
              <w:rPr>
                <w:rFonts w:ascii="Arial" w:cs="Arial" w:eastAsia="Arial" w:hAnsi="Arial"/>
                <w:sz w:val="18"/>
                <w:szCs w:val="18"/>
                <w:color w:val="auto"/>
              </w:rPr>
              <w:t>28.50%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Approx. Salt Out Temp (deg F)</w:t>
            </w:r>
          </w:p>
        </w:tc>
        <w:tc>
          <w:tcPr>
            <w:tcW w:w="1520" w:type="dxa"/>
            <w:vAlign w:val="bottom"/>
          </w:tcPr>
          <w:p>
            <w:pPr>
              <w:ind w:left="600"/>
              <w:spacing w:after="0"/>
              <w:rPr>
                <w:sz w:val="20"/>
                <w:szCs w:val="20"/>
                <w:color w:val="auto"/>
              </w:rPr>
            </w:pPr>
            <w:r>
              <w:rPr>
                <w:rFonts w:ascii="Arial" w:cs="Arial" w:eastAsia="Arial" w:hAnsi="Arial"/>
                <w:sz w:val="18"/>
                <w:szCs w:val="18"/>
                <w:color w:val="auto"/>
              </w:rPr>
              <w:t>Deg F</w:t>
            </w:r>
          </w:p>
        </w:tc>
        <w:tc>
          <w:tcPr>
            <w:tcW w:w="1540" w:type="dxa"/>
            <w:vAlign w:val="bottom"/>
          </w:tcPr>
          <w:p>
            <w:pPr>
              <w:ind w:left="440"/>
              <w:spacing w:after="0"/>
              <w:rPr>
                <w:sz w:val="20"/>
                <w:szCs w:val="20"/>
                <w:color w:val="auto"/>
              </w:rPr>
            </w:pPr>
            <w:r>
              <w:rPr>
                <w:rFonts w:ascii="Arial" w:cs="Arial" w:eastAsia="Arial" w:hAnsi="Arial"/>
                <w:sz w:val="18"/>
                <w:szCs w:val="18"/>
                <w:color w:val="auto"/>
              </w:rPr>
              <w:t>0 F</w:t>
            </w:r>
          </w:p>
        </w:tc>
        <w:tc>
          <w:tcPr>
            <w:tcW w:w="1360" w:type="dxa"/>
            <w:vAlign w:val="bottom"/>
          </w:tcPr>
          <w:p>
            <w:pPr>
              <w:ind w:left="280"/>
              <w:spacing w:after="0"/>
              <w:rPr>
                <w:sz w:val="20"/>
                <w:szCs w:val="20"/>
                <w:color w:val="auto"/>
              </w:rPr>
            </w:pPr>
            <w:r>
              <w:rPr>
                <w:rFonts w:ascii="Arial" w:cs="Arial" w:eastAsia="Arial" w:hAnsi="Arial"/>
                <w:sz w:val="18"/>
                <w:szCs w:val="18"/>
                <w:color w:val="auto"/>
              </w:rPr>
              <w:t>0 F</w:t>
            </w:r>
          </w:p>
        </w:tc>
        <w:tc>
          <w:tcPr>
            <w:tcW w:w="1100" w:type="dxa"/>
            <w:vAlign w:val="bottom"/>
          </w:tcPr>
          <w:p>
            <w:pPr>
              <w:ind w:left="280"/>
              <w:spacing w:after="0"/>
              <w:rPr>
                <w:sz w:val="20"/>
                <w:szCs w:val="20"/>
                <w:color w:val="auto"/>
              </w:rPr>
            </w:pPr>
            <w:r>
              <w:rPr>
                <w:rFonts w:ascii="Arial" w:cs="Arial" w:eastAsia="Arial" w:hAnsi="Arial"/>
                <w:sz w:val="18"/>
                <w:szCs w:val="18"/>
                <w:color w:val="auto"/>
              </w:rPr>
              <w:t>0 F</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Approx. Salt Out Temp (deg C)</w:t>
            </w:r>
          </w:p>
        </w:tc>
        <w:tc>
          <w:tcPr>
            <w:tcW w:w="1520" w:type="dxa"/>
            <w:vAlign w:val="bottom"/>
          </w:tcPr>
          <w:p>
            <w:pPr>
              <w:ind w:left="600"/>
              <w:spacing w:after="0"/>
              <w:rPr>
                <w:sz w:val="20"/>
                <w:szCs w:val="20"/>
                <w:color w:val="auto"/>
              </w:rPr>
            </w:pPr>
            <w:r>
              <w:rPr>
                <w:rFonts w:ascii="Arial" w:cs="Arial" w:eastAsia="Arial" w:hAnsi="Arial"/>
                <w:sz w:val="18"/>
                <w:szCs w:val="18"/>
                <w:color w:val="auto"/>
              </w:rPr>
              <w:t>Deg C</w:t>
            </w:r>
          </w:p>
        </w:tc>
        <w:tc>
          <w:tcPr>
            <w:tcW w:w="1540" w:type="dxa"/>
            <w:vAlign w:val="bottom"/>
          </w:tcPr>
          <w:p>
            <w:pPr>
              <w:ind w:left="440"/>
              <w:spacing w:after="0"/>
              <w:rPr>
                <w:sz w:val="20"/>
                <w:szCs w:val="20"/>
                <w:color w:val="auto"/>
              </w:rPr>
            </w:pPr>
            <w:r>
              <w:rPr>
                <w:rFonts w:ascii="Arial" w:cs="Arial" w:eastAsia="Arial" w:hAnsi="Arial"/>
                <w:sz w:val="18"/>
                <w:szCs w:val="18"/>
                <w:color w:val="auto"/>
              </w:rPr>
              <w:t>- 18 C</w:t>
            </w:r>
          </w:p>
        </w:tc>
        <w:tc>
          <w:tcPr>
            <w:tcW w:w="1360" w:type="dxa"/>
            <w:vAlign w:val="bottom"/>
          </w:tcPr>
          <w:p>
            <w:pPr>
              <w:ind w:left="280"/>
              <w:spacing w:after="0"/>
              <w:rPr>
                <w:sz w:val="20"/>
                <w:szCs w:val="20"/>
                <w:color w:val="auto"/>
              </w:rPr>
            </w:pPr>
            <w:r>
              <w:rPr>
                <w:rFonts w:ascii="Arial" w:cs="Arial" w:eastAsia="Arial" w:hAnsi="Arial"/>
                <w:sz w:val="18"/>
                <w:szCs w:val="18"/>
                <w:color w:val="auto"/>
              </w:rPr>
              <w:t>- 18 C</w:t>
            </w:r>
          </w:p>
        </w:tc>
        <w:tc>
          <w:tcPr>
            <w:tcW w:w="1100" w:type="dxa"/>
            <w:vAlign w:val="bottom"/>
          </w:tcPr>
          <w:p>
            <w:pPr>
              <w:ind w:left="280"/>
              <w:spacing w:after="0"/>
              <w:rPr>
                <w:sz w:val="20"/>
                <w:szCs w:val="20"/>
                <w:color w:val="auto"/>
              </w:rPr>
            </w:pPr>
            <w:r>
              <w:rPr>
                <w:rFonts w:ascii="Arial" w:cs="Arial" w:eastAsia="Arial" w:hAnsi="Arial"/>
                <w:sz w:val="18"/>
                <w:szCs w:val="18"/>
                <w:color w:val="auto"/>
              </w:rPr>
              <w:t>- 18 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600" w:right="50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Product Pricing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 Price</w:t>
      </w:r>
      <w:r>
        <w:rPr>
          <w:rFonts w:ascii="Arial" w:cs="Arial" w:eastAsia="Arial" w:hAnsi="Arial"/>
          <w:sz w:val="18"/>
          <w:szCs w:val="18"/>
          <w:b w:val="1"/>
          <w:bCs w:val="1"/>
          <w:color w:val="auto"/>
        </w:rPr>
        <w: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Buyer will prepare and email to Seller an order acknowledgment for all Product orders that are to be sold from Seller’s Facility. The order acknowledgement will include the quantity to be sold and the Net Sales Price, with the Net Sales Price being equal to the following: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Where:</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1" w:name="page62"/>
    <w:bookmarkEnd w:id="61"/>
    <w:p>
      <w:pPr>
        <w:jc w:val="center"/>
        <w:ind w:right="-11"/>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592" w:right="52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Appendix III</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Additional Terms and Conditions</w:t>
      </w:r>
    </w:p>
    <w:p>
      <w:pPr>
        <w:spacing w:after="0" w:line="207" w:lineRule="exact"/>
        <w:rPr>
          <w:sz w:val="20"/>
          <w:szCs w:val="20"/>
          <w:color w:val="auto"/>
        </w:rPr>
      </w:pPr>
    </w:p>
    <w:p>
      <w:pPr>
        <w:ind w:left="-8" w:right="40" w:firstLine="8"/>
        <w:spacing w:after="0" w:line="314" w:lineRule="auto"/>
        <w:tabs>
          <w:tab w:leader="none" w:pos="172"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Product Measurement. </w:t>
      </w:r>
      <w:r>
        <w:rPr>
          <w:rFonts w:ascii="Arial" w:cs="Arial" w:eastAsia="Arial" w:hAnsi="Arial"/>
          <w:sz w:val="16"/>
          <w:szCs w:val="16"/>
          <w:color w:val="auto"/>
        </w:rPr>
        <w:t>Products shall be measured by calibrated meters or scales. Product weights shall be measured in short tons (2,000 pounds).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volumes shall be rounded to the nearest three decimal places. Upon request and within reason, each Party shall have the right to have a representative witness tests of applicable meters and scales and measurements of Products. Measurements shall be deemed to be correct absent manifest error.</w:t>
      </w:r>
    </w:p>
    <w:p>
      <w:pPr>
        <w:spacing w:after="0" w:line="142" w:lineRule="exact"/>
        <w:rPr>
          <w:rFonts w:ascii="Arial" w:cs="Arial" w:eastAsia="Arial" w:hAnsi="Arial"/>
          <w:sz w:val="16"/>
          <w:szCs w:val="16"/>
          <w:color w:val="auto"/>
        </w:rPr>
      </w:pPr>
    </w:p>
    <w:p>
      <w:pPr>
        <w:ind w:left="-8" w:firstLine="8"/>
        <w:spacing w:after="0" w:line="255" w:lineRule="auto"/>
        <w:tabs>
          <w:tab w:leader="none" w:pos="17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Limited Representations and Warranties. </w:t>
      </w:r>
      <w:r>
        <w:rPr>
          <w:rFonts w:ascii="Arial" w:cs="Arial" w:eastAsia="Arial" w:hAnsi="Arial"/>
          <w:sz w:val="18"/>
          <w:szCs w:val="18"/>
          <w:color w:val="auto"/>
        </w:rPr>
        <w:t>Seller represents and warrants to Buyer that the Products will conform to the specifications for the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Product is delivered free from lawful security interests, liens, and encumbrances (collectively, the “Limited Representations and Warranties”). THERE ARE NO WARRANTIES WHICH EXTEND BEYOND THE DESCRIPTION ON THE FACE HEREOF. SELLER MAKES NO OTHER REPRESENTATIONS OR WARRANTIES, EXPRESS OR IMPLIED, INCLUDING BUT NOT LIMITED TO ANY WARRANTY OF MERCHANTABILITY OR FITNESS OF THE PRODUCTS FOR A PARTICULAR PURPOSE (EVEN IF SUCH PURPOSE IS KNOWN TO SELLER), OR ANY WARRANTY AGAINST INFRINGEMENT (INCLUDING INFRINGEMENT OF PATENT AND TRADEMARK RIGHTS). ANY IMPLIED WARRANTIES ARE EXPRESSLY DISCLAIMED AND EXCLUDED.</w:t>
      </w:r>
    </w:p>
    <w:p>
      <w:pPr>
        <w:spacing w:after="0" w:line="189" w:lineRule="exact"/>
        <w:rPr>
          <w:rFonts w:ascii="Arial" w:cs="Arial" w:eastAsia="Arial" w:hAnsi="Arial"/>
          <w:sz w:val="18"/>
          <w:szCs w:val="18"/>
          <w:color w:val="auto"/>
        </w:rPr>
      </w:pPr>
    </w:p>
    <w:p>
      <w:pPr>
        <w:ind w:left="-8" w:firstLine="8"/>
        <w:spacing w:after="0" w:line="289" w:lineRule="auto"/>
        <w:tabs>
          <w:tab w:leader="none" w:pos="172"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All prices for Products shall be exclusive of all sales, use, and excise taxes, and any other similar taxes, duties, assessments, and charges of any kind</w:t>
      </w:r>
      <w:r>
        <w:rPr>
          <w:rFonts w:ascii="Arial" w:cs="Arial" w:eastAsia="Arial" w:hAnsi="Arial"/>
          <w:sz w:val="17"/>
          <w:szCs w:val="17"/>
          <w:b w:val="1"/>
          <w:bCs w:val="1"/>
          <w:color w:val="auto"/>
        </w:rPr>
        <w:t xml:space="preserve"> </w:t>
      </w:r>
      <w:r>
        <w:rPr>
          <w:rFonts w:ascii="Arial" w:cs="Arial" w:eastAsia="Arial" w:hAnsi="Arial"/>
          <w:sz w:val="17"/>
          <w:szCs w:val="17"/>
          <w:color w:val="auto"/>
        </w:rPr>
        <w:t>imposed by any governmental authority (collectively, “Taxes”), and Buyer shall be responsible for and pay all such Taxes, provided that Buyer shall not be responsible for any Taxes imposed on Seller with respect to Seller’s income, personnel, or real or personal property.</w:t>
      </w:r>
    </w:p>
    <w:p>
      <w:pPr>
        <w:spacing w:after="0" w:line="158" w:lineRule="exact"/>
        <w:rPr>
          <w:rFonts w:ascii="Arial" w:cs="Arial" w:eastAsia="Arial" w:hAnsi="Arial"/>
          <w:sz w:val="17"/>
          <w:szCs w:val="17"/>
          <w:color w:val="auto"/>
        </w:rPr>
      </w:pPr>
    </w:p>
    <w:p>
      <w:pPr>
        <w:ind w:left="-8" w:firstLine="8"/>
        <w:spacing w:after="0" w:line="287" w:lineRule="auto"/>
        <w:tabs>
          <w:tab w:leader="none" w:pos="172"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Except with respect to payment for delivered Products, neither Party shall be liable or responsible for any failure or delay in performing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or any loss or damage resulting therefrom, when and to the extent such failure or delay is caused by or results from acts or circumstances beyond its reasonable control, acts of God, the elements, floods, fires, explosions, storms, earthquakes, power outages, wars, invasions or hostilities (whether war is declared or not), terrorist threats or acts, military operations, national emergencies, riots or civil unrest, revolution, insurrections, epidemics, government proration or regulation, newly implemented or enforced laws, regulations, or ordinances, actions of courts of competent jurisdiction, strikes, lockouts, differences with workmen, labor disturbances or disputes (whether or not relating to either Party’s workforce), breakage or breakdown of equipment, facilities, tankage, or pipelines, shortage of supplies or raw materials, or restraints or delays affecting carriers, manufacturers, or distributors, provided that, if the event in question continues for a continuous period in excess of 120 days, either Party may terminate the Agreement and these General Terms and Conditions or any Transaction Agreement with respect to future deliveries of Products upon notice to the other Party. If by reason of any such circumstances, Seller's supply of Products is insufficient to meet all of its delivery requirements, Seller shall have the right, at its option, and without liability to Buyer, to apportion its available Products among any and all parties to which it is obligated to make deliveries, including its affiliated divisions and companies, in such manner as Seller reasonably believes fair and equitable, including, but not limited to, an allocation based on historical or planned deliveries. Seller shall have no obligation to make up any shortages to Buyer resulting from any allocation hereunder.</w:t>
      </w:r>
    </w:p>
    <w:p>
      <w:pPr>
        <w:spacing w:after="0" w:line="164" w:lineRule="exact"/>
        <w:rPr>
          <w:rFonts w:ascii="Arial" w:cs="Arial" w:eastAsia="Arial" w:hAnsi="Arial"/>
          <w:sz w:val="16"/>
          <w:szCs w:val="16"/>
          <w:color w:val="auto"/>
        </w:rPr>
      </w:pPr>
    </w:p>
    <w:p>
      <w:pPr>
        <w:ind w:left="-8" w:right="220" w:firstLine="8"/>
        <w:spacing w:after="0" w:line="292" w:lineRule="auto"/>
        <w:tabs>
          <w:tab w:leader="none" w:pos="172"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Hazard Warnings; Safety Data Sheets. </w:t>
      </w:r>
      <w:r>
        <w:rPr>
          <w:rFonts w:ascii="Arial" w:cs="Arial" w:eastAsia="Arial" w:hAnsi="Arial"/>
          <w:sz w:val="16"/>
          <w:szCs w:val="16"/>
          <w:color w:val="auto"/>
        </w:rPr>
        <w:t>Seller has provided Buyer with Safety Data Sheets for the Products (the “Safety Data Sheets”). Buyer</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acknowledges the risks and hazards associated with handling and using the Products. Buyer represents that it has complete knowledge of the hazards of the Products and that it undertakes and assumes full responsibility to maintain, observe, and communicate adequately to its agents, employees, customers, and contractors all necessary information for the safe handling and use of the Products. Buyer agrees without limitation to promptly and properly provide to its employees, customers, and community representatives, as appropriate, any information provided by Seller relating to hazards, human health, or human or environmental safety on the Products. Buyer assumes, as to its employees, independent contractors, and subsequent purchasers of the Products, all responsibility for all such necessary warnings or other precautionary measures relating to hazards to person and property associated with the Products.</w:t>
      </w:r>
    </w:p>
    <w:p>
      <w:pPr>
        <w:spacing w:after="0" w:line="161" w:lineRule="exact"/>
        <w:rPr>
          <w:rFonts w:ascii="Arial" w:cs="Arial" w:eastAsia="Arial" w:hAnsi="Arial"/>
          <w:sz w:val="16"/>
          <w:szCs w:val="16"/>
          <w:color w:val="auto"/>
        </w:rPr>
      </w:pPr>
    </w:p>
    <w:p>
      <w:pPr>
        <w:ind w:left="-8" w:right="160" w:firstLine="8"/>
        <w:spacing w:after="0" w:line="256" w:lineRule="auto"/>
        <w:tabs>
          <w:tab w:leader="none" w:pos="17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Exclusion of Certain Types of Damages. </w:t>
      </w:r>
      <w:r>
        <w:rPr>
          <w:rFonts w:ascii="Arial" w:cs="Arial" w:eastAsia="Arial" w:hAnsi="Arial"/>
          <w:sz w:val="18"/>
          <w:szCs w:val="18"/>
          <w:color w:val="auto"/>
        </w:rPr>
        <w:t>EXCEPT WITH RESPECT TO CLAIMS MADE BY THIRD PARTIES FOR WHICH SELLER HAS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INDEMNIFY BUYER, NEITHER PARTY SHALL BE LIABLE TO THE OTHER UNDER ANY CIRCUMSTANCES FOR ANY DAMAGES PERTAINING TO LOSS OF USE, LOSS OF REVENUE, LOSS OF PROFIT, OR BUSINESS INTERRUPTION, OR FOR ANY INDIRECT, INCIDENTAL, CONSEQUENTIAL, PUNITIVE, SPECIAL, OR SPECULATIVE DAMAGES, WHETHER ARISING OUT OF BREACH OF CONTRACT, TORT, OR OTHERWISE, REGARDLESS OF WHETHER SUCH DAMAGES WERE FORESEEABLE AND WHETHER OR NOT EITHER PARTY HAS</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SPECIFIC TERMS IN THIS EXHIBIT HAVE BEEN REDACTED BECAUSE CONFIDENTIAL TREATMENT OF THOSE TERMS HAS BEEN</w:t>
      </w:r>
    </w:p>
    <w:p>
      <w:pPr>
        <w:spacing w:after="0" w:line="27" w:lineRule="exact"/>
        <w:rPr>
          <w:sz w:val="20"/>
          <w:szCs w:val="20"/>
          <w:color w:val="auto"/>
        </w:rPr>
      </w:pPr>
    </w:p>
    <w:p>
      <w:pPr>
        <w:jc w:val="both"/>
        <w:ind w:left="600" w:right="520" w:hanging="57"/>
        <w:spacing w:after="0" w:line="261" w:lineRule="auto"/>
        <w:rPr>
          <w:sz w:val="20"/>
          <w:szCs w:val="20"/>
          <w:color w:val="auto"/>
        </w:rPr>
      </w:pPr>
      <w:r>
        <w:rPr>
          <w:rFonts w:ascii="Arial" w:cs="Arial" w:eastAsia="Arial" w:hAnsi="Arial"/>
          <w:sz w:val="18"/>
          <w:szCs w:val="18"/>
          <w:b w:val="1"/>
          <w:bCs w:val="1"/>
          <w:color w:val="auto"/>
        </w:rPr>
        <w:t>REQUESTED. THE REDACTED MATERIAL HAS BEEN SEPARATELY SUBMITTED TO THE SECURITIES AND EXCHANGE COMMISSION, AND THE TERMS HAVE BEEN MARKED AT THE APPROPRIATE PLACE WITH THREE ASTERISKS (***).</w:t>
      </w:r>
    </w:p>
    <w:p>
      <w:pPr>
        <w:spacing w:after="0" w:line="40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BEEN ADVISED OF THE POSSIBILITY OF SUCH DAMAGES, AND NOTWITHSTANDING THE FAILURE OF ANY AGREED OR OTHER REMEDY OF ITS ESSENTIAL PURPOSE.</w:t>
      </w:r>
    </w:p>
    <w:p>
      <w:pPr>
        <w:spacing w:after="0" w:line="166"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140" w:firstLine="8"/>
        <w:spacing w:after="0" w:line="259"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between the Parties must be in writing (which shall include electronic mail (“Email”)) and will be effective, and any applicable time period shall commence, when (a) delivered to the recipient Party at the address given by the Recipient Party in a Transaction Agreement by a nationally recognized delivery service (costs prepaid) with evidence of delivery or (b) transmitted by Email to the recipient Party at the Email address given by the Recipient Party in a Transaction Agreement.</w:t>
      </w:r>
    </w:p>
    <w:p>
      <w:pPr>
        <w:spacing w:after="0" w:line="186" w:lineRule="exact"/>
        <w:rPr>
          <w:rFonts w:ascii="Arial" w:cs="Arial" w:eastAsia="Arial" w:hAnsi="Arial"/>
          <w:sz w:val="18"/>
          <w:szCs w:val="18"/>
          <w:color w:val="auto"/>
        </w:rPr>
      </w:pPr>
    </w:p>
    <w:p>
      <w:pPr>
        <w:ind w:right="160" w:firstLine="8"/>
        <w:spacing w:after="0" w:line="259"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and these General Terms and Conditions, supersede all prior agreements, whether written or oral, between the Parties with respect to the relevant subject matter and constitute (along with any exhibits or other documents to be delivered pursuant thereto) a complete and exclusive statement of the terms of agreement between the Parties. The Agreement and these General Terms and Conditions may only be amended, supplemented, or modified by a writing executed by each of the Parties.</w:t>
      </w:r>
    </w:p>
    <w:p>
      <w:pPr>
        <w:spacing w:after="0" w:line="186" w:lineRule="exact"/>
        <w:rPr>
          <w:rFonts w:ascii="Arial" w:cs="Arial" w:eastAsia="Arial" w:hAnsi="Arial"/>
          <w:sz w:val="18"/>
          <w:szCs w:val="18"/>
          <w:color w:val="auto"/>
        </w:rPr>
      </w:pPr>
    </w:p>
    <w:p>
      <w:pPr>
        <w:ind w:right="20" w:firstLine="8"/>
        <w:spacing w:after="0" w:line="279" w:lineRule="auto"/>
        <w:tabs>
          <w:tab w:leader="none" w:pos="24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matters relating to or arising out of these General Terms and Conditions or any Transaction Agreement, whether sounding in contract, tort, or otherwise, will be governed by and construed and interpreted under the laws of the State of Kansas without regard to conflicts of laws principles that would require the application of any other State’s law. The United Nations Convention on Contracts for the International Sale of Goods or any subsequently enacted treaty or convention of similar nature shall not apply to these General Terms and Conditions or any Transaction Agreement.</w:t>
      </w:r>
    </w:p>
    <w:p>
      <w:pPr>
        <w:spacing w:after="0" w:line="171" w:lineRule="exact"/>
        <w:rPr>
          <w:rFonts w:ascii="Arial" w:cs="Arial" w:eastAsia="Arial" w:hAnsi="Arial"/>
          <w:sz w:val="17"/>
          <w:szCs w:val="17"/>
          <w:color w:val="auto"/>
        </w:rPr>
      </w:pPr>
    </w:p>
    <w:p>
      <w:pPr>
        <w:jc w:val="both"/>
        <w:ind w:right="18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KNOWINGLY, VOLUNTARILY, AND INTENTIONALLY, WAIVES ITS RIGHT TO TRIAL BY JURY IN ANY PROCEEDING ARISING OUT OF OR RELATING TO THE AGREEMENT AND THESE GENERAL TERMS AND CONDITIONS OR ANY TRANSACTION AGREEMENT, WHETHER SOUNDING IN CONTRACT, TORT, OR OTHERWISE.</w:t>
      </w:r>
    </w:p>
    <w:p>
      <w:pPr>
        <w:spacing w:after="0" w:line="181" w:lineRule="exact"/>
        <w:rPr>
          <w:rFonts w:ascii="Arial" w:cs="Arial" w:eastAsia="Arial" w:hAnsi="Arial"/>
          <w:sz w:val="18"/>
          <w:szCs w:val="18"/>
          <w:color w:val="auto"/>
        </w:rPr>
      </w:pPr>
    </w:p>
    <w:p>
      <w:pPr>
        <w:ind w:right="40" w:firstLine="8"/>
        <w:spacing w:after="0" w:line="312" w:lineRule="auto"/>
        <w:tabs>
          <w:tab w:leader="none" w:pos="24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Except as expressly provided otherwise in the Agreement and these General Terms and Conditions, neither any failure nor any delay by any Party in exercising any right, power, or privilege will operate as a waiver of such right, power, or privilege, and no single or partial exercise of any such right, power, or privilege will preclude any other or further exercise of such right, power, or privilege or the exercise of any other right, power, or privilege.</w:t>
      </w:r>
    </w:p>
    <w:p>
      <w:pPr>
        <w:spacing w:after="0" w:line="146" w:lineRule="exact"/>
        <w:rPr>
          <w:rFonts w:ascii="Arial" w:cs="Arial" w:eastAsia="Arial" w:hAnsi="Arial"/>
          <w:sz w:val="16"/>
          <w:szCs w:val="16"/>
          <w:color w:val="auto"/>
        </w:rPr>
      </w:pPr>
    </w:p>
    <w:p>
      <w:pPr>
        <w:ind w:right="120" w:firstLine="8"/>
        <w:spacing w:after="0" w:line="264" w:lineRule="auto"/>
        <w:tabs>
          <w:tab w:leader="none" w:pos="22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Except as may be expressly set forth in the Agreement and these General Terms and Conditions, nothing in these General Terms and Conditions or any Transaction Agreement shall entitle any person other than Seller or Buyer, or their successors or assigns, to any claim, cause of action, right, or remedy of any kind relating to the matters contemplated hereby.</w:t>
      </w:r>
    </w:p>
    <w:p>
      <w:pPr>
        <w:spacing w:after="0" w:line="181" w:lineRule="exact"/>
        <w:rPr>
          <w:rFonts w:ascii="Arial" w:cs="Arial" w:eastAsia="Arial" w:hAnsi="Arial"/>
          <w:sz w:val="18"/>
          <w:szCs w:val="18"/>
          <w:color w:val="auto"/>
        </w:rPr>
      </w:pPr>
    </w:p>
    <w:p>
      <w:pPr>
        <w:ind w:right="120" w:firstLine="8"/>
        <w:spacing w:after="0" w:line="308"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the Agreement and these General Terms and Conditions which expressly or by their nature are intended to survive the termination shall continue in full force and effect notwithstanding the termination of such other provisions which are not intended to survive.</w:t>
      </w:r>
    </w:p>
    <w:p>
      <w:pPr>
        <w:spacing w:after="0" w:line="146" w:lineRule="exact"/>
        <w:rPr>
          <w:rFonts w:ascii="Arial" w:cs="Arial" w:eastAsia="Arial" w:hAnsi="Arial"/>
          <w:sz w:val="17"/>
          <w:szCs w:val="17"/>
          <w:color w:val="auto"/>
        </w:rPr>
      </w:pPr>
    </w:p>
    <w:p>
      <w:pPr>
        <w:ind w:right="140" w:firstLine="8"/>
        <w:spacing w:after="0" w:line="259"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Agreement and these General Terms and Conditions is held invalid or unenforceable by any court of competent jurisdiction, the other provisions of the Agreement and these General Terms and Conditions will remain in full force and effect. Any provision of the Agreement and these General Terms and Conditions held invalid or unenforceable only in part or degree will remain in full force and effect to the extent not held invalid or unenforceable.</w:t>
      </w:r>
    </w:p>
    <w:p>
      <w:pPr>
        <w:spacing w:after="0" w:line="78" w:lineRule="exact"/>
        <w:rPr>
          <w:rFonts w:ascii="Arial" w:cs="Arial" w:eastAsia="Arial" w:hAnsi="Arial"/>
          <w:sz w:val="18"/>
          <w:szCs w:val="18"/>
          <w:color w:val="auto"/>
        </w:rPr>
      </w:pPr>
    </w:p>
    <w:p>
      <w:pPr>
        <w:ind w:firstLine="8"/>
        <w:spacing w:after="0" w:line="255"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Agreements between the Parties may be executed in one or more counterparts, each of which will be deemed to be an original copy and all of which, when taken together, will be deemed to constitute one and the same agreement or document, and will be effective when counterparts have been signed by each of the Parties and delivered to the other Parties. A manual signature on the signature page to an agreement, an image of which shall have been transmitted electronically, will constitute an original signature for all purposes. The delivery of copies of the signature page an agreement or other document to be delivered pursuant to an agreement, including executed signature pages where required, by electronic transmission will constitute effective delivery for all purposes.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1400"/>
          </w:cols>
          <w:pgMar w:left="240" w:top="121"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2016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2016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upperLetter"/>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lvl w:ilvl="1">
      <w:lvlJc w:val="left"/>
      <w:lvlText w:val="(%2)"/>
      <w:numFmt w:val="upperLetter"/>
      <w:start w:val="1"/>
    </w:lvl>
  </w:abstractNum>
  <w:abstractNum w:abstractNumId="12">
    <w:nsid w:val="189A769B"/>
    <w:multiLevelType w:val="hybridMultilevel"/>
    <w:lvl w:ilvl="0">
      <w:lvlJc w:val="left"/>
      <w:lvlText w:val="(%1)"/>
      <w:numFmt w:val="decimal"/>
      <w:start w:val="4"/>
    </w:lvl>
    <w:lvl w:ilvl="1">
      <w:lvlJc w:val="left"/>
      <w:lvlText w:val="%2"/>
      <w:numFmt w:val="upperLetter"/>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7"/>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2019-12-29T12:11:34Z</dcterms:created>
  <dcterms:modified xsi:type="dcterms:W3CDTF">2019-12-29T12:11:34Z</dcterms:modified>
</cp:coreProperties>
</file>