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ind w:left="500" w:right="2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04"/>
        </w:trPr>
        <w:tc>
          <w:tcPr>
            <w:tcW w:w="328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-205105</wp:posOffset>
            </wp:positionV>
            <wp:extent cx="457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7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8"/>
        </w:trPr>
        <w:tc>
          <w:tcPr>
            <w:tcW w:w="7420" w:type="dxa"/>
            <w:vAlign w:val="bottom"/>
          </w:tcPr>
          <w:p>
            <w:pPr>
              <w:jc w:val="center"/>
              <w:ind w:right="27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7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16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7420" w:type="dxa"/>
            <w:vAlign w:val="bottom"/>
          </w:tcPr>
          <w:p>
            <w:pPr>
              <w:ind w:left="2920"/>
              <w:spacing w:after="0"/>
              <w:rPr>
                <w:sz w:val="20"/>
                <w:szCs w:val="20"/>
                <w:color w:val="auto"/>
              </w:rPr>
            </w:pPr>
            <w:r>
              <w:rPr>
                <w:rFonts w:ascii="Arial" w:cs="Arial" w:eastAsia="Arial" w:hAnsi="Arial"/>
                <w:sz w:val="14"/>
                <w:szCs w:val="14"/>
                <w:b w:val="1"/>
                <w:bCs w:val="1"/>
                <w:color w:val="auto"/>
                <w:w w:val="94"/>
              </w:rPr>
              <w:t xml:space="preserve">(Registrant's telephone number, including area code) </w:t>
            </w:r>
            <w:r>
              <w:rPr>
                <w:rFonts w:ascii="Arial" w:cs="Arial" w:eastAsia="Arial" w:hAnsi="Arial"/>
                <w:sz w:val="17"/>
                <w:szCs w:val="17"/>
                <w:b w:val="1"/>
                <w:bCs w:val="1"/>
                <w:color w:val="auto"/>
                <w:w w:val="94"/>
              </w:rPr>
              <w:t>(405) 235-4546</w:t>
            </w:r>
          </w:p>
        </w:tc>
        <w:tc>
          <w:tcPr>
            <w:tcW w:w="1160" w:type="dxa"/>
            <w:vAlign w:val="bottom"/>
          </w:tcPr>
          <w:p>
            <w:pPr>
              <w:spacing w:after="0"/>
              <w:rPr>
                <w:sz w:val="24"/>
                <w:szCs w:val="24"/>
                <w:color w:val="auto"/>
              </w:rPr>
            </w:pP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LXU</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4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8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20" w:type="dxa"/>
            <w:vAlign w:val="bottom"/>
          </w:tcPr>
          <w:p>
            <w:pPr>
              <w:ind w:left="286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29,303,216 shares as of May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9800" w:type="dxa"/>
            <w:vAlign w:val="bottom"/>
          </w:tcPr>
          <w:p>
            <w:pPr>
              <w:ind w:left="3780"/>
              <w:spacing w:after="0"/>
              <w:rPr>
                <w:sz w:val="20"/>
                <w:szCs w:val="20"/>
                <w:color w:val="auto"/>
              </w:rPr>
            </w:pPr>
            <w:r>
              <w:rPr>
                <w:rFonts w:ascii="Arial" w:cs="Arial" w:eastAsia="Arial" w:hAnsi="Arial"/>
                <w:sz w:val="18"/>
                <w:szCs w:val="18"/>
                <w:color w:val="auto"/>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20"/>
                <w:szCs w:val="20"/>
                <w:color w:val="auto"/>
              </w:rPr>
            </w:pPr>
          </w:p>
        </w:tc>
      </w:tr>
      <w:tr>
        <w:trPr>
          <w:trHeight w:val="42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tcPr>
          <w:p>
            <w:pPr>
              <w:ind w:left="1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tcPr>
          <w:p>
            <w:pPr>
              <w:ind w:left="1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32"/>
        </w:trPr>
        <w:tc>
          <w:tcPr>
            <w:tcW w:w="780" w:type="dxa"/>
            <w:vAlign w:val="bottom"/>
          </w:tcPr>
          <w:p>
            <w:pPr>
              <w:spacing w:after="0"/>
              <w:rPr>
                <w:sz w:val="24"/>
                <w:szCs w:val="24"/>
                <w:color w:val="auto"/>
              </w:rPr>
            </w:pPr>
          </w:p>
        </w:tc>
        <w:tc>
          <w:tcPr>
            <w:tcW w:w="9800" w:type="dxa"/>
            <w:vAlign w:val="bottom"/>
          </w:tcPr>
          <w:p>
            <w:pPr>
              <w:ind w:left="3880"/>
              <w:spacing w:after="0"/>
              <w:rPr>
                <w:sz w:val="20"/>
                <w:szCs w:val="20"/>
                <w:color w:val="auto"/>
              </w:rPr>
            </w:pPr>
            <w:r>
              <w:rPr>
                <w:rFonts w:ascii="Arial" w:cs="Arial" w:eastAsia="Arial" w:hAnsi="Arial"/>
                <w:sz w:val="18"/>
                <w:szCs w:val="18"/>
                <w:color w:val="auto"/>
              </w:rPr>
              <w:t>PART II – Other Information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Unregistered Sales of Equity Securities and Use of Proceeds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Defaults Upon Senior Securities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Mining Safety Disclosures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Other Information</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864"/>
        </w:trPr>
        <w:tc>
          <w:tcPr>
            <w:tcW w:w="780" w:type="dxa"/>
            <w:vAlign w:val="bottom"/>
          </w:tcPr>
          <w:p>
            <w:pPr>
              <w:spacing w:after="0"/>
              <w:rPr>
                <w:sz w:val="24"/>
                <w:szCs w:val="24"/>
                <w:color w:val="auto"/>
              </w:rPr>
            </w:pPr>
          </w:p>
        </w:tc>
        <w:tc>
          <w:tcPr>
            <w:tcW w:w="9800" w:type="dxa"/>
            <w:vAlign w:val="bottom"/>
          </w:tcPr>
          <w:p>
            <w:pPr>
              <w:ind w:left="480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9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(Information at March 31, 2020 is unaudited)</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c>
          <w:tcPr>
            <w:tcW w:w="2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7"/>
        </w:trPr>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gridSpan w:val="6"/>
          </w:tcPr>
          <w:p>
            <w:pPr>
              <w:jc w:val="right"/>
              <w:ind w:right="136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r>
      <w:tr>
        <w:trPr>
          <w:trHeight w:val="232"/>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4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37,483</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51,060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Allowance for doubtful accounts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r>
      <w:tr>
        <w:trPr>
          <w:trHeight w:val="223"/>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Inventories: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Finished goods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Raw materials</w:t>
            </w:r>
          </w:p>
        </w:tc>
        <w:tc>
          <w:tcPr>
            <w:tcW w:w="4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320" w:type="dxa"/>
            <w:vAlign w:val="bottom"/>
            <w:gridSpan w:val="2"/>
          </w:tcPr>
          <w:p>
            <w:pPr>
              <w:ind w:left="380"/>
              <w:spacing w:after="0"/>
              <w:rPr>
                <w:sz w:val="20"/>
                <w:szCs w:val="20"/>
                <w:color w:val="auto"/>
              </w:rPr>
            </w:pPr>
            <w:r>
              <w:rPr>
                <w:rFonts w:ascii="Arial" w:cs="Arial" w:eastAsia="Arial" w:hAnsi="Arial"/>
                <w:sz w:val="18"/>
                <w:szCs w:val="18"/>
                <w:color w:val="auto"/>
              </w:rPr>
              <w:t>Total inventories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Supplies, prepaid items and other:</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Prepaid insurance</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Supplies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3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4"/>
              </w:rPr>
              <w:t>Total supplies, prepaid items and other</w:t>
            </w:r>
          </w:p>
        </w:tc>
        <w:tc>
          <w:tcPr>
            <w:tcW w:w="4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157,235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130,873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928,393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936,474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Intangible and other assets, net</w:t>
            </w:r>
          </w:p>
        </w:tc>
        <w:tc>
          <w:tcPr>
            <w:tcW w:w="4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2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4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1,110,151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1,088,489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2020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r>
      <w:tr>
        <w:trPr>
          <w:trHeight w:val="230"/>
        </w:trPr>
        <w:tc>
          <w:tcPr>
            <w:tcW w:w="7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7"/>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5"/>
          </w:tcPr>
          <w:p>
            <w:pPr>
              <w:ind w:left="960"/>
              <w:spacing w:after="0"/>
              <w:rPr>
                <w:sz w:val="20"/>
                <w:szCs w:val="20"/>
                <w:color w:val="auto"/>
              </w:rPr>
            </w:pPr>
            <w:r>
              <w:rPr>
                <w:rFonts w:ascii="Arial" w:cs="Arial" w:eastAsia="Arial" w:hAnsi="Arial"/>
                <w:sz w:val="16"/>
                <w:szCs w:val="16"/>
                <w:color w:val="auto"/>
              </w:rPr>
              <w:t>(In Thousands)</w:t>
            </w:r>
          </w:p>
        </w:tc>
      </w:tr>
      <w:tr>
        <w:trPr>
          <w:trHeight w:val="23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Short-term financing</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6,893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and other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111,112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103,300</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480,837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449,634</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$251,108,000 ($242,800,000 at December 31, 2019)</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243,704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234,893</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aggregate liquidation preference of $100</w:t>
            </w:r>
          </w:p>
        </w:tc>
        <w:tc>
          <w:tcPr>
            <w:tcW w:w="2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shares issued and outstanding; aggregate liquidation preference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$3,085,000 ($3,025,000 at December 31, 2019)</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1,000,000 shares issued and outstanding; aggregate liquidation preference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$1,267,000 ($1,252,000 at December 31, 2019)</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Common stock, $.10 par value; 75,000,000 shares authorized,</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31,283,210 shares issued</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196,972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196,833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57,632</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232,469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260,593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Less treasury stock, at cost:</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1,979,994 shares (2,009,566 shares at December 31, 2019)</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219,495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247,327</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1,110,151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1,088,489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20" w:type="dxa"/>
            <w:vAlign w:val="bottom"/>
            <w:gridSpan w:val="4"/>
          </w:tcPr>
          <w:p>
            <w:pPr>
              <w:jc w:val="center"/>
              <w:ind w:left="492"/>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3"/>
          </w:tcPr>
          <w:p>
            <w:pPr>
              <w:jc w:val="center"/>
              <w:ind w:right="330"/>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7"/>
        </w:trPr>
        <w:tc>
          <w:tcPr>
            <w:tcW w:w="41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520" w:type="dxa"/>
            <w:vAlign w:val="bottom"/>
            <w:gridSpan w:val="6"/>
          </w:tcPr>
          <w:p>
            <w:pPr>
              <w:jc w:val="center"/>
              <w:ind w:right="140"/>
              <w:spacing w:after="0"/>
              <w:rPr>
                <w:sz w:val="20"/>
                <w:szCs w:val="20"/>
                <w:color w:val="auto"/>
              </w:rPr>
            </w:pPr>
            <w:r>
              <w:rPr>
                <w:rFonts w:ascii="Arial" w:cs="Arial" w:eastAsia="Arial" w:hAnsi="Arial"/>
                <w:sz w:val="16"/>
                <w:szCs w:val="16"/>
                <w:color w:val="auto"/>
                <w:w w:val="91"/>
              </w:rPr>
              <w:t>(In Thousands, Except Per Share Amounts)</w:t>
            </w:r>
          </w:p>
        </w:tc>
        <w:tc>
          <w:tcPr>
            <w:tcW w:w="20" w:type="dxa"/>
            <w:vAlign w:val="bottom"/>
          </w:tcPr>
          <w:p>
            <w:pPr>
              <w:spacing w:after="0"/>
              <w:rPr>
                <w:sz w:val="17"/>
                <w:szCs w:val="17"/>
                <w:color w:val="auto"/>
              </w:rPr>
            </w:pPr>
          </w:p>
        </w:tc>
      </w:tr>
      <w:tr>
        <w:trPr>
          <w:trHeight w:val="232"/>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540" w:type="dxa"/>
            <w:vAlign w:val="bottom"/>
            <w:gridSpan w:val="2"/>
            <w:shd w:val="clear" w:color="auto" w:fill="CFF0FC"/>
          </w:tcPr>
          <w:p>
            <w:pPr>
              <w:jc w:val="right"/>
              <w:ind w:right="7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83,411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94,152</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5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80,860</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86,834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3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10,006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35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(6,987)</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13,479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provision (benefit) for income taxes</w:t>
            </w:r>
          </w:p>
        </w:tc>
        <w:tc>
          <w:tcPr>
            <w:tcW w:w="35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(19,791)</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(11,140)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5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(19,452)</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(11,540)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3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35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35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(28,338)</w:t>
            </w:r>
          </w:p>
        </w:tc>
        <w:tc>
          <w:tcPr>
            <w:tcW w:w="2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(19,367)</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Basic and dilutive net loss per common share</w:t>
            </w:r>
          </w:p>
        </w:tc>
        <w:tc>
          <w:tcPr>
            <w:tcW w:w="454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160" w:type="dxa"/>
            <w:vAlign w:val="bottom"/>
          </w:tcPr>
          <w:p>
            <w:pPr>
              <w:spacing w:after="0"/>
              <w:rPr>
                <w:sz w:val="24"/>
                <w:szCs w:val="24"/>
                <w:color w:val="auto"/>
              </w:rPr>
            </w:pPr>
          </w:p>
        </w:tc>
        <w:tc>
          <w:tcPr>
            <w:tcW w:w="4540" w:type="dxa"/>
            <w:vAlign w:val="bottom"/>
            <w:gridSpan w:val="2"/>
          </w:tcPr>
          <w:p>
            <w:pPr>
              <w:jc w:val="center"/>
              <w:ind w:right="1512"/>
              <w:spacing w:after="0"/>
              <w:rPr>
                <w:sz w:val="20"/>
                <w:szCs w:val="20"/>
                <w:color w:val="auto"/>
              </w:rPr>
            </w:pPr>
            <w:r>
              <w:rPr>
                <w:rFonts w:ascii="Arial" w:cs="Arial" w:eastAsia="Arial" w:hAnsi="Arial"/>
                <w:sz w:val="18"/>
                <w:szCs w:val="18"/>
                <w:color w:val="auto"/>
                <w:w w:val="87"/>
              </w:rPr>
              <w:t>See accompanying notes.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160" w:type="dxa"/>
            <w:vAlign w:val="bottom"/>
          </w:tcPr>
          <w:p>
            <w:pPr>
              <w:spacing w:after="0"/>
              <w:rPr>
                <w:sz w:val="24"/>
                <w:szCs w:val="24"/>
                <w:color w:val="auto"/>
              </w:rPr>
            </w:pPr>
          </w:p>
        </w:tc>
        <w:tc>
          <w:tcPr>
            <w:tcW w:w="3560" w:type="dxa"/>
            <w:vAlign w:val="bottom"/>
          </w:tcPr>
          <w:p>
            <w:pPr>
              <w:jc w:val="right"/>
              <w:ind w:right="1970"/>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center"/>
              <w:ind w:right="70"/>
              <w:spacing w:after="0"/>
              <w:rPr>
                <w:sz w:val="20"/>
                <w:szCs w:val="20"/>
                <w:color w:val="auto"/>
              </w:rPr>
            </w:pPr>
            <w:r>
              <w:rPr>
                <w:rFonts w:ascii="Arial" w:cs="Arial" w:eastAsia="Arial" w:hAnsi="Arial"/>
                <w:sz w:val="18"/>
                <w:szCs w:val="18"/>
                <w:color w:val="auto"/>
                <w:w w:val="90"/>
              </w:rPr>
              <w:t>Treasury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Non-</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Capital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800" w:type="dxa"/>
            <w:vAlign w:val="bottom"/>
            <w:gridSpan w:val="3"/>
          </w:tcPr>
          <w:p>
            <w:pPr>
              <w:jc w:val="center"/>
              <w:ind w:right="150"/>
              <w:spacing w:after="0"/>
              <w:rPr>
                <w:sz w:val="20"/>
                <w:szCs w:val="20"/>
                <w:color w:val="auto"/>
              </w:rPr>
            </w:pPr>
            <w:r>
              <w:rPr>
                <w:rFonts w:ascii="Arial" w:cs="Arial" w:eastAsia="Arial" w:hAnsi="Arial"/>
                <w:sz w:val="18"/>
                <w:szCs w:val="18"/>
                <w:color w:val="auto"/>
                <w:w w:val="93"/>
              </w:rPr>
              <w:t>Stock-</w:t>
            </w:r>
          </w:p>
        </w:tc>
        <w:tc>
          <w:tcPr>
            <w:tcW w:w="920" w:type="dxa"/>
            <w:vAlign w:val="bottom"/>
            <w:gridSpan w:val="5"/>
          </w:tcPr>
          <w:p>
            <w:pPr>
              <w:jc w:val="center"/>
              <w:spacing w:after="0"/>
              <w:rPr>
                <w:sz w:val="20"/>
                <w:szCs w:val="20"/>
                <w:color w:val="auto"/>
              </w:rPr>
            </w:pPr>
            <w:r>
              <w:rPr>
                <w:rFonts w:ascii="Arial" w:cs="Arial" w:eastAsia="Arial" w:hAnsi="Arial"/>
                <w:sz w:val="18"/>
                <w:szCs w:val="18"/>
                <w:color w:val="auto"/>
                <w:w w:val="86"/>
              </w:rPr>
              <w:t>Redeemable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Excess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center"/>
              <w:ind w:right="201"/>
              <w:spacing w:after="0"/>
              <w:rPr>
                <w:sz w:val="20"/>
                <w:szCs w:val="20"/>
                <w:color w:val="auto"/>
              </w:rPr>
            </w:pPr>
            <w:r>
              <w:rPr>
                <w:rFonts w:ascii="Arial" w:cs="Arial" w:eastAsia="Arial" w:hAnsi="Arial"/>
                <w:sz w:val="18"/>
                <w:szCs w:val="18"/>
                <w:color w:val="auto"/>
                <w:w w:val="90"/>
              </w:rPr>
              <w:t>Treasury</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Stock</w:t>
            </w:r>
          </w:p>
        </w:tc>
        <w:tc>
          <w:tcPr>
            <w:tcW w:w="880" w:type="dxa"/>
            <w:vAlign w:val="bottom"/>
            <w:gridSpan w:val="4"/>
          </w:tcPr>
          <w:p>
            <w:pPr>
              <w:jc w:val="center"/>
              <w:ind w:right="70"/>
              <w:spacing w:after="0"/>
              <w:rPr>
                <w:sz w:val="20"/>
                <w:szCs w:val="20"/>
                <w:color w:val="auto"/>
              </w:rPr>
            </w:pPr>
            <w:r>
              <w:rPr>
                <w:rFonts w:ascii="Arial" w:cs="Arial" w:eastAsia="Arial" w:hAnsi="Arial"/>
                <w:sz w:val="18"/>
                <w:szCs w:val="18"/>
                <w:color w:val="auto"/>
                <w:w w:val="93"/>
              </w:rPr>
              <w:t>Common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Preferred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Par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5"/>
              </w:rPr>
              <w:t>Par</w:t>
            </w:r>
          </w:p>
        </w:tc>
        <w:tc>
          <w:tcPr>
            <w:tcW w:w="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Retained</w:t>
            </w:r>
          </w:p>
        </w:tc>
        <w:tc>
          <w:tcPr>
            <w:tcW w:w="40" w:type="dxa"/>
            <w:vAlign w:val="bottom"/>
          </w:tcPr>
          <w:p>
            <w:pPr>
              <w:spacing w:after="0"/>
              <w:rPr>
                <w:sz w:val="18"/>
                <w:szCs w:val="18"/>
                <w:color w:val="auto"/>
              </w:rPr>
            </w:pPr>
          </w:p>
        </w:tc>
        <w:tc>
          <w:tcPr>
            <w:tcW w:w="880" w:type="dxa"/>
            <w:vAlign w:val="bottom"/>
            <w:gridSpan w:val="3"/>
          </w:tcPr>
          <w:p>
            <w:pPr>
              <w:jc w:val="center"/>
              <w:ind w:right="201"/>
              <w:spacing w:after="0"/>
              <w:rPr>
                <w:sz w:val="20"/>
                <w:szCs w:val="20"/>
                <w:color w:val="auto"/>
              </w:rPr>
            </w:pPr>
            <w:r>
              <w:rPr>
                <w:rFonts w:ascii="Arial" w:cs="Arial" w:eastAsia="Arial" w:hAnsi="Arial"/>
                <w:sz w:val="18"/>
                <w:szCs w:val="18"/>
                <w:color w:val="auto"/>
                <w:w w:val="93"/>
              </w:rPr>
              <w:t>Stock-</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800" w:type="dxa"/>
            <w:vAlign w:val="bottom"/>
            <w:gridSpan w:val="3"/>
          </w:tcPr>
          <w:p>
            <w:pPr>
              <w:jc w:val="center"/>
              <w:ind w:right="150"/>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Value</w:t>
            </w:r>
          </w:p>
        </w:tc>
        <w:tc>
          <w:tcPr>
            <w:tcW w:w="6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Earnings</w:t>
            </w:r>
          </w:p>
        </w:tc>
        <w:tc>
          <w:tcPr>
            <w:tcW w:w="920" w:type="dxa"/>
            <w:vAlign w:val="bottom"/>
            <w:gridSpan w:val="4"/>
          </w:tcPr>
          <w:p>
            <w:pPr>
              <w:jc w:val="center"/>
              <w:ind w:right="161"/>
              <w:spacing w:after="0"/>
              <w:rPr>
                <w:sz w:val="20"/>
                <w:szCs w:val="20"/>
                <w:color w:val="auto"/>
              </w:rPr>
            </w:pPr>
            <w:r>
              <w:rPr>
                <w:rFonts w:ascii="Arial" w:cs="Arial" w:eastAsia="Arial" w:hAnsi="Arial"/>
                <w:sz w:val="18"/>
                <w:szCs w:val="18"/>
                <w:color w:val="auto"/>
                <w:w w:val="93"/>
              </w:rPr>
              <w:t>Common</w:t>
            </w:r>
          </w:p>
        </w:tc>
        <w:tc>
          <w:tcPr>
            <w:tcW w:w="40" w:type="dxa"/>
            <w:vAlign w:val="bottom"/>
          </w:tcPr>
          <w:p>
            <w:pPr>
              <w:spacing w:after="0"/>
              <w:rPr>
                <w:sz w:val="20"/>
                <w:szCs w:val="20"/>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Total</w:t>
            </w:r>
          </w:p>
        </w:tc>
      </w:tr>
      <w:tr>
        <w:trPr>
          <w:trHeight w:val="207"/>
        </w:trPr>
        <w:tc>
          <w:tcPr>
            <w:tcW w:w="38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7"/>
          </w:tcPr>
          <w:p>
            <w:pPr>
              <w:ind w:left="120"/>
              <w:spacing w:after="0"/>
              <w:rPr>
                <w:sz w:val="20"/>
                <w:szCs w:val="20"/>
                <w:color w:val="auto"/>
              </w:rPr>
            </w:pPr>
            <w:r>
              <w:rPr>
                <w:rFonts w:ascii="Arial" w:cs="Arial" w:eastAsia="Arial" w:hAnsi="Arial"/>
                <w:sz w:val="16"/>
                <w:szCs w:val="16"/>
                <w:color w:val="auto"/>
              </w:rPr>
              <w:t>(In Thousands)</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3,000</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8"/>
              </w:rPr>
              <w:t>3,128</w:t>
            </w: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$ 196,833</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57,632</w:t>
            </w:r>
          </w:p>
        </w:tc>
        <w:tc>
          <w:tcPr>
            <w:tcW w:w="180" w:type="dxa"/>
            <w:vAlign w:val="bottom"/>
            <w:shd w:val="clear" w:color="auto" w:fill="CFF0FC"/>
          </w:tcPr>
          <w:p>
            <w:pPr>
              <w:spacing w:after="0"/>
              <w:rPr>
                <w:sz w:val="20"/>
                <w:szCs w:val="20"/>
                <w:color w:val="auto"/>
              </w:rPr>
            </w:pPr>
          </w:p>
        </w:tc>
        <w:tc>
          <w:tcPr>
            <w:tcW w:w="920" w:type="dxa"/>
            <w:vAlign w:val="bottom"/>
            <w:gridSpan w:val="4"/>
            <w:shd w:val="clear" w:color="auto" w:fill="CFF0FC"/>
          </w:tcPr>
          <w:p>
            <w:pPr>
              <w:jc w:val="right"/>
              <w:ind w:right="81"/>
              <w:spacing w:after="0"/>
              <w:rPr>
                <w:sz w:val="20"/>
                <w:szCs w:val="20"/>
                <w:color w:val="auto"/>
              </w:rPr>
            </w:pPr>
            <w:r>
              <w:rPr>
                <w:rFonts w:ascii="Arial" w:cs="Arial" w:eastAsia="Arial" w:hAnsi="Arial"/>
                <w:sz w:val="18"/>
                <w:szCs w:val="18"/>
                <w:color w:val="auto"/>
                <w:w w:val="95"/>
              </w:rPr>
              <w:t>$ (13,266)</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$ 247,327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(19,452)</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(19,452)</w:t>
            </w: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(8,307)</w:t>
            </w: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(8,307)</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(504)</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(64)</w:t>
            </w: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88"/>
              </w:rPr>
              <w:t>3,128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196,972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(12,974</w:t>
            </w:r>
          </w:p>
        </w:tc>
        <w:tc>
          <w:tcPr>
            <w:tcW w:w="180" w:type="dxa"/>
            <w:vAlign w:val="bottom"/>
            <w:tcBorders>
              <w:top w:val="single" w:sz="8" w:color="CFF0FC"/>
              <w:bottom w:val="single" w:sz="8" w:color="CFF0FC"/>
            </w:tcBorders>
            <w:gridSpan w:val="2"/>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219,495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31,283</w:t>
            </w:r>
          </w:p>
        </w:tc>
        <w:tc>
          <w:tcPr>
            <w:tcW w:w="14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(2,438)</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3,128</w:t>
            </w:r>
          </w:p>
        </w:tc>
        <w:tc>
          <w:tcPr>
            <w:tcW w:w="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$ 198,482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153,773</w:t>
            </w:r>
          </w:p>
        </w:tc>
        <w:tc>
          <w:tcPr>
            <w:tcW w:w="18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81"/>
              <w:spacing w:after="0"/>
              <w:rPr>
                <w:sz w:val="20"/>
                <w:szCs w:val="20"/>
                <w:color w:val="auto"/>
              </w:rPr>
            </w:pPr>
            <w:r>
              <w:rPr>
                <w:rFonts w:ascii="Arial" w:cs="Arial" w:eastAsia="Arial" w:hAnsi="Arial"/>
                <w:sz w:val="18"/>
                <w:szCs w:val="18"/>
                <w:color w:val="auto"/>
                <w:w w:val="95"/>
              </w:rPr>
              <w:t>$ (16,186)</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9"/>
              </w:rPr>
              <w:t>$ 342,197</w:t>
            </w: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(11,540)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(11,540)</w:t>
            </w: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(7,256)</w:t>
            </w: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(7,256)</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(496)</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81"/>
              <w:spacing w:after="0"/>
              <w:rPr>
                <w:sz w:val="20"/>
                <w:szCs w:val="20"/>
                <w:color w:val="auto"/>
              </w:rPr>
            </w:pPr>
            <w:r>
              <w:rPr>
                <w:rFonts w:ascii="Arial" w:cs="Arial" w:eastAsia="Arial" w:hAnsi="Arial"/>
                <w:sz w:val="18"/>
                <w:szCs w:val="18"/>
                <w:color w:val="auto"/>
              </w:rPr>
              <w:t>(546)</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(690)</w:t>
            </w: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3,128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198,950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134,481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(16,732</w:t>
            </w:r>
          </w:p>
        </w:tc>
        <w:tc>
          <w:tcPr>
            <w:tcW w:w="16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322,827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820" w:type="dxa"/>
            <w:vAlign w:val="bottom"/>
            <w:gridSpan w:val="4"/>
          </w:tcPr>
          <w:p>
            <w:pPr>
              <w:jc w:val="center"/>
              <w:ind w:left="490"/>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3"/>
          </w:tcPr>
          <w:p>
            <w:pPr>
              <w:jc w:val="center"/>
              <w:ind w:right="330"/>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gridSpan w:val="3"/>
          </w:tcPr>
          <w:p>
            <w:pPr>
              <w:jc w:val="center"/>
              <w:ind w:right="310"/>
              <w:spacing w:after="0"/>
              <w:rPr>
                <w:sz w:val="20"/>
                <w:szCs w:val="20"/>
                <w:color w:val="auto"/>
              </w:rPr>
            </w:pPr>
            <w:r>
              <w:rPr>
                <w:rFonts w:ascii="Arial" w:cs="Arial" w:eastAsia="Arial" w:hAnsi="Arial"/>
                <w:sz w:val="16"/>
                <w:szCs w:val="16"/>
                <w:color w:val="auto"/>
                <w:w w:val="92"/>
              </w:rPr>
              <w:t>(In Thousands)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(19,452)</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(11,540)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(used) by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17,592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16,826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(7,512)</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(2,996)</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(3,393)</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insurance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(3,171)</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(10,480)</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interest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11,805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 and other liabilities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(2,873)</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(2,401)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operating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(2,178)</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(10,737)</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(7,115)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(10,558)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(7,106)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debt facility</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30,000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other long-term debt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other long-term debt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(2,042)</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short-term financing</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(3,036)</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(2,714)</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Taxes paid on equity awards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(690)</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financing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27,428</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(4,298)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14,692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(4,343)</w:t>
            </w:r>
          </w:p>
        </w:tc>
      </w:tr>
      <w:tr>
        <w:trPr>
          <w:trHeight w:val="229"/>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22,791</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26,048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37,483</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21,705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2019 (“2019 Form 10-K”), filed with the Securities and Exchange Commission (“SEC”) on February 25, 2020.</w:t>
      </w:r>
    </w:p>
    <w:p>
      <w:pPr>
        <w:spacing w:after="0" w:line="1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our opinion, the unaudited condensed consolidated financial statements of the Company as of March 31, 2020 and for the three months ended March 31, 2020 and 2019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2019 Form 10-K.</w:t>
      </w:r>
    </w:p>
    <w:p>
      <w:pPr>
        <w:spacing w:after="0" w:line="3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w:t>
      </w:r>
      <w:r>
        <w:rPr>
          <w:rFonts w:ascii="Arial" w:cs="Arial" w:eastAsia="Arial" w:hAnsi="Arial"/>
          <w:sz w:val="17"/>
          <w:szCs w:val="17"/>
          <w:b w:val="1"/>
          <w:bCs w:val="1"/>
          <w:color w:val="auto"/>
        </w:rPr>
        <w:t xml:space="preserve"> </w:t>
      </w:r>
      <w:r>
        <w:rPr>
          <w:rFonts w:ascii="Arial" w:cs="Arial" w:eastAsia="Arial" w:hAnsi="Arial"/>
          <w:sz w:val="17"/>
          <w:szCs w:val="17"/>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exercises of restricted stock. We reduce income tax expense for investment tax credits in the period the credit arises and is earned.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7 regarding the Coronavirus Aid, Relief, and Economic Security (“CARES”)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that are redeemable outside of our control are classified as temporary/mezzanine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 However, this accretion will change if the expected redemption date changes.</w:t>
      </w:r>
    </w:p>
    <w:p>
      <w:pPr>
        <w:spacing w:after="0" w:line="5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4"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3"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 that include LIBOR rates.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ASU 2019-12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2019, the FASB issued ASU 2019-12,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which</w:t>
      </w:r>
      <w:r>
        <w:rPr>
          <w:rFonts w:ascii="Arial" w:cs="Arial" w:eastAsia="Arial" w:hAnsi="Arial"/>
          <w:sz w:val="18"/>
          <w:szCs w:val="18"/>
          <w:b w:val="1"/>
          <w:bCs w:val="1"/>
          <w:color w:val="auto"/>
        </w:rPr>
        <w:t xml:space="preserve"> </w:t>
      </w:r>
      <w:r>
        <w:rPr>
          <w:rFonts w:ascii="Arial" w:cs="Arial" w:eastAsia="Arial" w:hAnsi="Arial"/>
          <w:sz w:val="18"/>
          <w:szCs w:val="18"/>
          <w:color w:val="auto"/>
        </w:rPr>
        <w:t>affects 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The effective date of ASU 2019-12 is fiscal years (and interim periods within those fiscal years) beginning after December 15, 2020. Early adoption is permitted but requires simultaneous adoption of all provisions of the new standard. We continue to evaluate the effect of our pending adoption of this ASU on our consolidated financial statements and related disclosures at this time.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2. Loss Per Common Share</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r>
      <w:tr>
        <w:trPr>
          <w:trHeight w:val="229"/>
        </w:trPr>
        <w:tc>
          <w:tcPr>
            <w:tcW w:w="5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March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0"/>
        </w:trPr>
        <w:tc>
          <w:tcPr>
            <w:tcW w:w="5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5"/>
          </w:tcPr>
          <w:p>
            <w:pPr>
              <w:jc w:val="center"/>
              <w:ind w:right="280"/>
              <w:spacing w:after="0"/>
              <w:rPr>
                <w:sz w:val="20"/>
                <w:szCs w:val="20"/>
                <w:color w:val="auto"/>
              </w:rPr>
            </w:pPr>
            <w:r>
              <w:rPr>
                <w:rFonts w:ascii="Arial" w:cs="Arial" w:eastAsia="Arial" w:hAnsi="Arial"/>
                <w:sz w:val="16"/>
                <w:szCs w:val="16"/>
                <w:color w:val="auto"/>
                <w:w w:val="90"/>
              </w:rPr>
              <w:t>(Dollars In Thousands, Except Per Share</w:t>
            </w:r>
          </w:p>
        </w:tc>
      </w:tr>
      <w:tr>
        <w:trPr>
          <w:trHeight w:val="209"/>
        </w:trPr>
        <w:tc>
          <w:tcPr>
            <w:tcW w:w="5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center"/>
              <w:ind w:left="791"/>
              <w:spacing w:after="0"/>
              <w:rPr>
                <w:sz w:val="20"/>
                <w:szCs w:val="20"/>
                <w:color w:val="auto"/>
              </w:rPr>
            </w:pPr>
            <w:r>
              <w:rPr>
                <w:rFonts w:ascii="Arial" w:cs="Arial" w:eastAsia="Arial" w:hAnsi="Arial"/>
                <w:sz w:val="16"/>
                <w:szCs w:val="16"/>
                <w:color w:val="auto"/>
                <w:w w:val="96"/>
              </w:rPr>
              <w:t>Amounts)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580" w:type="dxa"/>
            <w:vAlign w:val="bottom"/>
          </w:tcPr>
          <w:p>
            <w:pPr>
              <w:spacing w:after="0"/>
              <w:rPr>
                <w:sz w:val="20"/>
                <w:szCs w:val="20"/>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(19,452)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(11,540)</w:t>
            </w:r>
          </w:p>
        </w:tc>
      </w:tr>
      <w:tr>
        <w:trPr>
          <w:trHeight w:val="229"/>
        </w:trPr>
        <w:tc>
          <w:tcPr>
            <w:tcW w:w="58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net loss per common share:</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52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(8,307)</w:t>
            </w:r>
          </w:p>
        </w:tc>
        <w:tc>
          <w:tcPr>
            <w:tcW w:w="3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(7,256)</w:t>
            </w:r>
          </w:p>
        </w:tc>
      </w:tr>
      <w:tr>
        <w:trPr>
          <w:trHeight w:val="229"/>
        </w:trPr>
        <w:tc>
          <w:tcPr>
            <w:tcW w:w="58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r>
      <w:tr>
        <w:trPr>
          <w:trHeight w:val="229"/>
        </w:trPr>
        <w:tc>
          <w:tcPr>
            <w:tcW w:w="58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30"/>
        </w:trPr>
        <w:tc>
          <w:tcPr>
            <w:tcW w:w="58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(496)</w:t>
            </w:r>
          </w:p>
        </w:tc>
      </w:tr>
      <w:tr>
        <w:trPr>
          <w:trHeight w:val="195"/>
        </w:trPr>
        <w:tc>
          <w:tcPr>
            <w:tcW w:w="580" w:type="dxa"/>
            <w:vAlign w:val="bottom"/>
          </w:tcPr>
          <w:p>
            <w:pPr>
              <w:spacing w:after="0"/>
              <w:rPr>
                <w:sz w:val="16"/>
                <w:szCs w:val="16"/>
                <w:color w:val="auto"/>
              </w:rPr>
            </w:pPr>
          </w:p>
        </w:tc>
        <w:tc>
          <w:tcPr>
            <w:tcW w:w="5520" w:type="dxa"/>
            <w:vAlign w:val="bottom"/>
          </w:tcPr>
          <w:p>
            <w:pPr>
              <w:ind w:left="240"/>
              <w:spacing w:after="0" w:line="195" w:lineRule="exact"/>
              <w:rPr>
                <w:sz w:val="20"/>
                <w:szCs w:val="20"/>
                <w:color w:val="auto"/>
              </w:rPr>
            </w:pPr>
            <w:r>
              <w:rPr>
                <w:rFonts w:ascii="Arial" w:cs="Arial" w:eastAsia="Arial" w:hAnsi="Arial"/>
                <w:sz w:val="18"/>
                <w:szCs w:val="18"/>
                <w:color w:val="auto"/>
              </w:rPr>
              <w:t>Numerator for basic and dilutive net loss per common</w:t>
            </w:r>
          </w:p>
        </w:tc>
        <w:tc>
          <w:tcPr>
            <w:tcW w:w="1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70"/>
        </w:trPr>
        <w:tc>
          <w:tcPr>
            <w:tcW w:w="580" w:type="dxa"/>
            <w:vAlign w:val="bottom"/>
          </w:tcPr>
          <w:p>
            <w:pPr>
              <w:spacing w:after="0"/>
              <w:rPr>
                <w:sz w:val="23"/>
                <w:szCs w:val="23"/>
                <w:color w:val="auto"/>
              </w:rPr>
            </w:pPr>
          </w:p>
        </w:tc>
        <w:tc>
          <w:tcPr>
            <w:tcW w:w="5520" w:type="dxa"/>
            <w:vAlign w:val="bottom"/>
          </w:tcPr>
          <w:p>
            <w:pPr>
              <w:ind w:left="380"/>
              <w:spacing w:after="0"/>
              <w:rPr>
                <w:sz w:val="20"/>
                <w:szCs w:val="20"/>
                <w:color w:val="auto"/>
              </w:rPr>
            </w:pPr>
            <w:r>
              <w:rPr>
                <w:rFonts w:ascii="Arial" w:cs="Arial" w:eastAsia="Arial" w:hAnsi="Arial"/>
                <w:sz w:val="18"/>
                <w:szCs w:val="18"/>
                <w:color w:val="auto"/>
              </w:rPr>
              <w:t>share - net loss attributable to common stockholders</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(28,338)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(19,367)</w:t>
            </w:r>
          </w:p>
        </w:tc>
      </w:tr>
      <w:tr>
        <w:trPr>
          <w:trHeight w:val="210"/>
        </w:trPr>
        <w:tc>
          <w:tcPr>
            <w:tcW w:w="580" w:type="dxa"/>
            <w:vAlign w:val="bottom"/>
          </w:tcPr>
          <w:p>
            <w:pPr>
              <w:spacing w:after="0"/>
              <w:rPr>
                <w:sz w:val="18"/>
                <w:szCs w:val="18"/>
                <w:color w:val="auto"/>
              </w:rPr>
            </w:pPr>
          </w:p>
        </w:tc>
        <w:tc>
          <w:tcPr>
            <w:tcW w:w="55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Denominator:</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basic and dilutive net loss per</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shares (1)</w:t>
            </w:r>
          </w:p>
        </w:tc>
        <w:tc>
          <w:tcPr>
            <w:tcW w:w="14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28,176,205</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27,959,024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(0.69)</w:t>
            </w:r>
          </w:p>
        </w:tc>
      </w:tr>
      <w:tr>
        <w:trPr>
          <w:trHeight w:val="20"/>
        </w:trPr>
        <w:tc>
          <w:tcPr>
            <w:tcW w:w="580" w:type="dxa"/>
            <w:vAlign w:val="bottom"/>
          </w:tcPr>
          <w:p>
            <w:pPr>
              <w:spacing w:after="0" w:line="20" w:lineRule="exact"/>
              <w:rPr>
                <w:sz w:val="1"/>
                <w:szCs w:val="1"/>
                <w:color w:val="auto"/>
              </w:rPr>
            </w:pPr>
          </w:p>
        </w:tc>
        <w:tc>
          <w:tcPr>
            <w:tcW w:w="55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31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6940" w:type="dxa"/>
            <w:vAlign w:val="bottom"/>
          </w:tcPr>
          <w:p>
            <w:pPr>
              <w:spacing w:after="0"/>
              <w:rPr>
                <w:sz w:val="19"/>
                <w:szCs w:val="19"/>
                <w:color w:val="auto"/>
              </w:rPr>
            </w:pPr>
          </w:p>
        </w:tc>
        <w:tc>
          <w:tcPr>
            <w:tcW w:w="202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1,206,856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930,386</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1400" w:type="dxa"/>
            <w:vAlign w:val="bottom"/>
          </w:tcPr>
          <w:p>
            <w:pPr>
              <w:jc w:val="right"/>
              <w:spacing w:after="0"/>
              <w:rPr>
                <w:sz w:val="20"/>
                <w:szCs w:val="20"/>
                <w:color w:val="auto"/>
              </w:rPr>
            </w:pPr>
            <w:r>
              <w:rPr>
                <w:rFonts w:ascii="Arial" w:cs="Arial" w:eastAsia="Arial" w:hAnsi="Arial"/>
                <w:sz w:val="18"/>
                <w:szCs w:val="18"/>
                <w:color w:val="auto"/>
              </w:rPr>
              <w:t>916,666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2,551,168</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2,274,698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w w:val="97"/>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r>
      <w:tr>
        <w:trPr>
          <w:trHeight w:val="230"/>
        </w:trPr>
        <w:tc>
          <w:tcPr>
            <w:tcW w:w="17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03"/>
        </w:trPr>
        <w:tc>
          <w:tcPr>
            <w:tcW w:w="17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5"/>
          </w:tcPr>
          <w:p>
            <w:pPr>
              <w:ind w:left="640"/>
              <w:spacing w:after="0"/>
              <w:rPr>
                <w:sz w:val="20"/>
                <w:szCs w:val="20"/>
                <w:color w:val="auto"/>
              </w:rPr>
            </w:pPr>
            <w:r>
              <w:rPr>
                <w:rFonts w:ascii="Arial" w:cs="Arial" w:eastAsia="Arial" w:hAnsi="Arial"/>
                <w:sz w:val="16"/>
                <w:szCs w:val="16"/>
                <w:color w:val="auto"/>
              </w:rPr>
              <w:t>(In Thousands)</w:t>
            </w:r>
          </w:p>
        </w:tc>
      </w:tr>
      <w:tr>
        <w:trPr>
          <w:trHeight w:val="235"/>
        </w:trPr>
        <w:tc>
          <w:tcPr>
            <w:tcW w:w="1700" w:type="dxa"/>
            <w:vAlign w:val="bottom"/>
          </w:tcPr>
          <w:p>
            <w:pPr>
              <w:spacing w:after="0"/>
              <w:rPr>
                <w:sz w:val="20"/>
                <w:szCs w:val="20"/>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0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80" w:type="dxa"/>
            <w:vAlign w:val="bottom"/>
            <w:shd w:val="clear" w:color="auto" w:fill="CFF0FC"/>
          </w:tcPr>
          <w:p>
            <w:pPr>
              <w:spacing w:after="0"/>
              <w:rPr>
                <w:sz w:val="20"/>
                <w:szCs w:val="20"/>
                <w:color w:val="auto"/>
              </w:rPr>
            </w:pPr>
          </w:p>
        </w:tc>
      </w:tr>
      <w:tr>
        <w:trPr>
          <w:trHeight w:val="230"/>
        </w:trPr>
        <w:tc>
          <w:tcPr>
            <w:tcW w:w="170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4,066</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Deferred revenue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3,443</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Accrued death and other executive benefits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9,149</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31,698</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40,544</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March 31,</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5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04"/>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6"/>
                <w:szCs w:val="16"/>
                <w:color w:val="auto"/>
              </w:rPr>
              <w:t>(In Thousands)</w:t>
            </w:r>
          </w:p>
        </w:tc>
      </w:tr>
      <w:tr>
        <w:trPr>
          <w:trHeight w:val="221"/>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3.75% (A)</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Senior Secured Notes due 2023 (B)</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 with an interest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5.25% (C)</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80" w:type="dxa"/>
            <w:vAlign w:val="bottom"/>
            <w:shd w:val="clear" w:color="auto" w:fill="CFF0FC"/>
          </w:tcPr>
          <w:p>
            <w:pPr>
              <w:spacing w:after="0"/>
              <w:rPr>
                <w:sz w:val="20"/>
                <w:szCs w:val="20"/>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rate of 5.17% (D)</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12,705</w:t>
            </w:r>
          </w:p>
        </w:tc>
        <w:tc>
          <w:tcPr>
            <w:tcW w:w="80" w:type="dxa"/>
            <w:vAlign w:val="bottom"/>
          </w:tcPr>
          <w:p>
            <w:pPr>
              <w:spacing w:after="0"/>
              <w:rPr>
                <w:sz w:val="20"/>
                <w:szCs w:val="20"/>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(E)</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80" w:type="dxa"/>
            <w:vAlign w:val="bottom"/>
            <w:shd w:val="clear" w:color="auto" w:fill="CFF0FC"/>
          </w:tcPr>
          <w:p>
            <w:pPr>
              <w:spacing w:after="0"/>
              <w:rPr>
                <w:sz w:val="20"/>
                <w:szCs w:val="20"/>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Secured Loan Agreement due 2025, with an 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rate of 8.75% (F)</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5,219</w:t>
            </w:r>
          </w:p>
        </w:tc>
        <w:tc>
          <w:tcPr>
            <w:tcW w:w="80" w:type="dxa"/>
            <w:vAlign w:val="bottom"/>
          </w:tcPr>
          <w:p>
            <w:pPr>
              <w:spacing w:after="0"/>
              <w:rPr>
                <w:sz w:val="20"/>
                <w:szCs w:val="20"/>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Unamortized discount, net of premium and debt issuance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20" w:type="dxa"/>
            <w:vAlign w:val="bottom"/>
          </w:tcPr>
          <w:p>
            <w:pPr>
              <w:ind w:left="8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(12,261)</w:t>
            </w:r>
          </w:p>
        </w:tc>
      </w:tr>
      <w:tr>
        <w:trPr>
          <w:trHeight w:val="223"/>
        </w:trPr>
        <w:tc>
          <w:tcPr>
            <w:tcW w:w="5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490,502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459,044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8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due after one year, net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480,837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449,634</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8255</wp:posOffset>
            </wp:positionV>
            <wp:extent cx="16891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9100" cy="8890"/>
                    </a:xfrm>
                    <a:prstGeom prst="rect">
                      <a:avLst/>
                    </a:prstGeom>
                    <a:noFill/>
                  </pic:spPr>
                </pic:pic>
              </a:graphicData>
            </a:graphic>
          </wp:anchor>
        </w:drawing>
      </w:r>
    </w:p>
    <w:p>
      <w:pPr>
        <w:spacing w:after="0"/>
        <w:rPr>
          <w:sz w:val="20"/>
          <w:szCs w:val="20"/>
          <w:color w:val="auto"/>
        </w:rPr>
      </w:pPr>
      <w:r>
        <w:rPr>
          <w:rFonts w:ascii="Arial" w:cs="Arial" w:eastAsia="Arial" w:hAnsi="Arial"/>
          <w:sz w:val="4"/>
          <w:szCs w:val="4"/>
          <w:b w:val="1"/>
          <w:bCs w:val="1"/>
          <w:color w:val="auto"/>
        </w:rPr>
        <w:t>1</w:t>
      </w:r>
    </w:p>
    <w:p>
      <w:pPr>
        <w:spacing w:after="0" w:line="97" w:lineRule="exact"/>
        <w:rPr>
          <w:sz w:val="20"/>
          <w:szCs w:val="20"/>
          <w:color w:val="auto"/>
        </w:rPr>
      </w:pPr>
    </w:p>
    <w:p>
      <w:pPr>
        <w:jc w:val="both"/>
        <w:ind w:firstLine="8"/>
        <w:spacing w:after="0" w:line="272" w:lineRule="auto"/>
        <w:tabs>
          <w:tab w:leader="none" w:pos="2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Our revolving credit facility (the “Working Capital Revolver Loan”) provides for advances up to $75 million, based on specific percentages of eligible accounts receivable and inventories and up to $10 million of letters of credit, the outstanding amount of which reduces the available for borrowing under the Working Capital Revolver Loan. At March 31, 2020, our available borrowings under our Working Capital Revolver Loan were approximately $20.5 million, based on our eligible collateral, less outstanding letters of credit. The maturity date of the Working Capital Revolver Loan is February 26, 2024.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69" w:lineRule="exact"/>
        <w:rPr>
          <w:rFonts w:ascii="Arial" w:cs="Arial" w:eastAsia="Arial" w:hAnsi="Arial"/>
          <w:sz w:val="17"/>
          <w:szCs w:val="17"/>
          <w:b w:val="1"/>
          <w:bCs w:val="1"/>
          <w:color w:val="auto"/>
        </w:rPr>
      </w:pPr>
    </w:p>
    <w:p>
      <w:pPr>
        <w:ind w:right="20" w:firstLine="8"/>
        <w:spacing w:after="0" w:line="342" w:lineRule="auto"/>
        <w:tabs>
          <w:tab w:leader="none" w:pos="28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On April 25, 2018, LSB completed the issuance and sale of $400 million aggregate principal amount of its 9.625% Senior Secured Notes due 2023 (the “Notes”), pursuant to an indenture (the “Indenture”), dated as of April 25, 2018. The Notes were issued at a price equal to 99.509% of their face value.</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21, 2019, LSB completed the issuance and sale of $35 million aggregate principal amount of its 9.625% Senior Secured Notes due 2023 (the “New Notes”). The New Notes were issued pursuant to the Indenture (the Notes together with the New Notes, the “Senior Secured Notes”). The New Notes were issued at a price equal to 102.125% of their face value, plus accrued interest from May 1, 2019 to June 21,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Notes mature on May 1, 2023</w:t>
      </w:r>
      <w:r>
        <w:rPr>
          <w:rFonts w:ascii="Arial" w:cs="Arial" w:eastAsia="Arial" w:hAnsi="Arial"/>
          <w:sz w:val="18"/>
          <w:szCs w:val="18"/>
          <w:color w:val="0000FF"/>
        </w:rPr>
        <w:t>.</w:t>
      </w:r>
      <w:r>
        <w:rPr>
          <w:rFonts w:ascii="Arial" w:cs="Arial" w:eastAsia="Arial" w:hAnsi="Arial"/>
          <w:sz w:val="18"/>
          <w:szCs w:val="18"/>
          <w:color w:val="auto"/>
        </w:rPr>
        <w:t xml:space="preserve"> Interest is to be paid semiannually in arrears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ind w:right="20" w:firstLine="8"/>
        <w:spacing w:after="0" w:line="277" w:lineRule="auto"/>
        <w:tabs>
          <w:tab w:leader="none" w:pos="31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promissory note due in March 2021. Principal and interest are payable in monthly installments.</w:t>
      </w:r>
    </w:p>
    <w:p>
      <w:pPr>
        <w:spacing w:after="0" w:line="62" w:lineRule="exact"/>
        <w:rPr>
          <w:rFonts w:ascii="Arial" w:cs="Arial" w:eastAsia="Arial" w:hAnsi="Arial"/>
          <w:sz w:val="18"/>
          <w:szCs w:val="18"/>
          <w:b w:val="1"/>
          <w:bCs w:val="1"/>
          <w:color w:val="auto"/>
        </w:rPr>
      </w:pPr>
    </w:p>
    <w:p>
      <w:pPr>
        <w:ind w:firstLine="8"/>
        <w:spacing w:after="0" w:line="277" w:lineRule="auto"/>
        <w:tabs>
          <w:tab w:leader="none" w:pos="316"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 Dorado Ammonia L.L.C. (“EDA”), one of our subsidiaries, is party to a secured promissory note due in May 2023. Principal and interest are payable in equal monthly installments with a final balloon payment of approximately $6.1 million.</w:t>
      </w:r>
    </w:p>
    <w:p>
      <w:pPr>
        <w:spacing w:after="0" w:line="62" w:lineRule="exact"/>
        <w:rPr>
          <w:rFonts w:ascii="Arial" w:cs="Arial" w:eastAsia="Arial" w:hAnsi="Arial"/>
          <w:sz w:val="18"/>
          <w:szCs w:val="18"/>
          <w:b w:val="1"/>
          <w:bCs w:val="1"/>
          <w:color w:val="auto"/>
        </w:rPr>
      </w:pPr>
    </w:p>
    <w:p>
      <w:pPr>
        <w:ind w:firstLine="8"/>
        <w:spacing w:after="0" w:line="277" w:lineRule="auto"/>
        <w:tabs>
          <w:tab w:leader="none" w:pos="296"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EDC is party to a secured financing arrangement with an affiliate of LSB Funding L.L.C. (“LSB Funding”). Principal and interest are payable in 48 equal monthly installments with a final balloon payment of approximately $3 million due in June 2023.</w:t>
      </w:r>
    </w:p>
    <w:p>
      <w:pPr>
        <w:spacing w:after="0" w:line="62" w:lineRule="exact"/>
        <w:rPr>
          <w:rFonts w:ascii="Arial" w:cs="Arial" w:eastAsia="Arial" w:hAnsi="Arial"/>
          <w:sz w:val="18"/>
          <w:szCs w:val="18"/>
          <w:b w:val="1"/>
          <w:bCs w:val="1"/>
          <w:color w:val="auto"/>
        </w:rPr>
      </w:pPr>
    </w:p>
    <w:p>
      <w:pPr>
        <w:jc w:val="both"/>
        <w:ind w:firstLine="8"/>
        <w:spacing w:after="0" w:line="279" w:lineRule="auto"/>
        <w:tabs>
          <w:tab w:leader="none" w:pos="275"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EDC is party to a secured loan agreement with an affiliate of LSB Funding, which provided for available borrowings (the “Interim Loan”) during the construction of certain equipment (the “Interim Loan Period”), subject to certain conditions. During the Interim Loan Period, interest only was payable in monthly installments. Effective February 28, 2020, the Interim Loan Period ended, and the Interim Loan was replaced by a secured promissory note due in March 2025. Under the terms of the note, principal and interest are payable in 60 equal monthly installments.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March 31, 2020, certain of our natural gas contracts qualify as normal purchases under GAAP and thus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mark-to-market, which contracts included volume purchase commitments with fixed costs of approximately 11.5 million MMBtus of natural gas. These contracts extend through December 2020 at a weighted-average cost of $1.85 per MMBtu ($21.2 million) and a weighted-average market value of $1.75 per MMBtu ($20.1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our accrued liabilities for environmental matters totaled $183,000 relating primarily to the matters discussed below. It is reasonably possible that a change in the estimate of our liability could occur in the near term.</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 In October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In August 2017, ADEQ issued a final NPDES permit with new dissolved mineral limits. EDC filed an appeal in September 2017 and a Permit Appeal Resolution (“PAR”) was signed in July 2018. EDC is in compliance with the revised permit limits agreed upon in the PAR.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assessment was submitted in August 2007. In February 2015, the ADEQ stated that El Dorado Chemical was meeting the requirements of the CAO and should continue semi-annual monitoring. Subsequent to the PAR mentioned previously, a new CAO was signed in October 2018, which required an Evaluation Report of the data and effectiveness of the groundwater remedy for nitrate contamination. In February 2019, the Evaluation Report was submitted to the ADEQ and the ADEQ approved the report in August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 liability has been established at March 31, 2020, in connection with this ADEQ matter.</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this matter. In August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A portion of these settlements have been paid by the insurer as of March 31, 2020. While these settlements resolve the claims of a number of the claimants in this matter for us, we continue to be party to litigation related to this explosion by other plaintiffs, in addition to indemnification or defense obligations we may have to other defendants. We continue to defend these lawsuits vigorously and we are unable to estimate a possible range of loss at this time if there is an adverse outcome in this matter as to EDC. As of March 31, 2020, no liability reserve has been established in connection with this matter, except for the unpaid portion of the settlement agreements that are covered by insurance as discussed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is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intend to pursue recovery of any damage or loss caused by Global’s work performed through their contract with Leidos at our El Dorado Facility. In March 2016, EDC and we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seeks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gross negligence, professional negligence and gross negligence.</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25, 2018, the Court bifurcated the case into: (1) Global’s claims against Leidos and LSB, and (2) the cross-claims between Leidos and LSB. Part (1) of the case was tried in the Court during the fall of 2018 and the Court rendered an interim judgment in March 2020 and issued its final judgment on April 23, 2020. In summary, the judgment awarded Global (i) approximately $7.4 million (amount includes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As a result of the judgment during the first quarter of 2020, we accounted for the following:</w:t>
      </w:r>
    </w:p>
    <w:p>
      <w:pPr>
        <w:spacing w:after="0" w:line="70" w:lineRule="exact"/>
        <w:rPr>
          <w:sz w:val="20"/>
          <w:szCs w:val="20"/>
          <w:color w:val="auto"/>
        </w:rPr>
      </w:pPr>
    </w:p>
    <w:p>
      <w:pPr>
        <w:ind w:left="740" w:hanging="368"/>
        <w:spacing w:after="0" w:line="258"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accrued an additional $3.9 million in accounts payable, which offset amount was capitalized as PP&amp;E, since such costs directly related to the construction of the Ammonia Plant;</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recognized additional depreciation expense of $0.5 million associated with the amount above capitalized to PP&amp;E, which offset amount was a credit to PP&amp;E (accumulated depreciation);</w:t>
      </w: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accrued prejudgment and post-judgment interest totaling $1.3 million in accrued interest, which offset amount was classified as interest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appeal the judgment and will request a stay of the judgment pending appeal.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LSB intends to vigorously prosecute its claims against Leidos in Part (2) of the matter. Due to the impact from the coronavirus (“COVID-19”) pandemic, the Trial date for Part (2) of the matter has been delayed until September 2020.</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Natural Gas Contracts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2020, we entered into certain forward natural gas contracts (“natural gas contracts”), which are accounted for on a mark-to-market basis. We are utilizing these natural gas contracts as economic hedges for risk management purposes but are not designated as hedging instruments. At March 31, 2020, our natural gas contracts included 2.6 million MMBtu of natural gas and extend through January 2021 (none at December 31, 2019). The valuations of the natural gas contracts are classified as Level 2. At March 31, 2020, the valuation inputs included the contractual weighted-average cost of $2.01 per MMBtu and the weighted-average market value of $1.81 per MMBtu. For the three months ended March 31, 2020, we recognized a loss of $0.7 million (classified as cost of sales), which includes an unrealized loss of $0.5 million (none for the three months ended March 31, 2019). The cash flows relating to these natural contracts are included in cash flows from operating activities.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left="260" w:right="6480" w:hanging="252"/>
        <w:spacing w:after="0" w:line="338" w:lineRule="auto"/>
        <w:tabs>
          <w:tab w:leader="none" w:pos="23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Hedges and Financial Instruments (continued) </w:t>
      </w:r>
      <w:r>
        <w:rPr>
          <w:rFonts w:ascii="Arial" w:cs="Arial" w:eastAsia="Arial" w:hAnsi="Arial"/>
          <w:sz w:val="18"/>
          <w:szCs w:val="18"/>
          <w:color w:val="auto"/>
        </w:rPr>
        <w:t>Embedded Derivative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8, 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At March 31, 2020 and December 31, 2019, we estimate that the contingent redemption features have fair value since we estimate that it is probable that a portion of the shares of this preferred stock would be redeemed prior to October 25, 2023. For certain other embedded features, we estimated no fair value based on our assessment that there is a remote probability that these features will be exercised.</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In addition, at March 31, 2020 and December 31, 2019, the fair value of the embedded derivative included the valuation of the participation rights, which was based on the equivalent of 303,646 shares of our common stock at $2.10 and $4.20 per share, respectively.</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and 2019, we recognized an unrealized gain of approximately $0.6 million and an unrealized loss of $0.2 million, respectively, due to the change in fair value of the embedded derivative. These unrealized gains and losses are included in non-operating income and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liabilities that are measured at fair value on a recurring basis at March 31, 2020 and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Fair Value Measurements at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775"/>
              <w:spacing w:after="0"/>
              <w:rPr>
                <w:sz w:val="20"/>
                <w:szCs w:val="20"/>
                <w:color w:val="auto"/>
              </w:rPr>
            </w:pPr>
            <w:r>
              <w:rPr>
                <w:rFonts w:ascii="Arial" w:cs="Arial" w:eastAsia="Arial" w:hAnsi="Arial"/>
                <w:sz w:val="18"/>
                <w:szCs w:val="18"/>
                <w:color w:val="auto"/>
                <w:w w:val="91"/>
              </w:rPr>
              <w:t>March 31, 2020 Using</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color w:val="auto"/>
                <w:w w:val="88"/>
              </w:rPr>
              <w:t>Quoted Prices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in Active</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Other</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Significant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Total Fair</w:t>
            </w: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Identical</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Unobservable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Value at</w:t>
            </w:r>
          </w:p>
        </w:tc>
      </w:tr>
      <w:tr>
        <w:trPr>
          <w:trHeight w:val="199"/>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95"/>
              </w:rPr>
              <w:t>March 31,</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Contracts</w:t>
            </w: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Inputs</w:t>
            </w:r>
          </w:p>
        </w:tc>
        <w:tc>
          <w:tcPr>
            <w:tcW w:w="2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December 31,</w:t>
            </w:r>
          </w:p>
        </w:tc>
      </w:tr>
      <w:tr>
        <w:trPr>
          <w:trHeight w:val="216"/>
        </w:trPr>
        <w:tc>
          <w:tcPr>
            <w:tcW w:w="466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color w:val="auto"/>
                <w:w w:val="89"/>
              </w:rPr>
              <w:t>2020</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3"/>
              </w:rPr>
              <w:t>(Level 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40"/>
              <w:spacing w:after="0" w:line="216" w:lineRule="exact"/>
              <w:rPr>
                <w:sz w:val="20"/>
                <w:szCs w:val="20"/>
                <w:color w:val="auto"/>
              </w:rPr>
            </w:pPr>
            <w:r>
              <w:rPr>
                <w:rFonts w:ascii="Arial" w:cs="Arial" w:eastAsia="Arial" w:hAnsi="Arial"/>
                <w:sz w:val="15"/>
                <w:szCs w:val="15"/>
                <w:color w:val="auto"/>
                <w:w w:val="96"/>
              </w:rPr>
              <w:t>(Level 3)</w:t>
            </w:r>
            <w:r>
              <w:rPr>
                <w:rFonts w:ascii="Arial" w:cs="Arial" w:eastAsia="Arial" w:hAnsi="Arial"/>
                <w:sz w:val="25"/>
                <w:szCs w:val="25"/>
                <w:color w:val="auto"/>
                <w:w w:val="96"/>
                <w:vertAlign w:val="superscript"/>
              </w:rPr>
              <w:t>(1)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8"/>
                <w:szCs w:val="18"/>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Embedded derivative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1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There was no Level 3 transfer activity for the three months ended March 31, 2020 and 2019.</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Financial Instruments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and December 31, 2019, we did not have any financial instruments with fair values significantly different from their carrying amounts (which excludes issuance costs, if applicable), except for the Senior Secured Notes as shown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ind w:left="520"/>
              <w:spacing w:after="0"/>
              <w:rPr>
                <w:sz w:val="20"/>
                <w:szCs w:val="20"/>
                <w:color w:val="auto"/>
              </w:rPr>
            </w:pPr>
            <w:r>
              <w:rPr>
                <w:rFonts w:ascii="Arial" w:cs="Arial" w:eastAsia="Arial" w:hAnsi="Arial"/>
                <w:sz w:val="18"/>
                <w:szCs w:val="18"/>
                <w:color w:val="auto"/>
              </w:rPr>
              <w:t>March 31, 2020</w:t>
            </w:r>
          </w:p>
        </w:tc>
        <w:tc>
          <w:tcPr>
            <w:tcW w:w="160" w:type="dxa"/>
            <w:vAlign w:val="bottom"/>
          </w:tcPr>
          <w:p>
            <w:pPr>
              <w:spacing w:after="0"/>
              <w:rPr>
                <w:sz w:val="20"/>
                <w:szCs w:val="20"/>
                <w:color w:val="auto"/>
              </w:rPr>
            </w:pPr>
          </w:p>
        </w:tc>
        <w:tc>
          <w:tcPr>
            <w:tcW w:w="2480" w:type="dxa"/>
            <w:vAlign w:val="bottom"/>
            <w:gridSpan w:val="5"/>
          </w:tcPr>
          <w:p>
            <w:pPr>
              <w:ind w:left="380"/>
              <w:spacing w:after="0"/>
              <w:rPr>
                <w:sz w:val="20"/>
                <w:szCs w:val="20"/>
                <w:color w:val="auto"/>
              </w:rPr>
            </w:pPr>
            <w:r>
              <w:rPr>
                <w:rFonts w:ascii="Arial" w:cs="Arial" w:eastAsia="Arial" w:hAnsi="Arial"/>
                <w:sz w:val="18"/>
                <w:szCs w:val="18"/>
                <w:color w:val="auto"/>
              </w:rPr>
              <w:t>December 31, 2019</w:t>
            </w:r>
          </w:p>
        </w:tc>
      </w:tr>
      <w:tr>
        <w:trPr>
          <w:trHeight w:val="222"/>
        </w:trPr>
        <w:tc>
          <w:tcPr>
            <w:tcW w:w="5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Estimated</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4"/>
              </w:rPr>
              <w:t>Carrying</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Estimated</w:t>
            </w:r>
          </w:p>
        </w:tc>
        <w:tc>
          <w:tcPr>
            <w:tcW w:w="100" w:type="dxa"/>
            <w:vAlign w:val="bottom"/>
          </w:tcPr>
          <w:p>
            <w:pPr>
              <w:spacing w:after="0"/>
              <w:rPr>
                <w:sz w:val="19"/>
                <w:szCs w:val="19"/>
                <w:color w:val="auto"/>
              </w:rPr>
            </w:pPr>
          </w:p>
        </w:tc>
      </w:tr>
      <w:tr>
        <w:trPr>
          <w:trHeight w:val="230"/>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r>
      <w:tr>
        <w:trPr>
          <w:trHeight w:val="206"/>
        </w:trPr>
        <w:tc>
          <w:tcPr>
            <w:tcW w:w="58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4"/>
          </w:tcPr>
          <w:p>
            <w:pPr>
              <w:ind w:left="700"/>
              <w:spacing w:after="0"/>
              <w:rPr>
                <w:sz w:val="20"/>
                <w:szCs w:val="20"/>
                <w:color w:val="auto"/>
              </w:rPr>
            </w:pPr>
            <w:r>
              <w:rPr>
                <w:rFonts w:ascii="Arial" w:cs="Arial" w:eastAsia="Arial" w:hAnsi="Arial"/>
                <w:sz w:val="16"/>
                <w:szCs w:val="16"/>
                <w:color w:val="auto"/>
              </w:rPr>
              <w:t>(In Millions)</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3"/>
              </w:rPr>
              <w:t>348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20"/>
                <w:szCs w:val="20"/>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1220" w:hanging="838"/>
        <w:spacing w:after="0"/>
        <w:tabs>
          <w:tab w:leader="none" w:pos="1220" w:val="left"/>
        </w:tabs>
        <w:numPr>
          <w:ilvl w:val="0"/>
          <w:numId w:val="11"/>
        </w:numPr>
        <w:rPr>
          <w:rFonts w:ascii="Arial" w:cs="Arial" w:eastAsia="Arial" w:hAnsi="Arial"/>
          <w:sz w:val="17"/>
          <w:szCs w:val="17"/>
          <w:color w:val="auto"/>
        </w:rPr>
      </w:pPr>
      <w:r>
        <w:rPr>
          <w:rFonts w:ascii="Arial" w:cs="Arial" w:eastAsia="Arial" w:hAnsi="Arial"/>
          <w:sz w:val="18"/>
          <w:szCs w:val="18"/>
          <w:color w:val="auto"/>
        </w:rPr>
        <w:t>Based on a quoted price of 80.11 at March 31, 2020 and 103.25 at December 31, 2019.</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Senior Secured Notes valuations are classified as Level 2. The fair value of financial instruments is not indicative of the overall fair value of our assets and liabilities since financial instruments do not include all assets, including intangibles, and all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the President of the U.S. signed into law the CARES Act. The CARES Act provides relief to corporate taxpayers by permitting a five year carryback of 2018-2020 net operating losses (“NOLs”), removing the 80% limitation on the carryback of those NOLs, increasing the Section 163(j) 30% limitation on interest expense deductibility to 50% of adjusted taxable income for 2019 and 2020, and accelerates refunds for minimum tax credit carryforwards, along with a few other provisions. During the three months ended March 31, 2020, no material adjustments were required to the income tax benefit as a result of the enactment of the CARES Act.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960" w:type="dxa"/>
            <w:vAlign w:val="bottom"/>
            <w:gridSpan w:val="4"/>
          </w:tcPr>
          <w:p>
            <w:pPr>
              <w:jc w:val="center"/>
              <w:ind w:left="350"/>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gridSpan w:val="3"/>
          </w:tcPr>
          <w:p>
            <w:pPr>
              <w:jc w:val="center"/>
              <w:ind w:right="570"/>
              <w:spacing w:after="0"/>
              <w:rPr>
                <w:sz w:val="20"/>
                <w:szCs w:val="20"/>
                <w:color w:val="auto"/>
              </w:rPr>
            </w:pPr>
            <w:r>
              <w:rPr>
                <w:rFonts w:ascii="Arial" w:cs="Arial" w:eastAsia="Arial" w:hAnsi="Arial"/>
                <w:sz w:val="18"/>
                <w:szCs w:val="18"/>
                <w:color w:val="auto"/>
                <w:w w:val="92"/>
              </w:rPr>
              <w:t>March 31,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80" w:type="dxa"/>
            <w:vAlign w:val="bottom"/>
            <w:gridSpan w:val="3"/>
          </w:tcPr>
          <w:p>
            <w:pPr>
              <w:jc w:val="center"/>
              <w:ind w:right="550"/>
              <w:spacing w:after="0"/>
              <w:rPr>
                <w:sz w:val="20"/>
                <w:szCs w:val="20"/>
                <w:color w:val="auto"/>
              </w:rPr>
            </w:pPr>
            <w:r>
              <w:rPr>
                <w:rFonts w:ascii="Arial" w:cs="Arial" w:eastAsia="Arial" w:hAnsi="Arial"/>
                <w:sz w:val="16"/>
                <w:szCs w:val="16"/>
                <w:color w:val="auto"/>
                <w:w w:val="92"/>
              </w:rPr>
              <w:t>(In Thousands)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0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Federal</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(753)</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State</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w:t>
            </w: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Provision (benefit) for income taxes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and 2019, the current provision (benefit) for state income taxes shown above includes regular state income tax, provisions for uncertain state income tax positions, and other similar adjustments.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rate for 2020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that a portion of our federal deferred tax assets will not be able to be utilized and we estimate the valuation allowance to be recorded during 2020 to be approximately $5.3 million. We have also determined it was more-likely-than-not that a portion of our state deferred tax assets would not be able to be utilized and we estimate the valuation allowance associated with these state deferred tax assets to be recorded during 2020 will be approximately $3.3 million.</w:t>
      </w:r>
    </w:p>
    <w:p>
      <w:pPr>
        <w:spacing w:after="0" w:line="7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and additional guidance for various provisions of the CARES Act,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benefit for the three months ended March 31, 2020 was $0.3 million (2% benefit on pre-tax loss) and the tax provision for the three months ended March 31, 2019 was $0.4 million (4% provision on pre-tax loss). For the first three months ended March 31, 2020 and 2019, the effective tax rate is less than the statutory tax rate primarily due to the impact of the valuation allowances.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2016-2019 years remain open for all purposes of examination by the U.S. Internal Revenue Service and other major tax jurisdictions.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and Series F Redeemable Preferred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2020, the Series E Redeemable Preferred has a 14% annual dividend rate and a participating right in dividends and liquidating distributions equal to 303,646 shares of common stock (participation rights value). Dividends accrue semi-annually in arrears and are compounded. Pursuant to the terms of the Series E Redeemable Preferred, the annual dividend rate will increase (a) by 0.50% in April 2021 (b) by an additional 0.50% in April 2022 and (c) by an additional 1.0% in April 2023. The Series E Redeemable Preferred contains redemption features and a participation rights value that are being accounted for as derivative instruments and have been bifurcated from the Series E Redeemable Preferred as discussed in Note 6.</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 Series F Redeemable Preferred has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52"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2440" w:type="dxa"/>
            <w:vAlign w:val="bottom"/>
            <w:gridSpan w:val="5"/>
          </w:tcPr>
          <w:p>
            <w:pPr>
              <w:jc w:val="center"/>
              <w:ind w:right="80"/>
              <w:spacing w:after="0"/>
              <w:rPr>
                <w:sz w:val="20"/>
                <w:szCs w:val="20"/>
                <w:color w:val="auto"/>
              </w:rPr>
            </w:pPr>
            <w:r>
              <w:rPr>
                <w:rFonts w:ascii="Arial" w:cs="Arial" w:eastAsia="Arial" w:hAnsi="Arial"/>
                <w:sz w:val="18"/>
                <w:szCs w:val="18"/>
                <w:color w:val="auto"/>
                <w:w w:val="87"/>
              </w:rPr>
              <w:t>Series E Redeemable Preferred</w:t>
            </w:r>
          </w:p>
        </w:tc>
      </w:tr>
      <w:tr>
        <w:trPr>
          <w:trHeight w:val="223"/>
        </w:trPr>
        <w:tc>
          <w:tcPr>
            <w:tcW w:w="54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r>
      <w:tr>
        <w:trPr>
          <w:trHeight w:val="203"/>
        </w:trPr>
        <w:tc>
          <w:tcPr>
            <w:tcW w:w="5420" w:type="dxa"/>
            <w:vAlign w:val="bottom"/>
          </w:tcPr>
          <w:p>
            <w:pPr>
              <w:spacing w:after="0"/>
              <w:rPr>
                <w:sz w:val="17"/>
                <w:szCs w:val="17"/>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6"/>
                <w:szCs w:val="16"/>
                <w:color w:val="auto"/>
                <w:w w:val="92"/>
              </w:rPr>
              <w:t>(Dollars In Thousands)</w:t>
            </w:r>
          </w:p>
        </w:tc>
      </w:tr>
      <w:tr>
        <w:trPr>
          <w:trHeight w:val="23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234,893</w:t>
            </w:r>
          </w:p>
        </w:tc>
        <w:tc>
          <w:tcPr>
            <w:tcW w:w="80" w:type="dxa"/>
            <w:vAlign w:val="bottom"/>
            <w:shd w:val="clear" w:color="auto" w:fill="CFF0FC"/>
          </w:tcPr>
          <w:p>
            <w:pPr>
              <w:spacing w:after="0"/>
              <w:rPr>
                <w:sz w:val="20"/>
                <w:szCs w:val="20"/>
                <w:color w:val="auto"/>
              </w:rPr>
            </w:pPr>
          </w:p>
        </w:tc>
      </w:tr>
      <w:tr>
        <w:trPr>
          <w:trHeight w:val="215"/>
        </w:trPr>
        <w:tc>
          <w:tcPr>
            <w:tcW w:w="542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0"/>
                <w:szCs w:val="20"/>
                <w:color w:val="auto"/>
              </w:rPr>
            </w:pPr>
          </w:p>
        </w:tc>
      </w:tr>
      <w:tr>
        <w:trPr>
          <w:trHeight w:val="21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20"/>
                <w:szCs w:val="20"/>
                <w:color w:val="auto"/>
              </w:rPr>
            </w:pPr>
          </w:p>
        </w:tc>
      </w:tr>
      <w:tr>
        <w:trPr>
          <w:trHeight w:val="230"/>
        </w:trPr>
        <w:tc>
          <w:tcPr>
            <w:tcW w:w="542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8,307</w:t>
            </w:r>
          </w:p>
        </w:tc>
        <w:tc>
          <w:tcPr>
            <w:tcW w:w="80" w:type="dxa"/>
            <w:vAlign w:val="bottom"/>
          </w:tcPr>
          <w:p>
            <w:pPr>
              <w:spacing w:after="0"/>
              <w:rPr>
                <w:sz w:val="19"/>
                <w:szCs w:val="19"/>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2860" w:type="dxa"/>
            <w:vAlign w:val="bottom"/>
            <w:gridSpan w:val="4"/>
          </w:tcPr>
          <w:p>
            <w:pPr>
              <w:jc w:val="center"/>
              <w:ind w:left="490"/>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00" w:type="dxa"/>
            <w:vAlign w:val="bottom"/>
            <w:gridSpan w:val="3"/>
          </w:tcPr>
          <w:p>
            <w:pPr>
              <w:jc w:val="center"/>
              <w:ind w:right="327"/>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7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gridSpan w:val="3"/>
          </w:tcPr>
          <w:p>
            <w:pPr>
              <w:jc w:val="center"/>
              <w:ind w:right="327"/>
              <w:spacing w:after="0"/>
              <w:rPr>
                <w:sz w:val="20"/>
                <w:szCs w:val="20"/>
                <w:color w:val="auto"/>
              </w:rPr>
            </w:pPr>
            <w:r>
              <w:rPr>
                <w:rFonts w:ascii="Arial" w:cs="Arial" w:eastAsia="Arial" w:hAnsi="Arial"/>
                <w:sz w:val="16"/>
                <w:szCs w:val="16"/>
                <w:color w:val="auto"/>
                <w:w w:val="92"/>
              </w:rPr>
              <w:t>(Dollars 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Agricultural products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41,458</w:t>
            </w:r>
          </w:p>
        </w:tc>
        <w:tc>
          <w:tcPr>
            <w:tcW w:w="130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46,820</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Industrial acids and other chemical products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37,850</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Mining products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sales</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83,411</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94,152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the average remaining expected duration was approximately 15 months at March 31, 2020.</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$4.2 million and $3.6 million of contract liabilities as of March 31, 2020 and December 31, 2019, respectively. For the three months ended March 31, 2020 and 2019, revenues of $0.5 million and $1.4 million, respectively, were recognized and included in the balance at the beginning of the respective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we have two separate outstanding financing arrangements with an affiliate of LSB Funding as discussed in footnotes (E) and (F) of Note 4. Also, an affiliate of LSB Funding holds $50 million of our Senior Secured Notes discussed in footnote (B) of Note 4. In addition, LSB Funding holds all outstanding shares of the Series E and Series F Redeemable Preferred discussed in Note 8.</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Golsen Holders hold all outstanding shares of the Series B Preferred and Series D Preferred, which accumulated dividends on such shares totaled approximately $1.4 million at 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left="451"/>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03"/>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6"/>
                <w:szCs w:val="16"/>
                <w:color w:val="auto"/>
                <w:w w:val="91"/>
              </w:rPr>
              <w:t>(In Thousands)</w:t>
            </w:r>
          </w:p>
        </w:tc>
      </w:tr>
      <w:tr>
        <w:trPr>
          <w:trHeight w:val="23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5360" w:type="dxa"/>
            <w:vAlign w:val="bottom"/>
          </w:tcPr>
          <w:p>
            <w:pPr>
              <w:ind w:left="240"/>
              <w:spacing w:after="0"/>
              <w:rPr>
                <w:sz w:val="20"/>
                <w:szCs w:val="20"/>
                <w:color w:val="auto"/>
              </w:rPr>
            </w:pPr>
            <w:r>
              <w:rPr>
                <w:rFonts w:ascii="Arial" w:cs="Arial" w:eastAsia="Arial" w:hAnsi="Arial"/>
                <w:sz w:val="18"/>
                <w:szCs w:val="18"/>
                <w:color w:val="auto"/>
              </w:rPr>
              <w:t>Supplies and accounts payable associated with additions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420"/>
              <w:spacing w:after="0"/>
              <w:rPr>
                <w:sz w:val="20"/>
                <w:szCs w:val="20"/>
                <w:color w:val="auto"/>
              </w:rPr>
            </w:pPr>
            <w:r>
              <w:rPr>
                <w:rFonts w:ascii="Arial" w:cs="Arial" w:eastAsia="Arial" w:hAnsi="Arial"/>
                <w:sz w:val="18"/>
                <w:szCs w:val="18"/>
                <w:color w:val="auto"/>
              </w:rPr>
              <w:t>of property, plant and equipment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20,229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11,901</w:t>
            </w:r>
          </w:p>
        </w:tc>
        <w:tc>
          <w:tcPr>
            <w:tcW w:w="80" w:type="dxa"/>
            <w:vAlign w:val="bottom"/>
          </w:tcPr>
          <w:p>
            <w:pPr>
              <w:spacing w:after="0"/>
              <w:rPr>
                <w:sz w:val="20"/>
                <w:szCs w:val="20"/>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8,307</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504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March 31, 2020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540" w:right="20" w:hanging="357"/>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Continued Focus on Becoming a “Best in Class” Chemical plant operator with respect to safe, reliable operations that produce the highest quality product.</w:t>
      </w:r>
    </w:p>
    <w:p>
      <w:pPr>
        <w:spacing w:after="0" w:line="62" w:lineRule="exact"/>
        <w:rPr>
          <w:sz w:val="20"/>
          <w:szCs w:val="20"/>
          <w:color w:val="auto"/>
        </w:rPr>
      </w:pPr>
    </w:p>
    <w:p>
      <w:pPr>
        <w:jc w:val="both"/>
        <w:ind w:left="740" w:hanging="368"/>
        <w:spacing w:after="0" w:line="254" w:lineRule="auto"/>
        <w:tabs>
          <w:tab w:leader="none" w:pos="74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implemented and are currently managing enhanced safety programs at our facilities that focus on improving our safety culture that will reduce risks and continuously improve our safety performance.</w:t>
      </w:r>
    </w:p>
    <w:p>
      <w:pPr>
        <w:spacing w:after="0" w:line="81" w:lineRule="exact"/>
        <w:rPr>
          <w:rFonts w:ascii="Courier New" w:cs="Courier New" w:eastAsia="Courier New" w:hAnsi="Courier New"/>
          <w:sz w:val="18"/>
          <w:szCs w:val="18"/>
          <w:color w:val="auto"/>
        </w:rPr>
      </w:pPr>
    </w:p>
    <w:p>
      <w:pPr>
        <w:ind w:left="740" w:hanging="368"/>
        <w:spacing w:after="0" w:line="259" w:lineRule="auto"/>
        <w:tabs>
          <w:tab w:leader="none" w:pos="74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Additionally, over the last several years, our focus has been on upgrading our existing maintenance management system through technology enhancements and work processes to improve our predictive and preventative maintenance programs at our facilities.</w:t>
      </w:r>
    </w:p>
    <w:p>
      <w:pPr>
        <w:spacing w:after="0" w:line="76" w:lineRule="exact"/>
        <w:rPr>
          <w:rFonts w:ascii="Courier New" w:cs="Courier New" w:eastAsia="Courier New" w:hAnsi="Courier New"/>
          <w:sz w:val="18"/>
          <w:szCs w:val="18"/>
          <w:color w:val="auto"/>
        </w:rPr>
      </w:pPr>
    </w:p>
    <w:p>
      <w:pPr>
        <w:jc w:val="both"/>
        <w:ind w:left="740" w:hanging="368"/>
        <w:spacing w:after="0" w:line="252" w:lineRule="auto"/>
        <w:tabs>
          <w:tab w:leader="none" w:pos="74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We have several initiatives underway that we believe will improve the overall reliability of our plants and allow us to produce more products for sale while lowering our cost of production. Those initiatives are focused on building internal expertise to improve oversight of external contractors, operating behavior and procedure enhancements including operator training, leadership training, shift change enhancements and operating and maintenance procedures and developing systems to advance the use of process data to identify and correct anomalies in the manufacturing processes and asset performance.</w:t>
      </w:r>
    </w:p>
    <w:p>
      <w:pPr>
        <w:spacing w:after="0" w:line="84" w:lineRule="exact"/>
        <w:rPr>
          <w:rFonts w:ascii="Courier New" w:cs="Courier New" w:eastAsia="Courier New" w:hAnsi="Courier New"/>
          <w:sz w:val="18"/>
          <w:szCs w:val="18"/>
          <w:color w:val="auto"/>
        </w:rPr>
      </w:pPr>
    </w:p>
    <w:p>
      <w:pPr>
        <w:jc w:val="both"/>
        <w:ind w:left="540" w:hanging="357"/>
        <w:spacing w:after="0" w:line="275"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Continue Broadening of the Distribution of our Products. </w:t>
      </w:r>
      <w:r>
        <w:rPr>
          <w:rFonts w:ascii="Arial" w:cs="Arial" w:eastAsia="Arial" w:hAnsi="Arial"/>
          <w:sz w:val="17"/>
          <w:szCs w:val="17"/>
          <w:color w:val="auto"/>
        </w:rPr>
        <w:t>To further leverage our plants current production capacity, we are continuing to expand</w:t>
      </w:r>
      <w:r>
        <w:rPr>
          <w:rFonts w:ascii="Arial" w:cs="Arial" w:eastAsia="Arial" w:hAnsi="Arial"/>
          <w:sz w:val="17"/>
          <w:szCs w:val="17"/>
          <w:i w:val="1"/>
          <w:iCs w:val="1"/>
          <w:color w:val="auto"/>
        </w:rPr>
        <w:t xml:space="preserve"> </w:t>
      </w:r>
      <w:r>
        <w:rPr>
          <w:rFonts w:ascii="Arial" w:cs="Arial" w:eastAsia="Arial" w:hAnsi="Arial"/>
          <w:sz w:val="17"/>
          <w:szCs w:val="17"/>
          <w:color w:val="auto"/>
        </w:rPr>
        <w:t>the distribution of our industrial and mining products by partnering with customers to take product into different markets within the U.S. as well as markets outside the U.S. Additionally, during 2019, we developed a pipeline of margin enhancement projects including product loading and unloading improvements, tank storage and capital to facilitate guest plant opportunities which, we expect will result in improved margins on the sales of our products. We expect to complete these projects over the next 12 to 18 months.</w:t>
      </w:r>
    </w:p>
    <w:p>
      <w:pPr>
        <w:spacing w:after="0" w:line="68" w:lineRule="exact"/>
        <w:rPr>
          <w:rFonts w:ascii="Arial" w:cs="Arial" w:eastAsia="Arial" w:hAnsi="Arial"/>
          <w:sz w:val="17"/>
          <w:szCs w:val="17"/>
          <w:color w:val="auto"/>
        </w:rPr>
      </w:pPr>
    </w:p>
    <w:p>
      <w:pPr>
        <w:ind w:left="540" w:right="20" w:hanging="357"/>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Improve Our Capital Structure and Overall Cost of Capital. </w:t>
      </w:r>
      <w:r>
        <w:rPr>
          <w:rFonts w:ascii="Arial" w:cs="Arial" w:eastAsia="Arial" w:hAnsi="Arial"/>
          <w:sz w:val="18"/>
          <w:szCs w:val="18"/>
          <w:color w:val="auto"/>
        </w:rPr>
        <w:t>We are actively seeking ways to improve our capital structure and reduce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capital. We believe that our improved operating performance will be a benefit in achieving those efforts.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of the facilities we operate have been designated as essential critical infrastructure based on guidelines issued by the United States Department of Homeland Security’s Cybersecurity and Infrastructure Security Agency. Since we produce fertilizer products used by the agriculture industry, as well as chemical products required in a variety of industrial manufacturing processes, LSB has been determined to be a critical service, and therefore, our facilities are remaining in operation despite the evolving global health crisis resulting from the COVID-19 pandemic. Management has taken significant measures to ensure the health and safety of our employees and our business continuity during this challenging situation. Specific to our personnel at our manufacturing facilities and retail agricultural centers, we have developed plans and procedures that allow them to operate in the safest manner possible in order to protect them, their families, our vendors and customers. These include daily health screenings, including temperature checks and questionnaires, use of proper personal protection equipment, regular disinfection and cleaning of equipment and workspaces, social distancing, working from home where appropriate and quarantining of employees according to specific protocols. Thus far, our efforts have been successful as we have had no employees known to contract COVID-19. We will maintain our discipline in this regard for however long the current health risk persists.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91" w:lineRule="auto"/>
        <w:rPr>
          <w:sz w:val="20"/>
          <w:szCs w:val="20"/>
          <w:color w:val="auto"/>
        </w:rPr>
      </w:pPr>
      <w:r>
        <w:rPr>
          <w:rFonts w:ascii="Arial" w:cs="Arial" w:eastAsia="Arial" w:hAnsi="Arial"/>
          <w:sz w:val="16"/>
          <w:szCs w:val="16"/>
          <w:color w:val="auto"/>
        </w:rPr>
        <w:t>As discussed below under “Key Industry Factors”, the USDA recently increased its forecast for total corn acres to be planted in 2020 from 94 million to 97 million, up from the 89 million acres of corn planted in the U.S. in 2019. The increase suggests strong growth in demand for fertilizers during the second quarter spring planting season, which we expect to benefit our results. With respect to the COVID-19 pandemic, we have seen some pull back in demand across our industrial and mining business. However, we anticipate that we can shift some of this production towards our agricultural end markets that are experiencing elevated demand. This, along with the cost saving measures discussed below, should allow us to minimize the overall impact to our financial results. While the current global health crisis remains a major uncertainty for the U.S. economy, that could affect industrial and mining orders in the coming months, we are well diversified across our end markets and we expect will minimize the impact to our financial results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unprecedented level of uncertainty prevalent in the economy at this time, management and our Board of Directors have taken several decisive actions to control our costs and maintain liquidity until the business environment stabilizes and visibility improves. Specifically, we have identified a combination of plant expenses and SG&amp;A that have been deferred for the next 60 days or potentially longer depending on the duration of the COVID-19 crisis. Additionally, we currently have deferred between $5 million and $6 million of capital expenditures not related to Environmental, Health and Safety investments until the fourth quarter of 2020.</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liquidity front, as of March 31, 2020, we had approximately $58 million of combined cash and borrowing capacity, which, we believe, provides us with ample liquidity to fund our operations and meet our obligations.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received a $10 million loan through the Paycheck Protection Program (“PPP”) within the CARES Act stimulus package. The funds from this loan, along with the decisive action we have taken to defer expenses and capital expenditures, have enabled us to avoid the need to furlough or terminate employees to counteract the lost volume and pricing impacts we have seen or expect as a result of the COVID-19 pandemic. We are also evaluating additional funding options that may be available through the CARES Act stimulus package for mid-sized companies. Also see discussions below under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Agricultural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Sales of our agricultural products were approximately 50% of our total net sales for the first quarter of 2020. The </w:t>
      </w:r>
      <w:r>
        <w:rPr>
          <w:rFonts w:ascii="Arial" w:cs="Arial" w:eastAsia="Arial" w:hAnsi="Arial"/>
          <w:sz w:val="17"/>
          <w:szCs w:val="17"/>
          <w:color w:val="2E2E2E"/>
        </w:rPr>
        <w:t>price at which our agricultural products</w:t>
      </w:r>
      <w:r>
        <w:rPr>
          <w:rFonts w:ascii="Arial" w:cs="Arial" w:eastAsia="Arial" w:hAnsi="Arial"/>
          <w:sz w:val="17"/>
          <w:szCs w:val="17"/>
          <w:color w:val="auto"/>
        </w:rPr>
        <w:t xml:space="preserve"> </w:t>
      </w:r>
      <w:r>
        <w:rPr>
          <w:rFonts w:ascii="Arial" w:cs="Arial" w:eastAsia="Arial" w:hAnsi="Arial"/>
          <w:sz w:val="17"/>
          <w:szCs w:val="17"/>
          <w:color w:val="2E2E2E"/>
        </w:rPr>
        <w:t>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 The USDA estimates the number of acres of corn being planted in the U.S. in 2020 to be approximately 97.0 million acres. In addition, the USDA estimates corn production for the 2019 harvest at approximately 13.7 billion bushels, down 5 percent from the 2018 harvest. The average yield in the U.S. is estimated at 168.0 bushels per acre, 8.4 bushels below the 2018 harvest yield of 176.4 bushels per acre.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April estimates are associated with the corn market: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2020 Crop</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2019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2018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(2019 Harvest)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(2018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(2017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4"/>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(2)</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40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380" w:type="dxa"/>
            <w:vAlign w:val="bottom"/>
          </w:tcPr>
          <w:p>
            <w:pPr>
              <w:jc w:val="right"/>
              <w:spacing w:after="0"/>
              <w:rPr>
                <w:sz w:val="20"/>
                <w:szCs w:val="20"/>
                <w:color w:val="auto"/>
              </w:rPr>
            </w:pPr>
            <w:r>
              <w:rPr>
                <w:rFonts w:ascii="Arial" w:cs="Arial" w:eastAsia="Arial" w:hAnsi="Arial"/>
                <w:sz w:val="18"/>
                <w:szCs w:val="18"/>
                <w:color w:val="auto"/>
              </w:rPr>
              <w:t>13,692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14,340</w:t>
            </w: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400" w:type="dxa"/>
            <w:vAlign w:val="bottom"/>
          </w:tcPr>
          <w:p>
            <w:pPr>
              <w:jc w:val="right"/>
              <w:spacing w:after="0"/>
              <w:rPr>
                <w:sz w:val="20"/>
                <w:szCs w:val="20"/>
                <w:color w:val="auto"/>
              </w:rPr>
            </w:pPr>
            <w:r>
              <w:rPr>
                <w:rFonts w:ascii="Arial" w:cs="Arial" w:eastAsia="Arial" w:hAnsi="Arial"/>
                <w:sz w:val="18"/>
                <w:szCs w:val="18"/>
                <w:color w:val="auto"/>
              </w:rPr>
              <w:t>14,609</w:t>
            </w: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380" w:type="dxa"/>
            <w:vAlign w:val="bottom"/>
          </w:tcPr>
          <w:p>
            <w:pPr>
              <w:jc w:val="right"/>
              <w:spacing w:after="0"/>
              <w:rPr>
                <w:sz w:val="20"/>
                <w:szCs w:val="20"/>
                <w:color w:val="auto"/>
              </w:rPr>
            </w:pPr>
            <w:r>
              <w:rPr>
                <w:rFonts w:ascii="Arial" w:cs="Arial" w:eastAsia="Arial" w:hAnsi="Arial"/>
                <w:sz w:val="18"/>
                <w:szCs w:val="18"/>
                <w:color w:val="auto"/>
              </w:rPr>
              <w:t>303.2</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320.9</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400" w:type="dxa"/>
            <w:vAlign w:val="bottom"/>
          </w:tcPr>
          <w:p>
            <w:pPr>
              <w:jc w:val="right"/>
              <w:spacing w:after="0"/>
              <w:rPr>
                <w:sz w:val="20"/>
                <w:szCs w:val="20"/>
                <w:color w:val="auto"/>
              </w:rPr>
            </w:pPr>
            <w:r>
              <w:rPr>
                <w:rFonts w:ascii="Arial" w:cs="Arial" w:eastAsia="Arial" w:hAnsi="Arial"/>
                <w:sz w:val="18"/>
                <w:szCs w:val="18"/>
                <w:color w:val="auto"/>
              </w:rPr>
              <w:t>341.6</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40" w:hanging="368"/>
        <w:spacing w:after="0" w:line="25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obtained from WASDE reports dated April 9, 2020 (“April Report”) for the 2019/2020 (“2020 Crop”), 2018/2019 (“2019 Crop”) and 2017/2018 (“2018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percentage change between the 2020 Crop amounts compared to the 2019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percentage change between the 2020 Crop amounts compared to the 2018 Crop amounts.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Following the expansions, global nitrogen fertilizer supply outpaced global nitrogen fertilizer demand causing oversupply in the global and North American markets. In addition, the new domestic supply of ammonia and other fertilizer products changed the physical flow of ammonia in North America placing pressure on nitrogen fertilizer selling prices as the new capacity was absorbed by the market. More recently, ammonia pricing has been under pressure as a result of inordinately inclement weather in late 2018 and 2019, which led to limited fertilizer application and resultant elevated ammonia inventory levels in the domestic distribution channel. Additionally, UAN prices have pulled back in part, due to European anti-dumping duties that were imposed on imports from certain countries, including the U.S., which has caused increased imports of UAN into the U.S. primarily from Trinidad and Russia and exports from the U.S. to decrease, resulting in increased overall supply in the U.S market. Also, ammonia prices in the Southern Plains market have been under additional pricing pressure relating to the closure of the Magellan ammonia pipeline discussed below under “Transportation Costs.”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a challenging 2019 for U.S. corn farmers, a lower 2019 harvest and a decline in the stock-to-use ratio for corn, the USDA is projecting an increase in planted corn acres for the 2020 planting season representing an approximate 8% increase in corn acres year over year. However, with the nation restricted from traveling in an attempt to slow the spread of the COVID-19 pandemic, gasoline usage has been significantly curtailed putting pressure on ethanol prices and causing the closure of numerous ethanol production facilities. Most gasoline has 10% ethanol content. Ethanol is commonly made from corn and Ethanol production is the largest user of U.S. corn, representing roughly 40% of corn demand. As a result, the USDA has dropped corn demand from ethanol production by 375 million bushels for 2020 in their April report. This increases the USDA ending corn stocks forecast from the 2020 harvest compared to their March report. This puts pressure on current and projected corn prices and could have an impact on the number of corn acres planted this Spring and, in the Spring of 2021, which may impact fertilizer demand as early as this Fall.</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Therefore, for 2020, we expect overall stronger demand for our products somewhat tempered by continued pricing pressures on fertilizer and corn pricing.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 and Mining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our industrial products were approximately 42% of our total net sales for the first quarter of 2020. Our industrial products sales volumes are dependent upon general economic conditions primarily in the housing, automotive, and paper industries. According to the American Chemistry Council, the U.S. economic indicators are experiencing weakness and contracting in the wake of the COVID-19 pandemic and its impact on the U.S market we serve in addition to weakness in the global economy. Our sales prices generally vary with the market price of ammonia or natural gas, as applicable, in our pricing arrangements with customers.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E2E2E"/>
        </w:rPr>
        <w:t xml:space="preserve">Sales of our mining products were </w:t>
      </w:r>
      <w:r>
        <w:rPr>
          <w:rFonts w:ascii="Arial" w:cs="Arial" w:eastAsia="Arial" w:hAnsi="Arial"/>
          <w:sz w:val="18"/>
          <w:szCs w:val="18"/>
          <w:color w:val="000000"/>
        </w:rPr>
        <w:t>approximately 8% of our total net sales for the first quarter of 2020. Our mining products are LDAN and AN solution,</w:t>
      </w:r>
      <w:r>
        <w:rPr>
          <w:rFonts w:ascii="Arial" w:cs="Arial" w:eastAsia="Arial" w:hAnsi="Arial"/>
          <w:sz w:val="18"/>
          <w:szCs w:val="18"/>
          <w:color w:val="2E2E2E"/>
        </w:rPr>
        <w:t xml:space="preserve"> </w:t>
      </w:r>
      <w:r>
        <w:rPr>
          <w:rFonts w:ascii="Arial" w:cs="Arial" w:eastAsia="Arial" w:hAnsi="Arial"/>
          <w:sz w:val="18"/>
          <w:szCs w:val="18"/>
          <w:color w:val="000000"/>
        </w:rPr>
        <w:t>which are primary used as AN fuel oil and specialty emulsions for usage in the quarry and the construction industries, for metals mining, and to a lesser extent, for coal. In our mining markets, our sales volumes are typically driven by changes in the overall North American consumption levels of mining products that can be impacted by weather. Additionally, recent reduction in coal mining activities is increasing competition within the other sectors of this market. While we believe our plants 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well located to support the more stable quarry and construction industries and the metals mining industries, our mining sales volumes for the first quarter of 2020 were affected by overall lower customer demand in our mining markets.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During the first quarter of 2020, we also entered into certain forward natural gas contracts as discussed in Note 6.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gridSpan w:val="5"/>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gridSpan w:val="4"/>
          </w:tcPr>
          <w:p>
            <w:pPr>
              <w:jc w:val="center"/>
              <w:ind w:right="327"/>
              <w:spacing w:after="0"/>
              <w:rPr>
                <w:sz w:val="20"/>
                <w:szCs w:val="20"/>
                <w:color w:val="auto"/>
              </w:rPr>
            </w:pPr>
            <w:r>
              <w:rPr>
                <w:rFonts w:ascii="Arial" w:cs="Arial" w:eastAsia="Arial" w:hAnsi="Arial"/>
                <w:sz w:val="18"/>
                <w:szCs w:val="18"/>
                <w:color w:val="auto"/>
                <w:w w:val="92"/>
              </w:rPr>
              <w:t>March 31,</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1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2.09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Additionally, the Magellan ammonia pipeline, which had an annual capacity to transport approximately 900,000 tons per year, most of which was produced in Oklahoma and Texas and delivered via the pipeline in the Midwest has been permanently shut down. Without the pipeline in place for ammonia transport, producers have to rely on other transportation venues, primarily truck, but will also include rail and barge transport of ammonia. Higher transportation costs may impact our margins if we are not able to pass through these costs. As a result, we continue to evaluate supply chain efficiencies to reduce or counter the impact of higher logistics costs.</w:t>
      </w:r>
    </w:p>
    <w:p>
      <w:pPr>
        <w:spacing w:after="0" w:line="69"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Pryor Facility is currently on a two-year Turnaround cycle with the next Turnaround planned for the third quarter of 2021. At that time, we will seek to move to a three-year Turnaround cycle.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El Dorado Facility is currently on a three-year Turnaround cycle with the next Turnaround planned in the third quarter of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Cherokee Facility is currently on a three-year Turnaround cycle with the next Turnaround planned in the third quarter of 2021.</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Consolidated Results of the First Quarter of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first quarter of 2020 were $83.4 million compared to $94.2 million for the same period in 2019. Our consolidated operating loss was $7.0 million compared to a consolidated operating income of $0.1 million for the same period in 2019. The items impacting our operating results are discussed in more detail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First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2020, average agricultural selling prices for our ammonia, UAN and HDAN decreased 34%, 28% and 11%, respectively, compared to the same period in 2019. As discussed above under “Key Industry Factors,” the decline in ammonia average selling prices reflects decreases in the Southern Plains benchmark for this product resulting from elevated ammonia inventory levels from the inordinately inclement weather throughout the Midwest over the past year and the closure of the Magellan ammonia pipeline in September 2019 which has led to excess ammonia supply in the Southern Plains market. UAN prices were negatively impacted by European anti-dumping duties which resulted in less exports of UAN from the U.S. and more imports of UAN from Russia and Trinidad into the United States. HDAN prices are being impacted by the decline in the overall agricultural commodity prices.</w:t>
      </w:r>
    </w:p>
    <w:p>
      <w:pPr>
        <w:spacing w:after="0" w:line="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first quarter 2020 average industrial selling prices for our ammonia also decreased compared to the same period of 2019 as a result of the aforementioned elevated ammonia inventory levels. The first quarter 2020 Tampa Ammonia pricing declined approximately 11% as compared to the same period in 2019, which led to a decrease in industrial selling prices as many of our industrial contracts are indexed to the Tampa Ammonia benchmark price.</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Fees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first quarters of 2020 and 2019, legal fees were approximately $3.6 million and $1.1 million, respectively. The change primarily relates to fees incurred as we pursue our claims against Leidos to recover damages and losses associated with the construction of the ammonia plant at the El Dorado Facility as discussed in footnote B of Note 5. Due to the impact from the COVID-19 pandemic, the trial date has been delayed until September 2020. We expect minimal legal fee spending related to our Leidos case over the next several months. However, costs will increase later this year as we restart preparations for trial in September.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months ended March 31, 2020 and 2019 and accompanying notes and the discussions under “Overview” and “Liquidity and Capital Resources” included in this MD&amp;A.</w:t>
      </w:r>
    </w:p>
    <w:p>
      <w:pPr>
        <w:sectPr>
          <w:pgSz w:w="11900" w:h="16838" w:orient="portrait"/>
          <w:cols w:equalWidth="0" w:num="1">
            <w:col w:w="11240"/>
          </w:cols>
          <w:pgMar w:left="320" w:top="445" w:right="3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We present the following information about our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gross profit represents net sales less cost of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br w:type="column"/>
      </w:r>
    </w:p>
    <w:p>
      <w:pPr>
        <w:jc w:val="right"/>
        <w:spacing w:after="0" w:line="342" w:lineRule="auto"/>
        <w:rPr>
          <w:sz w:val="20"/>
          <w:szCs w:val="20"/>
          <w:color w:val="auto"/>
        </w:rPr>
      </w:pPr>
      <w:r>
        <w:rPr>
          <w:rFonts w:ascii="Arial" w:cs="Arial" w:eastAsia="Arial" w:hAnsi="Arial"/>
          <w:sz w:val="16"/>
          <w:szCs w:val="16"/>
          <w:color w:val="auto"/>
        </w:rPr>
        <w:t>Net sales to unaffiliated customers are reported in the condensed consolidated Net sales are reported on a gross basis with the cost of freight being recorded in</w:t>
      </w:r>
    </w:p>
    <w:p>
      <w:pPr>
        <w:spacing w:after="0" w:line="328" w:lineRule="exact"/>
        <w:rPr>
          <w:sz w:val="20"/>
          <w:szCs w:val="20"/>
          <w:color w:val="auto"/>
        </w:rPr>
      </w:pPr>
    </w:p>
    <w:p>
      <w:pPr>
        <w:sectPr>
          <w:pgSz w:w="11900" w:h="16838" w:orient="portrait"/>
          <w:cols w:equalWidth="0" w:num="2">
            <w:col w:w="5360" w:space="20"/>
            <w:col w:w="5860"/>
          </w:cols>
          <w:pgMar w:left="320" w:top="445" w:right="33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7860" w:type="dxa"/>
            <w:vAlign w:val="bottom"/>
            <w:gridSpan w:val="12"/>
          </w:tcPr>
          <w:p>
            <w:pPr>
              <w:jc w:val="right"/>
              <w:ind w:right="1020"/>
              <w:spacing w:after="0"/>
              <w:rPr>
                <w:sz w:val="20"/>
                <w:szCs w:val="20"/>
                <w:color w:val="auto"/>
              </w:rPr>
            </w:pPr>
            <w:r>
              <w:rPr>
                <w:rFonts w:ascii="Arial" w:cs="Arial" w:eastAsia="Arial" w:hAnsi="Arial"/>
                <w:sz w:val="18"/>
                <w:szCs w:val="18"/>
                <w:b w:val="1"/>
                <w:bCs w:val="1"/>
                <w:color w:val="auto"/>
                <w:w w:val="91"/>
              </w:rPr>
              <w:t>Three Months Ended March 31, 2020 Compared to Three Months Ended March 31, 2019</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8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6"/>
          </w:tcPr>
          <w:p>
            <w:pPr>
              <w:jc w:val="right"/>
              <w:ind w:right="88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4"/>
          </w:tcPr>
          <w:p>
            <w:pPr>
              <w:jc w:val="right"/>
              <w:ind w:right="10"/>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w w:val="95"/>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6"/>
                <w:szCs w:val="16"/>
                <w:color w:val="auto"/>
                <w:w w:val="92"/>
              </w:rPr>
              <w:t>(Dollars In Thousands)</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Agricultural products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41,458</w:t>
            </w:r>
          </w:p>
        </w:tc>
        <w:tc>
          <w:tcPr>
            <w:tcW w:w="80" w:type="dxa"/>
            <w:vAlign w:val="bottom"/>
          </w:tcPr>
          <w:p>
            <w:pPr>
              <w:spacing w:after="0"/>
              <w:rPr>
                <w:sz w:val="19"/>
                <w:szCs w:val="19"/>
                <w:color w:val="auto"/>
              </w:rPr>
            </w:pP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46,820</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(5,362)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47,332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(5,379)</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83,411</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94,152</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(10,741)</w:t>
            </w:r>
          </w:p>
        </w:tc>
        <w:tc>
          <w:tcPr>
            <w:tcW w:w="36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2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Agricultural products </w:t>
            </w:r>
            <w:r>
              <w:rPr>
                <w:rFonts w:ascii="Arial" w:cs="Arial" w:eastAsia="Arial" w:hAnsi="Arial"/>
                <w:sz w:val="14"/>
                <w:szCs w:val="14"/>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(3,199)</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 xml:space="preserve">Industrial and mining products </w:t>
            </w:r>
            <w:r>
              <w:rPr>
                <w:rFonts w:ascii="Arial" w:cs="Arial" w:eastAsia="Arial" w:hAnsi="Arial"/>
                <w:sz w:val="14"/>
                <w:szCs w:val="14"/>
                <w:color w:val="auto"/>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17,676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(802)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20,128</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24,129</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3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(17,577)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(16,811)</w:t>
            </w:r>
          </w:p>
        </w:tc>
        <w:tc>
          <w:tcPr>
            <w:tcW w:w="180" w:type="dxa"/>
            <w:vAlign w:val="bottom"/>
          </w:tcPr>
          <w:p>
            <w:pPr>
              <w:spacing w:after="0"/>
              <w:rPr>
                <w:sz w:val="19"/>
                <w:szCs w:val="19"/>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(766)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7,318</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(4,767)</w:t>
            </w:r>
          </w:p>
        </w:tc>
        <w:tc>
          <w:tcPr>
            <w:tcW w:w="3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6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2,782</w:t>
            </w:r>
          </w:p>
        </w:tc>
        <w:tc>
          <w:tcPr>
            <w:tcW w:w="3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(491)</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(7,058)</w:t>
            </w:r>
          </w:p>
        </w:tc>
        <w:tc>
          <w:tcPr>
            <w:tcW w:w="3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14"/>
                <w:szCs w:val="14"/>
                <w:color w:val="auto"/>
              </w:rPr>
              <w:t>(3)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2,492</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680" w:type="dxa"/>
            <w:vAlign w:val="bottom"/>
            <w:gridSpan w:val="2"/>
          </w:tcPr>
          <w:p>
            <w:pPr>
              <w:spacing w:after="0"/>
              <w:rPr>
                <w:sz w:val="20"/>
                <w:szCs w:val="20"/>
                <w:color w:val="auto"/>
              </w:rPr>
            </w:pPr>
            <w:r>
              <w:rPr>
                <w:rFonts w:ascii="Arial" w:cs="Arial" w:eastAsia="Arial" w:hAnsi="Arial"/>
                <w:sz w:val="18"/>
                <w:szCs w:val="18"/>
                <w:color w:val="auto"/>
              </w:rPr>
              <w:t>Non-operating other expense (income), net</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(899)</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(739)</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(19,452)</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(11,540)</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(7,912)</w:t>
            </w:r>
          </w:p>
        </w:tc>
        <w:tc>
          <w:tcPr>
            <w:tcW w:w="36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2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Other information: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(4)</w:t>
            </w: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73"/>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(4.7)%</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3,622</w:t>
            </w:r>
          </w:p>
        </w:tc>
        <w:tc>
          <w:tcPr>
            <w:tcW w:w="3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 if any.</w:t>
      </w:r>
    </w:p>
    <w:p>
      <w:pPr>
        <w:spacing w:after="0" w:line="22"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First quarter of 2020 includes interest expense of $1.3 million associated with a litigation judgment discussed in footnote (B) of Note 5.</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financial information by market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6"/>
          </w:tcPr>
          <w:p>
            <w:pPr>
              <w:jc w:val="right"/>
              <w:ind w:right="106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2020</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Change</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Agricultural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rPr>
              <w:t>Mining</w:t>
            </w:r>
          </w:p>
        </w:tc>
        <w:tc>
          <w:tcPr>
            <w:tcW w:w="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rPr>
              <w:t>Mining</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Agricultural</w:t>
            </w: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rPr>
              <w:t>Mining</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Products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Products</w:t>
            </w:r>
          </w:p>
        </w:tc>
        <w:tc>
          <w:tcPr>
            <w:tcW w:w="12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Products</w:t>
            </w:r>
          </w:p>
        </w:tc>
        <w:tc>
          <w:tcPr>
            <w:tcW w:w="1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Products</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Products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16,874</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17,676</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3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gross profit percentage</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by market </w:t>
            </w:r>
            <w:r>
              <w:rPr>
                <w:rFonts w:ascii="Arial" w:cs="Arial" w:eastAsia="Arial" w:hAnsi="Arial"/>
                <w:sz w:val="14"/>
                <w:szCs w:val="14"/>
                <w:color w:val="auto"/>
              </w:rPr>
              <w:t>(2)</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40" w:hanging="368"/>
        <w:spacing w:after="0" w:line="266"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 if any. See reconciliation included in the financial information table above.</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percentage of the respective net sales.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Three Months Ended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7"/>
        </w:trPr>
        <w:tc>
          <w:tcPr>
            <w:tcW w:w="516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4080" w:type="dxa"/>
            <w:vAlign w:val="bottom"/>
            <w:tcBorders>
              <w:right w:val="single" w:sz="8" w:color="CFF0FC"/>
            </w:tcBorders>
            <w:gridSpan w:val="2"/>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vMerge w:val="continue"/>
            <w:shd w:val="clear" w:color="auto" w:fill="CFF0FC"/>
          </w:tcPr>
          <w:p>
            <w:pPr>
              <w:spacing w:after="0"/>
              <w:rPr>
                <w:sz w:val="18"/>
                <w:szCs w:val="18"/>
                <w:color w:val="auto"/>
              </w:rPr>
            </w:pPr>
          </w:p>
        </w:tc>
        <w:tc>
          <w:tcPr>
            <w:tcW w:w="40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114,689</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94,577</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20,112</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65,874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6,029</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160" w:type="dxa"/>
            <w:vAlign w:val="bottom"/>
            <w:tcBorders>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20,510</w:t>
            </w:r>
          </w:p>
        </w:tc>
        <w:tc>
          <w:tcPr>
            <w:tcW w:w="22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19,205</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right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204,019</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176,955</w:t>
            </w:r>
          </w:p>
        </w:tc>
        <w:tc>
          <w:tcPr>
            <w:tcW w:w="2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ind w:right="310"/>
              <w:spacing w:after="0"/>
              <w:rPr>
                <w:sz w:val="20"/>
                <w:szCs w:val="20"/>
                <w:color w:val="auto"/>
              </w:rPr>
            </w:pPr>
            <w:r>
              <w:rPr>
                <w:rFonts w:ascii="Arial" w:cs="Arial" w:eastAsia="Arial" w:hAnsi="Arial"/>
                <w:sz w:val="18"/>
                <w:szCs w:val="18"/>
                <w:color w:val="auto"/>
                <w:w w:val="98"/>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9"/>
              <w:spacing w:after="0"/>
              <w:rPr>
                <w:sz w:val="20"/>
                <w:szCs w:val="20"/>
                <w:color w:val="auto"/>
              </w:rPr>
            </w:pPr>
            <w:r>
              <w:rPr>
                <w:rFonts w:ascii="Arial" w:cs="Arial" w:eastAsia="Arial" w:hAnsi="Arial"/>
                <w:sz w:val="18"/>
                <w:szCs w:val="18"/>
                <w:color w:val="auto"/>
              </w:rPr>
              <w:t>March 31,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7"/>
        </w:trPr>
        <w:tc>
          <w:tcPr>
            <w:tcW w:w="5160" w:type="dxa"/>
            <w:vAlign w:val="bottom"/>
            <w:tcBorders>
              <w:top w:val="single" w:sz="8" w:color="CFF0FC"/>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w:t>
            </w:r>
          </w:p>
        </w:tc>
        <w:tc>
          <w:tcPr>
            <w:tcW w:w="50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160" w:type="dxa"/>
            <w:vAlign w:val="bottom"/>
            <w:tcBorders>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500" w:type="dxa"/>
            <w:vAlign w:val="bottom"/>
            <w:gridSpan w:val="2"/>
            <w:shd w:val="clear" w:color="auto" w:fill="CFF0FC"/>
          </w:tcPr>
          <w:p>
            <w:pPr>
              <w:jc w:val="right"/>
              <w:ind w:right="169"/>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tables indicate key operating metrics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31,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Percentage</w:t>
            </w:r>
          </w:p>
        </w:tc>
        <w:tc>
          <w:tcPr>
            <w:tcW w:w="0" w:type="dxa"/>
            <w:vAlign w:val="bottom"/>
          </w:tcPr>
          <w:p>
            <w:pPr>
              <w:spacing w:after="0"/>
              <w:rPr>
                <w:sz w:val="1"/>
                <w:szCs w:val="1"/>
                <w:color w:val="auto"/>
              </w:rPr>
            </w:pPr>
          </w:p>
        </w:tc>
      </w:tr>
      <w:tr>
        <w:trPr>
          <w:trHeight w:val="217"/>
        </w:trPr>
        <w:tc>
          <w:tcPr>
            <w:tcW w:w="512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4040" w:type="dxa"/>
            <w:vAlign w:val="bottom"/>
            <w:gridSpan w:val="2"/>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vMerge w:val="continue"/>
            <w:shd w:val="clear" w:color="auto" w:fill="CFF0FC"/>
          </w:tcPr>
          <w:p>
            <w:pPr>
              <w:spacing w:after="0"/>
              <w:rPr>
                <w:sz w:val="18"/>
                <w:szCs w:val="18"/>
                <w:color w:val="auto"/>
              </w:rPr>
            </w:pPr>
          </w:p>
        </w:tc>
        <w:tc>
          <w:tcPr>
            <w:tcW w:w="404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74,834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220" w:type="dxa"/>
            <w:vAlign w:val="bottom"/>
            <w:vMerge w:val="continue"/>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120" w:type="dxa"/>
            <w:vAlign w:val="bottom"/>
            <w:gridSpan w:val="3"/>
          </w:tcPr>
          <w:p>
            <w:pPr>
              <w:ind w:left="240"/>
              <w:spacing w:after="0"/>
              <w:rPr>
                <w:sz w:val="20"/>
                <w:szCs w:val="20"/>
                <w:color w:val="auto"/>
              </w:rPr>
            </w:pPr>
            <w:r>
              <w:rPr>
                <w:rFonts w:ascii="Arial" w:cs="Arial" w:eastAsia="Arial" w:hAnsi="Arial"/>
                <w:sz w:val="18"/>
                <w:szCs w:val="18"/>
                <w:color w:val="auto"/>
              </w:rPr>
              <w:t>Nitric Acid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25,823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3,448</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Industrial Products</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10,888</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8,274</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FF0FC"/>
            </w:tcBorders>
            <w:gridSpan w:val="3"/>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107,239</w:t>
            </w:r>
          </w:p>
        </w:tc>
        <w:tc>
          <w:tcPr>
            <w:tcW w:w="2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105,483</w:t>
            </w: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2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108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w w:val="91"/>
              </w:rPr>
              <w:t>Tampa Ammonia Benchmark (price per metric ton)</w:t>
            </w:r>
          </w:p>
        </w:tc>
        <w:tc>
          <w:tcPr>
            <w:tcW w:w="142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250</w:t>
            </w:r>
          </w:p>
        </w:tc>
        <w:tc>
          <w:tcPr>
            <w:tcW w:w="20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280</w:t>
            </w:r>
          </w:p>
        </w:tc>
        <w:tc>
          <w:tcPr>
            <w:tcW w:w="2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2"/>
        </w:trPr>
        <w:tc>
          <w:tcPr>
            <w:tcW w:w="108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31,</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4"/>
              </w:rPr>
              <w:t>Percentage</w:t>
            </w:r>
          </w:p>
        </w:tc>
      </w:tr>
      <w:tr>
        <w:trPr>
          <w:trHeight w:val="217"/>
        </w:trPr>
        <w:tc>
          <w:tcPr>
            <w:tcW w:w="512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Change</w:t>
            </w:r>
          </w:p>
        </w:tc>
      </w:tr>
      <w:tr>
        <w:trPr>
          <w:trHeight w:val="20"/>
        </w:trPr>
        <w:tc>
          <w:tcPr>
            <w:tcW w:w="1080" w:type="dxa"/>
            <w:vAlign w:val="bottom"/>
            <w:tcBorders>
              <w:bottom w:val="single" w:sz="8" w:color="CFF0FC"/>
            </w:tcBorders>
            <w:shd w:val="clear" w:color="auto" w:fill="000000"/>
          </w:tcPr>
          <w:p>
            <w:pPr>
              <w:spacing w:after="0" w:line="20" w:lineRule="exact"/>
              <w:rPr>
                <w:sz w:val="1"/>
                <w:szCs w:val="1"/>
                <w:color w:val="auto"/>
              </w:rPr>
            </w:pPr>
          </w:p>
        </w:tc>
        <w:tc>
          <w:tcPr>
            <w:tcW w:w="40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r>
      <w:tr>
        <w:trPr>
          <w:trHeight w:val="217"/>
        </w:trPr>
        <w:tc>
          <w:tcPr>
            <w:tcW w:w="5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LDAN/HDAN/AN Solution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(5,892)</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740" w:hanging="368"/>
        <w:spacing w:after="0" w:line="259"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Agricultural product sales decreased driven by lower selling prices for all of our agricultural products as discussed above under “Items Affecting Comparability of Results of the First Quarter.” The impact from the decline in selling prices was partially offset by an increase in sales volume largely attributable to improved production from our facilities resulting from our extensive Turnarounds and other maintenance and upgrades performed over the last several years.</w:t>
      </w:r>
    </w:p>
    <w:p>
      <w:pPr>
        <w:spacing w:after="0" w:line="78"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Industrial acids and other industrial chemical product sales decreased primarily from lower selling prices due primarily to lower Tampa ammonia benchmark pricing. The average Tampa ammonia pricing was approximately $30 per ton lower compared to the same period in 2019. This decline was partially offset by improved sales volumes for nitric acid and our other industrial products resulting in less ammonia sales as the ammonia was upgraded to higher margin products.</w:t>
      </w:r>
    </w:p>
    <w:p>
      <w:pPr>
        <w:spacing w:after="0" w:line="78"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Mining products sales decreased primarily as the result of overall lower sales volume and selling prices for our mining products. A large portion of our mining sales contracts are linked to natural gas indexes and as the cost of natural gas declines, the pricing for these products declines accordingly.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noted in the tables above, we recognized a gross profit of $2.6 million for the first quarter of 2020 compared to $7.3 million for the same period in 2019, or a decrease of $4.7 million. Overall, our gross loss percentage decreased to 3.1% compared to 7.8% for the same period in 2019.</w:t>
      </w:r>
    </w:p>
    <w:p>
      <w:pPr>
        <w:spacing w:after="0" w:line="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agricultural products adjusted gross profit percentage decreased to 8% for the first quarter of 2020 from 14% for the first quarter of 2019 due primarily to decline in selling prices for all of our agricultural products, partially offset by higher sales volumes for all of our major products as discussed above.</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Industrial and mining products adjusted gross profit percentage increased to 40% for the first quarter of 2020 from 37% for the same period in 2019 primarily driven by improved overall production and sales volume as discussed above partially offset by lower overall Tampa ammonia pricing, which averaged approximately $250 per metric ton during the first quarter of 2020 compared to $280 per metric ton for the same period in 2019.</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negative effect on gross profit from sales activity discussed above was partially offset by approximately $6.3 million in lower natural gas costs per MMBtu.</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$10.0 million for the first quarter of 2020, an increase of $2.8 million compared to the same period in 2019. The increase was primarily driven by the increase in legal fees, including fees associated with the legal matter discussed above under “Items Affecting Comparability of Results of the First Quarter.”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first quarter of 2020 was $13.5 million compared to $11 million for the same period in 2019. The increase relates primarily to the interest expense incurred associated with a litigation judgment discussed in footnote (B) of Note 5 and the issuance of the New Notes in 2019 as discussed in Note 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benefit for income taxes for the first quarter of 2020 was $0.3 million compared to a provision for income taxes of $0.4 million for the same period in 2019. The resulting effective tax rate for the first quarters of 2020 and 2019 was 2% (benefit on pre-tax loss) and 4% (provision on pre-tax loss), respectively. For the first quarters of 2020 and 2019, the effective tax rate is less than the statutory rate primarily due to the impact of the valuation allowance. Also see discussion in Note 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60" w:type="dxa"/>
            <w:vAlign w:val="bottom"/>
            <w:gridSpan w:val="5"/>
          </w:tcPr>
          <w:p>
            <w:pPr>
              <w:spacing w:after="0"/>
              <w:rPr>
                <w:sz w:val="20"/>
                <w:szCs w:val="20"/>
                <w:color w:val="auto"/>
              </w:rPr>
            </w:pPr>
            <w:r>
              <w:rPr>
                <w:rFonts w:ascii="Arial" w:cs="Arial" w:eastAsia="Arial" w:hAnsi="Arial"/>
                <w:sz w:val="18"/>
                <w:szCs w:val="18"/>
                <w:color w:val="auto"/>
                <w:w w:val="92"/>
              </w:rPr>
              <w:t>The following table summarizes our cash flow activities for the three months ended March 31:</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w w:val="94"/>
              </w:rPr>
              <w:t>2020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(9,239)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(10,558)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(7,106)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(4,298)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Net Cash Flow from Operating Activities</w:t>
            </w:r>
          </w:p>
        </w:tc>
        <w:tc>
          <w:tcPr>
            <w:tcW w:w="3320" w:type="dxa"/>
            <w:vAlign w:val="bottom"/>
            <w:gridSpan w:val="2"/>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160" w:type="dxa"/>
            <w:vAlign w:val="bottom"/>
            <w:tcBorders>
              <w:bottom w:val="single" w:sz="8" w:color="auto"/>
            </w:tcBorders>
            <w:gridSpan w:val="2"/>
            <w:vMerge w:val="continue"/>
          </w:tcPr>
          <w:p>
            <w:pPr>
              <w:spacing w:after="0"/>
              <w:rPr>
                <w:sz w:val="22"/>
                <w:szCs w:val="22"/>
                <w:color w:val="auto"/>
              </w:rPr>
            </w:pPr>
          </w:p>
        </w:tc>
        <w:tc>
          <w:tcPr>
            <w:tcW w:w="332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operating activities was $2.2 million for the first quarter of 2020 compared to net cash provided of $7.1 million for the same period of 2019, a change of approximately $9.3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2020, the net cash used is the result of a net loss of $19.5 million plus adjustments of $17.6 million for depreciation and amortization of PP&amp;E and other adjustments of $1.3 million and net cash used of $1.6 million primarily from our working capital.</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2019, the net cash provided is the result of a net loss of $11.5 million plus adjustments of $16.8 million for depreciation and amortization of PP&amp;E, $0.4 million for deferred taxes and other adjustments of $2.4 million and net cash used of approximately $1.0 million primarily from our working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by investing activities was $10.6 million for the first quarter of 2020 compared to $7.1 million for the same period of 2019, a change of $3.5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quarters of 2020 and 2019, the net cash used relates primarily to expenditures for PP&amp;E.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$27.4 million for the first quarter of 2020 compared to net cash used of $4.3 million for the same period of 2019, a change of $31.7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2020, the net cash provided primarily consists of proceeds of $30 million from our Working Capital Revolver Loan and proceeds of $2.6 million from other long-term debt partially offset by payments on other long-term debt and short-term financing of $5.1 million and payments of $0.1 million for other financing activities.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quarter of 2019, the net cash used primarily consists of payments on other long-term debt and short-term financing of $4.3 million and payments of $0.8 million for other financing activities partially offset by proceeds $0.8 million from other long-term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5"/>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8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Senior Secured Notes due 2023</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Secured Promissory Note due 2023</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Financing due 2023</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Secured Loan Agreement due 2025</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(1)</w:t>
            </w:r>
          </w:p>
        </w:tc>
        <w:tc>
          <w:tcPr>
            <w:tcW w:w="1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vMerge w:val="continue"/>
          </w:tcPr>
          <w:p>
            <w:pPr>
              <w:spacing w:after="0"/>
              <w:rPr>
                <w:sz w:val="21"/>
                <w:szCs w:val="21"/>
                <w:color w:val="auto"/>
              </w:rPr>
            </w:pPr>
          </w:p>
        </w:tc>
        <w:tc>
          <w:tcPr>
            <w:tcW w:w="16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6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Liquidation preference of $251.1 million as of March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2020, we have a revolving credit facility, our Working Capital Revolver Loan, with a borrowing base of $75 million. As of March 31, 2020, our Working Capital Revolver Loan had outstanding borrowings of $30.0 million and approximately $20.5 million of availability. We preemptively borrowed on the Working Capital Revolver Loan to ensure access to liquidity given the uncertainty surrounding the COVID-19 pandemic.</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LSB entered into a $10 million loan under the PPP within the CARES Act stimulus package. Under the terms of the PPP, an amount up to the full principal amount and any accrued interest of the loan may be forgiven based on the proceeds from the loan being spent primarily on payroll costs within the first 8 weeks of the loan period. Pursuant to the terms of the loan, the loan bears an annual interest rate of 1.00% and matures in April 2022. For the portion of the loan amount not forgiven, no payments of principal or interest is required for the first 6 months. Thereafter, principal and interest are payable in 18 equal monthly installments.</w:t>
      </w:r>
    </w:p>
    <w:p>
      <w:pPr>
        <w:spacing w:after="0" w:line="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full year of 2020, we expect capital expenditures to be approximately $25 million to $30 million, which includes approximately $5 million to $10 million for margin enhancement projects. The remaining capital spending is planned for reliability and maintenance capital projects.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in Note 4, the Working Capital Revolver Loan requires, among other things, that we meet certain financial covenants. The Working Capital Revolver Loan does not include financial covenant requirements unless a defined covenant trigger event has occurred and is continuing. As of March 31, 2020,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Senior Secured Notes due 2023 </w:t>
      </w:r>
      <w:r>
        <w:rPr>
          <w:rFonts w:ascii="Arial" w:cs="Arial" w:eastAsia="Arial" w:hAnsi="Arial"/>
          <w:sz w:val="18"/>
          <w:szCs w:val="18"/>
          <w:color w:val="auto"/>
        </w:rPr>
        <w:t>– LSB has $435 million aggregate principal amount of the 9.625% Senior Secured Notes currently outstanding,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in footnote (B) of Note 4. Interest is to be paid semiannually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 maturing May 1, 2023.</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2021 – </w:t>
      </w:r>
      <w:r>
        <w:rPr>
          <w:rFonts w:ascii="Arial" w:cs="Arial" w:eastAsia="Arial" w:hAnsi="Arial"/>
          <w:sz w:val="18"/>
          <w:szCs w:val="18"/>
          <w:color w:val="auto"/>
        </w:rPr>
        <w:t>EDC is party to a secured promissory note due March 26, 2021. This promissory note bears interest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5.25%. Principal and interest are payable in monthly installments. This promissory note is secured by a natural gas pipeline at the El Dorado Facility and is guaranteed by LSB.</w:t>
      </w:r>
    </w:p>
    <w:p>
      <w:pPr>
        <w:spacing w:after="0" w:line="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Secured Promissory Note due 2023 – </w:t>
      </w:r>
      <w:r>
        <w:rPr>
          <w:rFonts w:ascii="Arial" w:cs="Arial" w:eastAsia="Arial" w:hAnsi="Arial"/>
          <w:sz w:val="16"/>
          <w:szCs w:val="16"/>
          <w:color w:val="auto"/>
        </w:rPr>
        <w:t>EDA is party to a secured promissory note due May 10, 2023. Principal and interest are payable in equal monthly</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installments with a final balloon payment of approximately $6.1 million. This promissory note bears interest at a rate that is based on the monthly LIBOR rate plus a base rate for a total of 5.17%. This promissory note is secured by the ammonia storage tank and related systems and is guaranteed by LSB.</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Secured Loan Agreement due 2025 - </w:t>
      </w:r>
      <w:r>
        <w:rPr>
          <w:rFonts w:ascii="Arial" w:cs="Arial" w:eastAsia="Arial" w:hAnsi="Arial"/>
          <w:sz w:val="16"/>
          <w:szCs w:val="16"/>
          <w:color w:val="auto"/>
        </w:rPr>
        <w:t>EDC is party to a secured loan agreement with an affiliate of LSB Funding, which provided for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borrowings (the “Interim Loan”) during the construction of certain equipment (the “Interim Loan Period”), subject to certain conditions. During the Interim Loan Period, interest only was payable in monthly installments. Effective February 28, 2020, the Interim Loan Period ended, and the Interim Loan was replaced by a secured promissory note due in March 2025. Under the terms of the note, principal and interest are payable in 60 equal monthly installments.</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March 31, 2020, our Working Capital Revolver Loan had outstanding borrowings of $30 million and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$20.5 million of availability, based on our eligible collateral, less outstanding letters of credit as of that date. Also see discussion above under “Compliance with Long-Term Debt Covenants.”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 </w:t>
      </w:r>
      <w:r>
        <w:rPr>
          <w:rFonts w:ascii="Arial" w:cs="Arial" w:eastAsia="Arial" w:hAnsi="Arial"/>
          <w:sz w:val="18"/>
          <w:szCs w:val="18"/>
          <w:color w:val="auto"/>
        </w:rPr>
        <w:t>At March 31, 2020, there were 139,768 outstanding shares of Series E Redeemable Preferred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liquidation preference (par value plus accrued dividends) was $251.1 million.</w:t>
      </w:r>
    </w:p>
    <w:p>
      <w:pPr>
        <w:spacing w:after="0" w:line="5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However, this accretion will change if the expected redemption date changes.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 First Quarter of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2020, capital expenditures relating to PP&amp;E were $10.7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$1.2 million during the first quarter of 2020 in connection with environmental projects. For the remainder of 2020, we expect to incur expenses ranging from $3.1 million to $3.5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8.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April 25, 2021. The current semi-annual compounded dividend is approximately $118.87 per share for the current aggregate semi-annual dividend of $16.6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March 31, 2020, the amount of accumulated dividends on the Series E Redeemable Preferred was approximately $111.3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 amount of accumulated dividends on the Series D Preferred and Series B Preferred totaled approximately $1.4 million. All shares of the Series D Preferred and Series B Preferred are owned by the Golsen Holders. There are no optional or mandatory redemption rights with respect to the Series B Preferred or Series D Preferred.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2020, we have agreed to indemnify the sureties for payments, up to $9.7 million, made by them in respect of such bonds. These insurance bonds are expected to expire or be renewed later in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See “Critical Accounting Policies and Estimates,” Item 7 of our 2019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2 – Other Environmental Matters of Note 5 and the lawsuits styled </w:t>
      </w:r>
      <w:r>
        <w:rPr>
          <w:rFonts w:ascii="Arial" w:cs="Arial" w:eastAsia="Arial" w:hAnsi="Arial"/>
          <w:sz w:val="17"/>
          <w:szCs w:val="17"/>
          <w:i w:val="1"/>
          <w:iCs w:val="1"/>
          <w:color w:val="auto"/>
        </w:rPr>
        <w:t>City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West, Texas vs. CF Industries, Inc., et al., </w:t>
      </w:r>
      <w:r>
        <w:rPr>
          <w:rFonts w:ascii="Arial" w:cs="Arial" w:eastAsia="Arial" w:hAnsi="Arial"/>
          <w:sz w:val="17"/>
          <w:szCs w:val="17"/>
          <w:color w:val="auto"/>
        </w:rPr>
        <w:t>discussed under “Other Pending, Threatened or Settled Litigation” of Note 5.</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values of the redeemable preferred stocks discussed in Note 8 are being increased by periodic accretions (recorded to retained earnings and included in determining income or loss per share) using the interest method so that the carrying amount will equal the redemption value as of October 25, 2023, the earliest possible redemption date by the holder.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March 31, 2020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March 31, 2020 exposed to embedded losses should our product costs exceed the firm sales prices. At March 31, 2020, we had no embedded losses associated with sales commitments with firm sales prices.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As discussed in Note 6, during the first quarter of 2020, we entered into certain natural gas contracts, which are accounted for on a mark-to-market basis. At March 31, 2020, these natural gas contracts included 2.6 million MMBtus of natural gas and therefore a $0.10 change in natural gas price would impact pre-tax operating results by approximately $0.3 million.</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we are exposed to variable interest rate risk with respect to our revolving credit facility. As of March 31, 2020, we had $30 million outstanding borrowings on this credit facility. We are also exposed to interest rate risk on variable rate borrowings for certain commercial loans in the amount of approximately $20.0 million. We currently do not hedge our interest rate risk associated with these variable interest loans.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2020. Based on this evaluation, the Company's Chief Executive Officer and Chief Financial Officer have concluded that the Company's disclosure controls and procedures were effective as of March 31, 2020,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15"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13"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associated with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740" w:right="20" w:hanging="368"/>
        <w:spacing w:after="0" w:line="27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2019.</w:t>
      </w:r>
    </w:p>
    <w:p>
      <w:pPr>
        <w:spacing w:after="0" w:line="90"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980" w:type="dxa"/>
            <w:vAlign w:val="bottom"/>
          </w:tcPr>
          <w:p>
            <w:pPr>
              <w:ind w:left="900"/>
              <w:spacing w:after="0"/>
              <w:rPr>
                <w:sz w:val="20"/>
                <w:szCs w:val="20"/>
                <w:color w:val="auto"/>
              </w:rPr>
            </w:pPr>
            <w:r>
              <w:rPr>
                <w:rFonts w:ascii="Arial" w:cs="Arial" w:eastAsia="Arial" w:hAnsi="Arial"/>
                <w:sz w:val="18"/>
                <w:szCs w:val="18"/>
                <w:color w:val="auto"/>
              </w:rPr>
              <w:t>- The Arkansas Department of Environmental Quality.</w:t>
            </w:r>
          </w:p>
        </w:tc>
      </w:tr>
      <w:tr>
        <w:trPr>
          <w:trHeight w:val="257"/>
        </w:trPr>
        <w:tc>
          <w:tcPr>
            <w:tcW w:w="228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980" w:type="dxa"/>
            <w:vAlign w:val="bottom"/>
          </w:tcPr>
          <w:p>
            <w:pPr>
              <w:ind w:left="900"/>
              <w:spacing w:after="0"/>
              <w:rPr>
                <w:sz w:val="20"/>
                <w:szCs w:val="20"/>
                <w:color w:val="auto"/>
              </w:rPr>
            </w:pPr>
            <w:r>
              <w:rPr>
                <w:rFonts w:ascii="Arial" w:cs="Arial" w:eastAsia="Arial" w:hAnsi="Arial"/>
                <w:sz w:val="18"/>
                <w:szCs w:val="18"/>
                <w:color w:val="auto"/>
              </w:rPr>
              <w:t>- Ammonium nitrate.</w:t>
            </w:r>
          </w:p>
        </w:tc>
      </w:tr>
      <w:tr>
        <w:trPr>
          <w:trHeight w:val="257"/>
        </w:trPr>
        <w:tc>
          <w:tcPr>
            <w:tcW w:w="228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980" w:type="dxa"/>
            <w:vAlign w:val="bottom"/>
          </w:tcPr>
          <w:p>
            <w:pPr>
              <w:ind w:left="900"/>
              <w:spacing w:after="0"/>
              <w:rPr>
                <w:sz w:val="20"/>
                <w:szCs w:val="20"/>
                <w:color w:val="auto"/>
              </w:rPr>
            </w:pPr>
            <w:r>
              <w:rPr>
                <w:rFonts w:ascii="Arial" w:cs="Arial" w:eastAsia="Arial" w:hAnsi="Arial"/>
                <w:sz w:val="18"/>
                <w:szCs w:val="18"/>
                <w:color w:val="auto"/>
              </w:rPr>
              <w:t>- Accounting Standard Update.</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980" w:type="dxa"/>
            <w:vAlign w:val="bottom"/>
          </w:tcPr>
          <w:p>
            <w:pPr>
              <w:ind w:left="90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270"/>
        </w:trPr>
        <w:tc>
          <w:tcPr>
            <w:tcW w:w="2280" w:type="dxa"/>
            <w:vAlign w:val="bottom"/>
          </w:tcPr>
          <w:p>
            <w:pPr>
              <w:spacing w:after="0"/>
              <w:rPr>
                <w:sz w:val="20"/>
                <w:szCs w:val="20"/>
                <w:color w:val="auto"/>
              </w:rPr>
            </w:pPr>
            <w:r>
              <w:rPr>
                <w:rFonts w:ascii="Arial" w:cs="Arial" w:eastAsia="Arial" w:hAnsi="Arial"/>
                <w:sz w:val="18"/>
                <w:szCs w:val="18"/>
                <w:b w:val="1"/>
                <w:bCs w:val="1"/>
                <w:color w:val="auto"/>
              </w:rPr>
              <w:t>CARES</w:t>
            </w:r>
          </w:p>
        </w:tc>
        <w:tc>
          <w:tcPr>
            <w:tcW w:w="8980" w:type="dxa"/>
            <w:vAlign w:val="bottom"/>
          </w:tcPr>
          <w:p>
            <w:pPr>
              <w:ind w:left="900"/>
              <w:spacing w:after="0"/>
              <w:rPr>
                <w:sz w:val="20"/>
                <w:szCs w:val="20"/>
                <w:color w:val="auto"/>
              </w:rPr>
            </w:pPr>
            <w:r>
              <w:rPr>
                <w:rFonts w:ascii="Arial" w:cs="Arial" w:eastAsia="Arial" w:hAnsi="Arial"/>
                <w:sz w:val="18"/>
                <w:szCs w:val="18"/>
                <w:color w:val="auto"/>
              </w:rPr>
              <w:t>- Coronavirus Aid, Relief, and Economic Security Act</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980" w:type="dxa"/>
            <w:vAlign w:val="bottom"/>
          </w:tcPr>
          <w:p>
            <w:pPr>
              <w:ind w:left="900"/>
              <w:spacing w:after="0"/>
              <w:rPr>
                <w:sz w:val="20"/>
                <w:szCs w:val="20"/>
                <w:color w:val="auto"/>
              </w:rPr>
            </w:pPr>
            <w:r>
              <w:rPr>
                <w:rFonts w:ascii="Arial" w:cs="Arial" w:eastAsia="Arial" w:hAnsi="Arial"/>
                <w:sz w:val="18"/>
                <w:szCs w:val="18"/>
                <w:color w:val="auto"/>
              </w:rPr>
              <w:t>- A consent administrative order.</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980" w:type="dxa"/>
            <w:vAlign w:val="bottom"/>
          </w:tcPr>
          <w:p>
            <w:pPr>
              <w:ind w:left="90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473"/>
        </w:trPr>
        <w:tc>
          <w:tcPr>
            <w:tcW w:w="2280" w:type="dxa"/>
            <w:vAlign w:val="bottom"/>
          </w:tcPr>
          <w:p>
            <w:pPr>
              <w:spacing w:after="0"/>
              <w:rPr>
                <w:sz w:val="24"/>
                <w:szCs w:val="24"/>
                <w:color w:val="auto"/>
              </w:rPr>
            </w:pPr>
          </w:p>
        </w:tc>
        <w:tc>
          <w:tcPr>
            <w:tcW w:w="8980" w:type="dxa"/>
            <w:vAlign w:val="bottom"/>
          </w:tcPr>
          <w:p>
            <w:pPr>
              <w:ind w:left="3260"/>
              <w:spacing w:after="0"/>
              <w:rPr>
                <w:sz w:val="20"/>
                <w:szCs w:val="20"/>
                <w:color w:val="auto"/>
              </w:rPr>
            </w:pPr>
            <w:r>
              <w:rPr>
                <w:rFonts w:ascii="Arial" w:cs="Arial" w:eastAsia="Arial" w:hAnsi="Arial"/>
                <w:sz w:val="18"/>
                <w:szCs w:val="18"/>
                <w:color w:val="auto"/>
              </w:rPr>
              <w:t>34</w:t>
            </w:r>
          </w:p>
        </w:tc>
      </w:tr>
      <w:tr>
        <w:trPr>
          <w:trHeight w:val="115"/>
        </w:trPr>
        <w:tc>
          <w:tcPr>
            <w:tcW w:w="2280" w:type="dxa"/>
            <w:vAlign w:val="bottom"/>
            <w:tcBorders>
              <w:bottom w:val="single" w:sz="8" w:color="9A9A9A"/>
            </w:tcBorders>
          </w:tcPr>
          <w:p>
            <w:pPr>
              <w:spacing w:after="0"/>
              <w:rPr>
                <w:sz w:val="10"/>
                <w:szCs w:val="10"/>
                <w:color w:val="auto"/>
              </w:rPr>
            </w:pPr>
          </w:p>
        </w:tc>
        <w:tc>
          <w:tcPr>
            <w:tcW w:w="8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Chevron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Covestro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Dorado Facility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Health Laws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Holders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Hallowell Facility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HDAN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Loan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Loan Period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KDHE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LDAN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Leidos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Funding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MD&amp;A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NPDES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ODEQ</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PP&amp;E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Pryor Facility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Financing due 2023</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Loan Agreement due 2025</w:t>
      </w:r>
    </w:p>
    <w:p>
      <w:pPr>
        <w:spacing w:after="0" w:line="289" w:lineRule="exact"/>
        <w:rPr>
          <w:sz w:val="20"/>
          <w:szCs w:val="20"/>
          <w:color w:val="auto"/>
        </w:rPr>
      </w:pPr>
    </w:p>
    <w:p>
      <w:pPr>
        <w:ind w:right="20"/>
        <w:spacing w:after="0" w:line="307" w:lineRule="auto"/>
        <w:rPr>
          <w:sz w:val="20"/>
          <w:szCs w:val="20"/>
          <w:color w:val="auto"/>
        </w:rPr>
      </w:pPr>
      <w:r>
        <w:rPr>
          <w:rFonts w:ascii="Arial" w:cs="Arial" w:eastAsia="Arial" w:hAnsi="Arial"/>
          <w:sz w:val="18"/>
          <w:szCs w:val="18"/>
          <w:b w:val="1"/>
          <w:bCs w:val="1"/>
          <w:color w:val="auto"/>
        </w:rPr>
        <w:t>Secured Promissory Note due 2021 Secured Promissory Note due 2023 Senior Secured Notes Series B Preferred</w:t>
      </w:r>
    </w:p>
    <w:p>
      <w:pPr>
        <w:spacing w:after="0" w:line="20" w:lineRule="exact"/>
        <w:rPr>
          <w:sz w:val="20"/>
          <w:szCs w:val="20"/>
          <w:color w:val="auto"/>
        </w:rPr>
      </w:pPr>
      <w:r>
        <w:rPr>
          <w:sz w:val="20"/>
          <w:szCs w:val="20"/>
          <w:color w:val="auto"/>
        </w:rPr>
        <w:br w:type="column"/>
      </w: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Chevron Environmental Management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coronavirus.</w:t>
      </w:r>
    </w:p>
    <w:p>
      <w:pPr>
        <w:spacing w:after="0" w:line="49"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party with whom our subsidiary in Baytown has entered into an agreement for supply of nitric acid through at least October 2021, the Covestro Agreement.</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 Dorado Ammonia L.L.C.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 Dorado Chemical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chemical production facility located in El Dorado, Arkansas.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Numerous federal, state and local environmental, health and safety laws.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Accounting Standards Board.</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springing financial covenants associated with the working capital revolver loan.</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 S. Generally Accepted Accounting Principles.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Global Industrial, Inc., a subcontractor asserting mechanics liens for work rendered to LSB and EDC.</w:t>
      </w:r>
    </w:p>
    <w:p>
      <w:pPr>
        <w:spacing w:after="0" w:line="61" w:lineRule="exact"/>
        <w:rPr>
          <w:rFonts w:ascii="Arial" w:cs="Arial" w:eastAsia="Arial" w:hAnsi="Arial"/>
          <w:sz w:val="17"/>
          <w:szCs w:val="17"/>
          <w:color w:val="auto"/>
        </w:rPr>
      </w:pPr>
    </w:p>
    <w:p>
      <w:pPr>
        <w:ind w:left="96" w:right="20" w:hanging="96"/>
        <w:spacing w:after="0" w:line="290" w:lineRule="auto"/>
        <w:tabs>
          <w:tab w:leader="none" w:pos="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Jack E. Golsen, our Executive Chairman of the Board, and Barry H. Golsen, a member of the Board, entities owned by them and trusts for which they possess voting or dispositive power as trustee.</w:t>
      </w: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chemical facility previously owned by two of our subsidiaries located in Kansas.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density ammonium nitrate prills used in the agricultural industry.</w:t>
      </w:r>
    </w:p>
    <w:p>
      <w:pPr>
        <w:spacing w:after="0" w:line="49"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loan agreement between EDC and a lender, which had borrowing availability for the construction of certain equipment.</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time period covered by the Interim Loan for certain equipment construction between EDC and a lender.</w:t>
      </w:r>
    </w:p>
    <w:p>
      <w:pPr>
        <w:spacing w:after="0" w:line="72" w:lineRule="exact"/>
        <w:rPr>
          <w:rFonts w:ascii="Arial" w:cs="Arial" w:eastAsia="Arial" w:hAnsi="Arial"/>
          <w:sz w:val="16"/>
          <w:szCs w:val="16"/>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Kansas Department of Health and Environment.</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 density ammonium nitrate prills used in the mining industry.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Leidos Constructors L.L.C.</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E Redeemable Preferred liquidation preference of $1,000 per share plus accrued and unpaid dividends plus the participation rights value.</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LSB Industries, Inc.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LSB Funding L.L.C.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notes issued on June 21, 2019 with an interest rate of 9.625%, which mature in May 2023.</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note in the accompanying notes to the condensed consolidated financial statements.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notes issued on April 28, 2018 with an interest rate of 9.625%, which mature in May 2023.</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National Pollutant Discharge Elimination System.</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Oklahoma Department of Environmental Quality.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 Appeal Resolution.</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Pryor Chemical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Plant, property and equipment.</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Paycheck Protection Program.</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chemical production facility located in Pryor, Oklahoma.</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LSB Funding L.L.C.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 Securities and Exchange Commission.</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financing agreement between EDC and an affiliate of LSB Funding L.L.C. which matures in June 2023.</w:t>
      </w:r>
    </w:p>
    <w:p>
      <w:pPr>
        <w:spacing w:after="0" w:line="1"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loan agreement between EDC and an affiliate of LSB Funding L.L.C. which matures in March 2025.</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promissory note between EDC and a lender which matures in March 2021.</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promissory note between EDA and a lender which matures in May 2023.</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Notes and New Notes, taken together due on May 1, 2023 with a stated interest rate of 9.625%.</w:t>
      </w:r>
    </w:p>
    <w:p>
      <w:pPr>
        <w:spacing w:after="0" w:line="61" w:lineRule="exact"/>
        <w:rPr>
          <w:rFonts w:ascii="Arial" w:cs="Arial" w:eastAsia="Arial" w:hAnsi="Arial"/>
          <w:sz w:val="17"/>
          <w:szCs w:val="17"/>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B 12% cumulative convertible Class C Preferred stock.</w:t>
      </w:r>
    </w:p>
    <w:p>
      <w:pPr>
        <w:spacing w:after="0" w:line="266"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2700" w:space="484"/>
            <w:col w:w="8056"/>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Series D Preferred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Series D 6% cumulative convertible Class C preferred stock.</w:t>
      </w:r>
    </w:p>
    <w:p>
      <w:pPr>
        <w:spacing w:after="0" w:line="69" w:lineRule="exact"/>
        <w:rPr>
          <w:sz w:val="20"/>
          <w:szCs w:val="20"/>
          <w:color w:val="auto"/>
        </w:rPr>
      </w:pPr>
    </w:p>
    <w:p>
      <w:pPr>
        <w:sectPr>
          <w:pgSz w:w="11900" w:h="16838" w:orient="portrait"/>
          <w:cols w:equalWidth="0" w:num="2">
            <w:col w:w="2460" w:space="720"/>
            <w:col w:w="8060"/>
          </w:cols>
          <w:pgMar w:left="320" w:top="337" w:right="339" w:bottom="1440" w:gutter="0" w:footer="0" w:header="0"/>
        </w:sectPr>
      </w:pPr>
    </w:p>
    <w:p>
      <w:pPr>
        <w:spacing w:after="0"/>
        <w:rPr>
          <w:sz w:val="20"/>
          <w:szCs w:val="20"/>
          <w:color w:val="auto"/>
        </w:rPr>
      </w:pPr>
      <w:r>
        <w:rPr>
          <w:rFonts w:ascii="Arial" w:cs="Arial" w:eastAsia="Arial" w:hAnsi="Arial"/>
          <w:sz w:val="16"/>
          <w:szCs w:val="16"/>
          <w:b w:val="1"/>
          <w:bCs w:val="1"/>
          <w:color w:val="auto"/>
        </w:rPr>
        <w:t>Series E Redeemable Preferred</w:t>
      </w:r>
    </w:p>
    <w:p>
      <w:pPr>
        <w:spacing w:after="0" w:line="20" w:lineRule="exact"/>
        <w:rPr>
          <w:sz w:val="20"/>
          <w:szCs w:val="20"/>
          <w:color w:val="auto"/>
        </w:rPr>
      </w:pPr>
      <w:r>
        <w:rPr>
          <w:sz w:val="20"/>
          <w:szCs w:val="20"/>
          <w:color w:val="auto"/>
        </w:rPr>
        <w:br w:type="column"/>
      </w:r>
    </w:p>
    <w:p>
      <w:pPr>
        <w:ind w:hanging="103"/>
        <w:spacing w:after="0" w:line="271" w:lineRule="auto"/>
        <w:rPr>
          <w:sz w:val="20"/>
          <w:szCs w:val="20"/>
          <w:color w:val="auto"/>
        </w:rPr>
      </w:pPr>
      <w:r>
        <w:rPr>
          <w:rFonts w:ascii="Arial" w:cs="Arial" w:eastAsia="Arial" w:hAnsi="Arial"/>
          <w:sz w:val="18"/>
          <w:szCs w:val="18"/>
          <w:color w:val="auto"/>
        </w:rPr>
        <w:t>- The 14% Series E Redeemable Preferred stock with participating rights and liquidating distributions based on a certain number of shares of our common stock.</w:t>
      </w:r>
    </w:p>
    <w:p>
      <w:pPr>
        <w:spacing w:after="0" w:line="1" w:lineRule="exact"/>
        <w:rPr>
          <w:sz w:val="20"/>
          <w:szCs w:val="20"/>
          <w:color w:val="auto"/>
        </w:rPr>
      </w:pPr>
    </w:p>
    <w:p>
      <w:pPr>
        <w:sectPr>
          <w:pgSz w:w="11900" w:h="16838" w:orient="portrait"/>
          <w:cols w:equalWidth="0" w:num="2">
            <w:col w:w="2560" w:space="720"/>
            <w:col w:w="796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Series F Redeemable Preferred</w:t>
      </w:r>
    </w:p>
    <w:p>
      <w:pPr>
        <w:spacing w:after="0" w:line="20" w:lineRule="exact"/>
        <w:rPr>
          <w:sz w:val="20"/>
          <w:szCs w:val="20"/>
          <w:color w:val="auto"/>
        </w:rPr>
      </w:pPr>
      <w:r>
        <w:rPr>
          <w:sz w:val="20"/>
          <w:szCs w:val="20"/>
          <w:color w:val="auto"/>
        </w:rPr>
        <w:br w:type="column"/>
      </w:r>
    </w:p>
    <w:p>
      <w:pPr>
        <w:ind w:right="20" w:hanging="103"/>
        <w:spacing w:after="0" w:line="271" w:lineRule="auto"/>
        <w:rPr>
          <w:sz w:val="20"/>
          <w:szCs w:val="20"/>
          <w:color w:val="auto"/>
        </w:rPr>
      </w:pPr>
      <w:r>
        <w:rPr>
          <w:rFonts w:ascii="Arial" w:cs="Arial" w:eastAsia="Arial" w:hAnsi="Arial"/>
          <w:sz w:val="18"/>
          <w:szCs w:val="18"/>
          <w:color w:val="auto"/>
        </w:rPr>
        <w:t>- The Series F Redeemable Preferred stock with one share to vote as a single class on all matters with our common stock equal to 456,225 shares of our common stock.</w:t>
      </w:r>
    </w:p>
    <w:p>
      <w:pPr>
        <w:spacing w:after="0" w:line="1" w:lineRule="exact"/>
        <w:rPr>
          <w:sz w:val="20"/>
          <w:szCs w:val="20"/>
          <w:color w:val="auto"/>
        </w:rPr>
      </w:pPr>
    </w:p>
    <w:p>
      <w:pPr>
        <w:sectPr>
          <w:pgSz w:w="11900" w:h="16838" w:orient="portrait"/>
          <w:cols w:equalWidth="0" w:num="2">
            <w:col w:w="2560" w:space="720"/>
            <w:col w:w="7960"/>
          </w:cols>
          <w:pgMar w:left="320" w:top="337"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SG&amp;A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Selling, general and administrative expense.</w:t>
      </w:r>
    </w:p>
    <w:p>
      <w:pPr>
        <w:spacing w:after="0" w:line="68" w:lineRule="exact"/>
        <w:rPr>
          <w:sz w:val="20"/>
          <w:szCs w:val="20"/>
          <w:color w:val="auto"/>
        </w:rPr>
      </w:pPr>
    </w:p>
    <w:p>
      <w:pPr>
        <w:sectPr>
          <w:pgSz w:w="11900" w:h="16838" w:orient="portrait"/>
          <w:cols w:equalWidth="0" w:num="2">
            <w:col w:w="2460" w:space="720"/>
            <w:col w:w="806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Turnaround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 planned major maintenance activity.</w:t>
      </w:r>
    </w:p>
    <w:p>
      <w:pPr>
        <w:spacing w:after="0" w:line="69" w:lineRule="exact"/>
        <w:rPr>
          <w:sz w:val="20"/>
          <w:szCs w:val="20"/>
          <w:color w:val="auto"/>
        </w:rPr>
      </w:pPr>
    </w:p>
    <w:p>
      <w:pPr>
        <w:sectPr>
          <w:pgSz w:w="11900" w:h="16838" w:orient="portrait"/>
          <w:cols w:equalWidth="0" w:num="2">
            <w:col w:w="2460" w:space="720"/>
            <w:col w:w="8060"/>
          </w:cols>
          <w:pgMar w:left="320" w:top="337"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UAN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Urea ammonium nitrate.</w:t>
      </w:r>
    </w:p>
    <w:p>
      <w:pPr>
        <w:spacing w:after="0" w:line="68" w:lineRule="exact"/>
        <w:rPr>
          <w:sz w:val="20"/>
          <w:szCs w:val="20"/>
          <w:color w:val="auto"/>
        </w:rPr>
      </w:pPr>
    </w:p>
    <w:p>
      <w:pPr>
        <w:sectPr>
          <w:pgSz w:w="11900" w:h="16838" w:orient="portrait"/>
          <w:cols w:equalWidth="0" w:num="2">
            <w:col w:w="2460" w:space="720"/>
            <w:col w:w="806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United States.</w:t>
      </w:r>
    </w:p>
    <w:p>
      <w:pPr>
        <w:spacing w:after="0" w:line="69" w:lineRule="exact"/>
        <w:rPr>
          <w:sz w:val="20"/>
          <w:szCs w:val="20"/>
          <w:color w:val="auto"/>
        </w:rPr>
      </w:pPr>
    </w:p>
    <w:p>
      <w:pPr>
        <w:sectPr>
          <w:pgSz w:w="11900" w:h="16838" w:orient="portrait"/>
          <w:cols w:equalWidth="0" w:num="2">
            <w:col w:w="2460" w:space="720"/>
            <w:col w:w="8060"/>
          </w:cols>
          <w:pgMar w:left="320" w:top="337"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USDA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United States Department of Agriculture.</w:t>
      </w:r>
    </w:p>
    <w:p>
      <w:pPr>
        <w:spacing w:after="0" w:line="68" w:lineRule="exact"/>
        <w:rPr>
          <w:sz w:val="20"/>
          <w:szCs w:val="20"/>
          <w:color w:val="auto"/>
        </w:rPr>
      </w:pPr>
    </w:p>
    <w:p>
      <w:pPr>
        <w:sectPr>
          <w:pgSz w:w="11900" w:h="16838" w:orient="portrait"/>
          <w:cols w:equalWidth="0" w:num="2">
            <w:col w:w="2460" w:space="720"/>
            <w:col w:w="8060"/>
          </w:cols>
          <w:pgMar w:left="320" w:top="337"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WASDE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World Agricultural Supply and Demand Estimates Report.</w:t>
      </w:r>
    </w:p>
    <w:p>
      <w:pPr>
        <w:spacing w:after="0" w:line="68" w:lineRule="exact"/>
        <w:rPr>
          <w:sz w:val="20"/>
          <w:szCs w:val="20"/>
          <w:color w:val="auto"/>
        </w:rPr>
      </w:pPr>
    </w:p>
    <w:p>
      <w:pPr>
        <w:sectPr>
          <w:pgSz w:w="11900" w:h="16838" w:orient="portrait"/>
          <w:cols w:equalWidth="0" w:num="2">
            <w:col w:w="2460" w:space="720"/>
            <w:col w:w="806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West Fertilizer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West Fertilizer Company.</w:t>
      </w:r>
    </w:p>
    <w:p>
      <w:pPr>
        <w:spacing w:after="0" w:line="69" w:lineRule="exact"/>
        <w:rPr>
          <w:sz w:val="20"/>
          <w:szCs w:val="20"/>
          <w:color w:val="auto"/>
        </w:rPr>
      </w:pPr>
    </w:p>
    <w:p>
      <w:pPr>
        <w:sectPr>
          <w:pgSz w:w="11900" w:h="16838" w:orient="portrait"/>
          <w:cols w:equalWidth="0" w:num="2">
            <w:col w:w="2460" w:space="720"/>
            <w:col w:w="806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Working Capital Revolver Loan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Our secured revolving credit facility.</w:t>
      </w:r>
    </w:p>
    <w:p>
      <w:pPr>
        <w:spacing w:after="0" w:line="69" w:lineRule="exact"/>
        <w:rPr>
          <w:sz w:val="20"/>
          <w:szCs w:val="20"/>
          <w:color w:val="auto"/>
        </w:rPr>
      </w:pPr>
    </w:p>
    <w:p>
      <w:pPr>
        <w:sectPr>
          <w:pgSz w:w="11900" w:h="16838" w:orient="portrait"/>
          <w:cols w:equalWidth="0" w:num="2">
            <w:col w:w="2480" w:space="700"/>
            <w:col w:w="806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2018 Crop</w:t>
      </w:r>
    </w:p>
    <w:p>
      <w:pPr>
        <w:spacing w:after="0" w:line="20" w:lineRule="exact"/>
        <w:rPr>
          <w:sz w:val="20"/>
          <w:szCs w:val="20"/>
          <w:color w:val="auto"/>
        </w:rPr>
      </w:pPr>
      <w:r>
        <w:rPr>
          <w:sz w:val="20"/>
          <w:szCs w:val="20"/>
          <w:color w:val="auto"/>
        </w:rPr>
        <w:br w:type="column"/>
      </w:r>
    </w:p>
    <w:p>
      <w:pPr>
        <w:ind w:hanging="103"/>
        <w:spacing w:after="0" w:line="271" w:lineRule="auto"/>
        <w:rPr>
          <w:sz w:val="20"/>
          <w:szCs w:val="20"/>
          <w:color w:val="auto"/>
        </w:rPr>
      </w:pPr>
      <w:r>
        <w:rPr>
          <w:rFonts w:ascii="Arial" w:cs="Arial" w:eastAsia="Arial" w:hAnsi="Arial"/>
          <w:sz w:val="18"/>
          <w:szCs w:val="18"/>
          <w:color w:val="auto"/>
        </w:rPr>
        <w:t>- Corn crop marketing year (September 1 - August 31), which began in 2017 and ended in 2018 and primarily relates to corn planted and harvested in 2017.</w:t>
      </w:r>
    </w:p>
    <w:p>
      <w:pPr>
        <w:spacing w:after="0" w:line="1" w:lineRule="exact"/>
        <w:rPr>
          <w:sz w:val="20"/>
          <w:szCs w:val="20"/>
          <w:color w:val="auto"/>
        </w:rPr>
      </w:pPr>
    </w:p>
    <w:p>
      <w:pPr>
        <w:sectPr>
          <w:pgSz w:w="11900" w:h="16838" w:orient="portrait"/>
          <w:cols w:equalWidth="0" w:num="2">
            <w:col w:w="2560" w:space="720"/>
            <w:col w:w="796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2019 Crop</w:t>
      </w:r>
    </w:p>
    <w:p>
      <w:pPr>
        <w:spacing w:after="0" w:line="20" w:lineRule="exact"/>
        <w:rPr>
          <w:sz w:val="20"/>
          <w:szCs w:val="20"/>
          <w:color w:val="auto"/>
        </w:rPr>
      </w:pPr>
      <w:r>
        <w:rPr>
          <w:sz w:val="20"/>
          <w:szCs w:val="20"/>
          <w:color w:val="auto"/>
        </w:rPr>
        <w:br w:type="column"/>
      </w:r>
    </w:p>
    <w:p>
      <w:pPr>
        <w:ind w:hanging="103"/>
        <w:spacing w:after="0" w:line="271" w:lineRule="auto"/>
        <w:rPr>
          <w:sz w:val="20"/>
          <w:szCs w:val="20"/>
          <w:color w:val="auto"/>
        </w:rPr>
      </w:pPr>
      <w:r>
        <w:rPr>
          <w:rFonts w:ascii="Arial" w:cs="Arial" w:eastAsia="Arial" w:hAnsi="Arial"/>
          <w:sz w:val="18"/>
          <w:szCs w:val="18"/>
          <w:color w:val="auto"/>
        </w:rPr>
        <w:t>- Corn crop marketing year (September 1 - August 31), which began in 2018 and ended in 2019 and primarily relates to corn planted and harvested in 2018.</w:t>
      </w:r>
    </w:p>
    <w:p>
      <w:pPr>
        <w:spacing w:after="0" w:line="1" w:lineRule="exact"/>
        <w:rPr>
          <w:sz w:val="20"/>
          <w:szCs w:val="20"/>
          <w:color w:val="auto"/>
        </w:rPr>
      </w:pPr>
    </w:p>
    <w:p>
      <w:pPr>
        <w:sectPr>
          <w:pgSz w:w="11900" w:h="16838" w:orient="portrait"/>
          <w:cols w:equalWidth="0" w:num="2">
            <w:col w:w="2560" w:space="720"/>
            <w:col w:w="796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2020 Crop</w:t>
      </w:r>
    </w:p>
    <w:p>
      <w:pPr>
        <w:spacing w:after="0" w:line="20" w:lineRule="exact"/>
        <w:rPr>
          <w:sz w:val="20"/>
          <w:szCs w:val="20"/>
          <w:color w:val="auto"/>
        </w:rPr>
      </w:pPr>
      <w:r>
        <w:rPr>
          <w:sz w:val="20"/>
          <w:szCs w:val="20"/>
          <w:color w:val="auto"/>
        </w:rPr>
        <w:br w:type="column"/>
      </w:r>
    </w:p>
    <w:p>
      <w:pPr>
        <w:ind w:hanging="103"/>
        <w:spacing w:after="0" w:line="277" w:lineRule="auto"/>
        <w:rPr>
          <w:sz w:val="20"/>
          <w:szCs w:val="20"/>
          <w:color w:val="auto"/>
        </w:rPr>
      </w:pPr>
      <w:r>
        <w:rPr>
          <w:rFonts w:ascii="Arial" w:cs="Arial" w:eastAsia="Arial" w:hAnsi="Arial"/>
          <w:sz w:val="18"/>
          <w:szCs w:val="18"/>
          <w:color w:val="auto"/>
        </w:rPr>
        <w:t>- Corn crop marketing year (September 1 - August 31), which began in 2019 and will end in 2020 and primarily relates to corn planted and harvested in 2019.</w:t>
      </w:r>
    </w:p>
    <w:p>
      <w:pPr>
        <w:spacing w:after="0" w:line="166" w:lineRule="exact"/>
        <w:rPr>
          <w:sz w:val="20"/>
          <w:szCs w:val="20"/>
          <w:color w:val="auto"/>
        </w:rPr>
      </w:pPr>
    </w:p>
    <w:p>
      <w:pPr>
        <w:sectPr>
          <w:pgSz w:w="11900" w:h="16838" w:orient="portrait"/>
          <w:cols w:equalWidth="0" w:num="2">
            <w:col w:w="2560" w:space="720"/>
            <w:col w:w="7960"/>
          </w:cols>
          <w:pgMar w:left="320" w:top="337"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ectPr>
          <w:pgSz w:w="11900" w:h="16838" w:orient="portrait"/>
          <w:cols w:equalWidth="0" w:num="1">
            <w:col w:w="11240"/>
          </w:cols>
          <w:pgMar w:left="320" w:top="337"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Reference is made to Item 1A of our 2019 Form 10-K filed with the SEC on February 25, 2020 for our discussion regarding risk factors. There are no material changes from the risk factors disclosed in our 2019 Form 10-K, except that the risk factor styled below has been added.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Pandemics or disease outbreaks, such as COVID-19, may disrupt our business, which could adversely affect our financial performance.</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novel coronavirus (“COVID-19”) has evolved into a global pandemic and the full extent of its impact will depend on future developments that are uncertain and cannot be accurately predicted, including new information that may emerge concerning the COVID-19 pandemic and the actions to contain the COVID-19 pandemic or treat its impact, among others. Currently, all of the facilities we own and operate have been designated as essential critical infrastructure based on guidelines issued by the United States Department of Homeland Security’s Cybersecurity and Infrastructure Security Agency. Since we produce fertilizer products used by the agriculture industry, as well as chemical products required in a variety of industrial manufacturing processes, LSB has been determined to be a critical service, and therefore, our facilities are remaining in operation despite the evolving global health crisis resulting from the COVID-19 pandemic. However, if additional mandatory closures of businesses are imposed by the federal, state and local governments to control the spread of the virus, these closures could disrupt the operations of our management, business and finance teams. In addition, a significant downturn in global economic growth, or recessionary conditions in major geographic regions, may lead to reduced demand for a portion or all our products, which could adversely affect our business and results of operations. As the COVID-19 pandemic continues to spread, our business operations could be disrupted or delayed, and our business, financial condition, and results of operations could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38.</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Index to Exhibits Item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940" w:type="dxa"/>
            <w:vAlign w:val="bottom"/>
            <w:gridSpan w:val="12"/>
            <w:vMerge w:val="restart"/>
          </w:tcPr>
          <w:p>
            <w:pPr>
              <w:ind w:left="800"/>
              <w:spacing w:after="0"/>
              <w:rPr>
                <w:sz w:val="20"/>
                <w:szCs w:val="20"/>
                <w:color w:val="auto"/>
              </w:rPr>
            </w:pPr>
            <w:r>
              <w:rPr>
                <w:rFonts w:ascii="Arial" w:cs="Arial" w:eastAsia="Arial" w:hAnsi="Arial"/>
                <w:sz w:val="14"/>
                <w:szCs w:val="14"/>
                <w:b w:val="1"/>
                <w:bCs w:val="1"/>
                <w:color w:val="auto"/>
              </w:rPr>
              <w:t>Exhibit Title</w:t>
            </w:r>
          </w:p>
        </w:tc>
        <w:tc>
          <w:tcPr>
            <w:tcW w:w="60" w:type="dxa"/>
            <w:vAlign w:val="bottom"/>
            <w:vMerge w:val="restart"/>
          </w:tcPr>
          <w:p>
            <w:pPr>
              <w:spacing w:after="0"/>
              <w:rPr>
                <w:sz w:val="14"/>
                <w:szCs w:val="14"/>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1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Following</w:t>
            </w:r>
          </w:p>
        </w:tc>
        <w:tc>
          <w:tcPr>
            <w:tcW w:w="0" w:type="dxa"/>
            <w:vAlign w:val="bottom"/>
          </w:tcPr>
          <w:p>
            <w:pPr>
              <w:spacing w:after="0"/>
              <w:rPr>
                <w:sz w:val="1"/>
                <w:szCs w:val="1"/>
                <w:color w:val="auto"/>
              </w:rPr>
            </w:pPr>
          </w:p>
        </w:tc>
      </w:tr>
      <w:tr>
        <w:trPr>
          <w:trHeight w:val="291"/>
        </w:trPr>
        <w:tc>
          <w:tcPr>
            <w:tcW w:w="1140" w:type="dxa"/>
            <w:vAlign w:val="bottom"/>
          </w:tcPr>
          <w:p>
            <w:pPr>
              <w:ind w:left="100"/>
              <w:spacing w:after="0"/>
              <w:rPr>
                <w:sz w:val="20"/>
                <w:szCs w:val="20"/>
                <w:color w:val="auto"/>
              </w:rPr>
            </w:pPr>
            <w:r>
              <w:rPr>
                <w:rFonts w:ascii="Arial" w:cs="Arial" w:eastAsia="Arial" w:hAnsi="Arial"/>
                <w:sz w:val="18"/>
                <w:szCs w:val="18"/>
                <w:color w:val="auto"/>
              </w:rPr>
              <w:t>3(i).1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5"/>
              </w:rPr>
            </w:pPr>
            <w:hyperlink r:id="rId61">
              <w:r>
                <w:rPr>
                  <w:rFonts w:ascii="Arial" w:cs="Arial" w:eastAsia="Arial" w:hAnsi="Arial"/>
                  <w:sz w:val="18"/>
                  <w:szCs w:val="18"/>
                  <w:color w:val="0000EE"/>
                  <w:w w:val="95"/>
                </w:rPr>
                <w:t>Restated  Certificate  of  Incorporation  of  LSB  Industries,  Inc.,  dated</w:t>
              </w:r>
            </w:hyperlink>
          </w:p>
        </w:tc>
        <w:tc>
          <w:tcPr>
            <w:tcW w:w="100" w:type="dxa"/>
            <w:vAlign w:val="bottom"/>
            <w:gridSpan w:val="3"/>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January 21, 1977, as amended August 27, 1987</w:t>
              </w:r>
            </w:hyperlink>
          </w:p>
        </w:tc>
        <w:tc>
          <w:tcPr>
            <w:tcW w:w="2080" w:type="dxa"/>
            <w:vAlign w:val="bottom"/>
            <w:gridSpan w:val="9"/>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Amended and Restated Bylaws of LSB Industries, Inc. dated August 20,</w:t>
              </w:r>
            </w:hyperlink>
          </w:p>
        </w:tc>
        <w:tc>
          <w:tcPr>
            <w:tcW w:w="100" w:type="dxa"/>
            <w:vAlign w:val="bottom"/>
            <w:gridSpan w:val="3"/>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7"/>
              </w:rPr>
              <w:t>Exhibit 3(ii).1 to the Company’s Form 8-K filed August 27,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2009, as amended February 18, 2010, January 17, 2014, February 4, 2014</w:t>
              </w:r>
            </w:hyperlink>
          </w:p>
        </w:tc>
        <w:tc>
          <w:tcPr>
            <w:tcW w:w="100" w:type="dxa"/>
            <w:vAlign w:val="bottom"/>
            <w:gridSpan w:val="3"/>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4"/>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and August 21, 2014</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3(ii).2</w:t>
            </w:r>
          </w:p>
        </w:tc>
        <w:tc>
          <w:tcPr>
            <w:tcW w:w="120" w:type="dxa"/>
            <w:vAlign w:val="bottom"/>
          </w:tcPr>
          <w:p>
            <w:pPr>
              <w:spacing w:after="0"/>
              <w:rPr>
                <w:sz w:val="24"/>
                <w:szCs w:val="24"/>
                <w:color w:val="auto"/>
              </w:rPr>
            </w:pPr>
          </w:p>
        </w:tc>
        <w:tc>
          <w:tcPr>
            <w:tcW w:w="5420" w:type="dxa"/>
            <w:vAlign w:val="bottom"/>
            <w:tcBorders>
              <w:bottom w:val="single" w:sz="8" w:color="0000EE"/>
            </w:tcBorders>
            <w:gridSpan w:val="12"/>
          </w:tcPr>
          <w:p>
            <w:pPr>
              <w:spacing w:after="0"/>
              <w:rPr>
                <w:rFonts w:ascii="Arial" w:cs="Arial" w:eastAsia="Arial" w:hAnsi="Arial"/>
                <w:sz w:val="18"/>
                <w:szCs w:val="18"/>
                <w:color w:val="0000EE"/>
                <w:w w:val="98"/>
              </w:rPr>
            </w:pPr>
            <w:hyperlink r:id="rId63">
              <w:r>
                <w:rPr>
                  <w:rFonts w:ascii="Arial" w:cs="Arial" w:eastAsia="Arial" w:hAnsi="Arial"/>
                  <w:sz w:val="18"/>
                  <w:szCs w:val="18"/>
                  <w:color w:val="0000EE"/>
                  <w:w w:val="98"/>
                </w:rPr>
                <w:t>Fifth  Amendment  to  the  Amended  and  Restated  Bylaws  of  LSB</w:t>
              </w:r>
            </w:hyperlink>
          </w:p>
        </w:tc>
        <w:tc>
          <w:tcPr>
            <w:tcW w:w="80" w:type="dxa"/>
            <w:vAlign w:val="bottom"/>
            <w:gridSpan w:val="2"/>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4"/>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Industries, Inc., dated as of April 26, 2015</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3(ii).3</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7"/>
              </w:rPr>
            </w:pPr>
            <w:hyperlink r:id="rId64">
              <w:r>
                <w:rPr>
                  <w:rFonts w:ascii="Arial" w:cs="Arial" w:eastAsia="Arial" w:hAnsi="Arial"/>
                  <w:sz w:val="18"/>
                  <w:szCs w:val="18"/>
                  <w:color w:val="0000EE"/>
                  <w:w w:val="97"/>
                </w:rPr>
                <w:t>Sixth  Amendment  to  the  Amended  and  Restated  Bylaws  of  LSB</w:t>
              </w:r>
            </w:hyperlink>
          </w:p>
        </w:tc>
        <w:tc>
          <w:tcPr>
            <w:tcW w:w="100" w:type="dxa"/>
            <w:vAlign w:val="bottom"/>
            <w:gridSpan w:val="3"/>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7"/>
              </w:rPr>
              <w:t>Exhibit 3(ii) to the Company’s Form 8-K filed December 8,</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Industries, Inc., dated as of December 2, 2015</w:t>
              </w:r>
            </w:hyperlink>
          </w:p>
        </w:tc>
        <w:tc>
          <w:tcPr>
            <w:tcW w:w="2180" w:type="dxa"/>
            <w:vAlign w:val="bottom"/>
            <w:gridSpan w:val="11"/>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3(ii).4</w:t>
            </w:r>
          </w:p>
        </w:tc>
        <w:tc>
          <w:tcPr>
            <w:tcW w:w="120" w:type="dxa"/>
            <w:vAlign w:val="bottom"/>
          </w:tcPr>
          <w:p>
            <w:pPr>
              <w:spacing w:after="0"/>
              <w:rPr>
                <w:sz w:val="24"/>
                <w:szCs w:val="24"/>
                <w:color w:val="auto"/>
              </w:rPr>
            </w:pPr>
          </w:p>
        </w:tc>
        <w:tc>
          <w:tcPr>
            <w:tcW w:w="5420" w:type="dxa"/>
            <w:vAlign w:val="bottom"/>
            <w:tcBorders>
              <w:bottom w:val="single" w:sz="8" w:color="0000EE"/>
            </w:tcBorders>
            <w:gridSpan w:val="12"/>
          </w:tcPr>
          <w:p>
            <w:pPr>
              <w:spacing w:after="0"/>
              <w:rPr>
                <w:rFonts w:ascii="Arial" w:cs="Arial" w:eastAsia="Arial" w:hAnsi="Arial"/>
                <w:sz w:val="18"/>
                <w:szCs w:val="18"/>
                <w:color w:val="0000EE"/>
              </w:rPr>
            </w:pPr>
            <w:hyperlink r:id="rId65">
              <w:r>
                <w:rPr>
                  <w:rFonts w:ascii="Arial" w:cs="Arial" w:eastAsia="Arial" w:hAnsi="Arial"/>
                  <w:sz w:val="18"/>
                  <w:szCs w:val="18"/>
                  <w:color w:val="0000EE"/>
                </w:rPr>
                <w:t>Seventh Amendment to the Amended and Restated Bylaws of LSB</w:t>
              </w:r>
            </w:hyperlink>
          </w:p>
        </w:tc>
        <w:tc>
          <w:tcPr>
            <w:tcW w:w="80" w:type="dxa"/>
            <w:vAlign w:val="bottom"/>
            <w:gridSpan w:val="2"/>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5"/>
              </w:rPr>
              <w:t>Exhibit 3(ii) to the Company’s Form 8-K filed December 29,</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4"/>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Industries, Inc., dated as of December 22, 2015</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10.1(a)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Severance and Change in Control Agreement, dated April 6, 2020,</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between LSB Industries, Inc. and Kristy Carver</w:t>
              </w:r>
            </w:hyperlink>
          </w:p>
        </w:tc>
        <w:tc>
          <w:tcPr>
            <w:tcW w:w="2060" w:type="dxa"/>
            <w:vAlign w:val="bottom"/>
            <w:gridSpan w:val="8"/>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10.2(a)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Fifth Amendment to the Nitric Acid Supply, Operating and Maintenance</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Agreement, dated March 30, 2020, by and among El Dorado Nitrogen,</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L.P., El Dorado Chemical Company and Covestro LLC</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10.3(a)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Third Amendment to Third Amended and Restated Loan and Security</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Agreement, dated as of April 20, 2020, by and among Wells Fargo Capital</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Finance, LLC, as the arranger and administrative agent, the lenders party</w:t>
              </w:r>
            </w:hyperlink>
          </w:p>
        </w:tc>
        <w:tc>
          <w:tcPr>
            <w:tcW w:w="80" w:type="dxa"/>
            <w:vAlign w:val="bottom"/>
            <w:gridSpan w:val="2"/>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thereto, LSB Industries, Inc. and its subsidiaries identified on the signature</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gridSpan w:val="14"/>
          </w:tcPr>
          <w:p>
            <w:pPr>
              <w:spacing w:after="0"/>
              <w:rPr>
                <w:rFonts w:ascii="Arial" w:cs="Arial" w:eastAsia="Arial" w:hAnsi="Arial"/>
                <w:sz w:val="18"/>
                <w:szCs w:val="18"/>
                <w:u w:val="single" w:color="auto"/>
                <w:color w:val="0000EE"/>
                <w:w w:val="94"/>
              </w:rPr>
            </w:pPr>
            <w:hyperlink w:anchor="page56">
              <w:r>
                <w:rPr>
                  <w:rFonts w:ascii="Arial" w:cs="Arial" w:eastAsia="Arial" w:hAnsi="Arial"/>
                  <w:sz w:val="18"/>
                  <w:szCs w:val="18"/>
                  <w:u w:val="single" w:color="auto"/>
                  <w:color w:val="0000EE"/>
                  <w:w w:val="94"/>
                </w:rPr>
                <w:t>pages thereto as borrowers and the Company’s subsidiaries identified on</w:t>
              </w:r>
            </w:hyperlink>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1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the signature pages thereto as guarantors.</w:t>
              </w:r>
            </w:hyperlink>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100"/>
              <w:spacing w:after="0"/>
              <w:rPr>
                <w:sz w:val="20"/>
                <w:szCs w:val="20"/>
                <w:color w:val="auto"/>
              </w:rPr>
            </w:pPr>
            <w:r>
              <w:rPr>
                <w:rFonts w:ascii="Arial" w:cs="Arial" w:eastAsia="Arial" w:hAnsi="Arial"/>
                <w:sz w:val="18"/>
                <w:szCs w:val="18"/>
                <w:color w:val="auto"/>
              </w:rPr>
              <w:t>31.1(a)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Certification of Mark T. Behrman, Chief Executive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Certification of Cheryl A. Maguire, Chief Financial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32.1(b)</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67">
              <w:r>
                <w:rPr>
                  <w:rFonts w:ascii="Arial" w:cs="Arial" w:eastAsia="Arial" w:hAnsi="Arial"/>
                  <w:sz w:val="18"/>
                  <w:szCs w:val="18"/>
                  <w:color w:val="0000EE"/>
                  <w:w w:val="96"/>
                </w:rPr>
                <w:t>Certification of Mark T. Behrman,  Chief  Executive  Officer,  furnished</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pursuant to Sarbanes-Oxley Act of 2002, Section 906</w:t>
              </w:r>
            </w:hyperlink>
          </w:p>
        </w:tc>
        <w:tc>
          <w:tcPr>
            <w:tcW w:w="1820" w:type="dxa"/>
            <w:vAlign w:val="bottom"/>
            <w:gridSpan w:val="7"/>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32.2(b)</w:t>
            </w:r>
          </w:p>
        </w:tc>
        <w:tc>
          <w:tcPr>
            <w:tcW w:w="120" w:type="dxa"/>
            <w:vAlign w:val="bottom"/>
          </w:tcPr>
          <w:p>
            <w:pPr>
              <w:spacing w:after="0"/>
              <w:rPr>
                <w:sz w:val="24"/>
                <w:szCs w:val="24"/>
                <w:color w:val="auto"/>
              </w:rPr>
            </w:pPr>
          </w:p>
        </w:tc>
        <w:tc>
          <w:tcPr>
            <w:tcW w:w="5380" w:type="dxa"/>
            <w:vAlign w:val="bottom"/>
            <w:tcBorders>
              <w:bottom w:val="single" w:sz="8" w:color="0000EE"/>
            </w:tcBorders>
            <w:gridSpan w:val="1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Certification of Cheryl A. Maguire, Chief Financial Officer, furnished</w:t>
              </w:r>
            </w:hyperlink>
          </w:p>
        </w:tc>
        <w:tc>
          <w:tcPr>
            <w:tcW w:w="120" w:type="dxa"/>
            <w:vAlign w:val="bottom"/>
            <w:gridSpan w:val="4"/>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pursuant to Sarbanes-Oxley Act of 2002, Section 906</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20" w:type="dxa"/>
            <w:vAlign w:val="bottom"/>
          </w:tcPr>
          <w:p>
            <w:pPr>
              <w:spacing w:after="0"/>
              <w:rPr>
                <w:sz w:val="24"/>
                <w:szCs w:val="24"/>
                <w:color w:val="auto"/>
              </w:rPr>
            </w:pPr>
          </w:p>
        </w:tc>
        <w:tc>
          <w:tcPr>
            <w:tcW w:w="37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XBRL Instance Document</w:t>
            </w:r>
          </w:p>
        </w:tc>
        <w:tc>
          <w:tcPr>
            <w:tcW w:w="1740" w:type="dxa"/>
            <w:vAlign w:val="bottom"/>
            <w:gridSpan w:val="6"/>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20" w:type="dxa"/>
            <w:vAlign w:val="bottom"/>
          </w:tcPr>
          <w:p>
            <w:pPr>
              <w:spacing w:after="0"/>
              <w:rPr>
                <w:sz w:val="24"/>
                <w:szCs w:val="24"/>
                <w:color w:val="auto"/>
              </w:rPr>
            </w:pPr>
          </w:p>
        </w:tc>
        <w:tc>
          <w:tcPr>
            <w:tcW w:w="550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20" w:type="dxa"/>
            <w:vAlign w:val="bottom"/>
          </w:tcPr>
          <w:p>
            <w:pPr>
              <w:spacing w:after="0"/>
              <w:rPr>
                <w:sz w:val="24"/>
                <w:szCs w:val="24"/>
                <w:color w:val="auto"/>
              </w:rPr>
            </w:pPr>
          </w:p>
        </w:tc>
        <w:tc>
          <w:tcPr>
            <w:tcW w:w="550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20" w:type="dxa"/>
            <w:vAlign w:val="bottom"/>
          </w:tcPr>
          <w:p>
            <w:pPr>
              <w:spacing w:after="0"/>
              <w:rPr>
                <w:sz w:val="24"/>
                <w:szCs w:val="24"/>
                <w:color w:val="auto"/>
              </w:rPr>
            </w:pPr>
          </w:p>
        </w:tc>
        <w:tc>
          <w:tcPr>
            <w:tcW w:w="550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20" w:type="dxa"/>
            <w:vAlign w:val="bottom"/>
          </w:tcPr>
          <w:p>
            <w:pPr>
              <w:spacing w:after="0"/>
              <w:rPr>
                <w:sz w:val="24"/>
                <w:szCs w:val="24"/>
                <w:color w:val="auto"/>
              </w:rPr>
            </w:pPr>
          </w:p>
        </w:tc>
        <w:tc>
          <w:tcPr>
            <w:tcW w:w="5500" w:type="dxa"/>
            <w:vAlign w:val="bottom"/>
            <w:gridSpan w:val="14"/>
          </w:tcPr>
          <w:p>
            <w:pPr>
              <w:spacing w:after="0"/>
              <w:rPr>
                <w:sz w:val="20"/>
                <w:szCs w:val="20"/>
                <w:color w:val="auto"/>
              </w:rPr>
            </w:pPr>
            <w:r>
              <w:rPr>
                <w:rFonts w:ascii="Arial" w:cs="Arial" w:eastAsia="Arial" w:hAnsi="Arial"/>
                <w:sz w:val="18"/>
                <w:szCs w:val="18"/>
                <w:color w:val="auto"/>
              </w:rPr>
              <w:t>XBRL Taxonomy Extension Labels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20" w:type="dxa"/>
            <w:vAlign w:val="bottom"/>
          </w:tcPr>
          <w:p>
            <w:pPr>
              <w:spacing w:after="0"/>
              <w:rPr>
                <w:sz w:val="24"/>
                <w:szCs w:val="24"/>
                <w:color w:val="auto"/>
              </w:rPr>
            </w:pPr>
          </w:p>
        </w:tc>
        <w:tc>
          <w:tcPr>
            <w:tcW w:w="550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7</w:t>
      </w:r>
      <w:r>
        <w:rPr>
          <w:rFonts w:ascii="Arial" w:cs="Arial" w:eastAsia="Arial" w:hAnsi="Arial"/>
          <w:sz w:val="15"/>
          <w:szCs w:val="15"/>
          <w:color w:val="auto"/>
        </w:rPr>
        <w:t>th</w:t>
      </w:r>
      <w:r>
        <w:rPr>
          <w:rFonts w:ascii="Arial" w:cs="Arial" w:eastAsia="Arial" w:hAnsi="Arial"/>
          <w:sz w:val="18"/>
          <w:szCs w:val="18"/>
          <w:color w:val="auto"/>
        </w:rPr>
        <w:t xml:space="preserve"> day of May 2020.</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Harold L. Rieker, Jr.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Vice President – Financial Reporting</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AND CHANGE IN CONTROL AGREEMENT</w:t>
      </w:r>
    </w:p>
    <w:p>
      <w:pPr>
        <w:spacing w:after="0" w:line="200" w:lineRule="exact"/>
        <w:rPr>
          <w:sz w:val="20"/>
          <w:szCs w:val="20"/>
          <w:color w:val="auto"/>
        </w:rPr>
      </w:pPr>
    </w:p>
    <w:p>
      <w:pPr>
        <w:spacing w:after="0" w:line="252" w:lineRule="exact"/>
        <w:rPr>
          <w:sz w:val="20"/>
          <w:szCs w:val="20"/>
          <w:color w:val="auto"/>
        </w:rPr>
      </w:pPr>
    </w:p>
    <w:p>
      <w:pPr>
        <w:ind w:right="220" w:firstLine="864"/>
        <w:spacing w:after="0" w:line="300" w:lineRule="auto"/>
        <w:rPr>
          <w:sz w:val="20"/>
          <w:szCs w:val="20"/>
          <w:color w:val="auto"/>
        </w:rPr>
      </w:pPr>
      <w:r>
        <w:rPr>
          <w:rFonts w:ascii="Arial" w:cs="Arial" w:eastAsia="Arial" w:hAnsi="Arial"/>
          <w:sz w:val="19"/>
          <w:szCs w:val="19"/>
          <w:color w:val="auto"/>
        </w:rPr>
        <w:t>This Severance and Change in Control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March 31, 2020 (the “</w:t>
      </w:r>
      <w:r>
        <w:rPr>
          <w:rFonts w:ascii="Arial" w:cs="Arial" w:eastAsia="Arial" w:hAnsi="Arial"/>
          <w:sz w:val="19"/>
          <w:szCs w:val="19"/>
          <w:b w:val="1"/>
          <w:bCs w:val="1"/>
          <w:color w:val="auto"/>
        </w:rPr>
        <w:t>Effective Date</w:t>
      </w:r>
      <w:r>
        <w:rPr>
          <w:rFonts w:ascii="Arial" w:cs="Arial" w:eastAsia="Arial" w:hAnsi="Arial"/>
          <w:sz w:val="19"/>
          <w:szCs w:val="19"/>
          <w:color w:val="auto"/>
        </w:rPr>
        <w:t>”), by LSB Industries,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Kristy D. Carver (the “</w:t>
      </w:r>
      <w:r>
        <w:rPr>
          <w:rFonts w:ascii="Arial" w:cs="Arial" w:eastAsia="Arial" w:hAnsi="Arial"/>
          <w:sz w:val="19"/>
          <w:szCs w:val="19"/>
          <w:b w:val="1"/>
          <w:bCs w:val="1"/>
          <w:color w:val="auto"/>
        </w:rPr>
        <w:t>Executiv</w:t>
      </w:r>
      <w:r>
        <w:rPr>
          <w:rFonts w:ascii="Arial" w:cs="Arial" w:eastAsia="Arial" w:hAnsi="Arial"/>
          <w:sz w:val="19"/>
          <w:szCs w:val="19"/>
          <w:color w:val="auto"/>
        </w:rPr>
        <w:t>e”). The Company and Executive are referred to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and individually as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132" w:lineRule="exact"/>
        <w:rPr>
          <w:sz w:val="20"/>
          <w:szCs w:val="20"/>
          <w:color w:val="auto"/>
        </w:rPr>
      </w:pPr>
    </w:p>
    <w:p>
      <w:pPr>
        <w:ind w:right="440" w:firstLine="864"/>
        <w:spacing w:after="0" w:line="250" w:lineRule="auto"/>
        <w:rPr>
          <w:sz w:val="20"/>
          <w:szCs w:val="20"/>
          <w:color w:val="auto"/>
        </w:rPr>
      </w:pPr>
      <w:r>
        <w:rPr>
          <w:rFonts w:ascii="Arial" w:cs="Arial" w:eastAsia="Arial" w:hAnsi="Arial"/>
          <w:sz w:val="22"/>
          <w:szCs w:val="22"/>
          <w:color w:val="auto"/>
        </w:rPr>
        <w:t>WHEREAS, Executive is currently employed as the Senior Vice President and Treasurer of the Company and is an integral part of its management;</w:t>
      </w:r>
    </w:p>
    <w:p>
      <w:pPr>
        <w:spacing w:after="0" w:line="169" w:lineRule="exact"/>
        <w:rPr>
          <w:sz w:val="20"/>
          <w:szCs w:val="20"/>
          <w:color w:val="auto"/>
        </w:rPr>
      </w:pPr>
    </w:p>
    <w:p>
      <w:pPr>
        <w:ind w:right="140" w:firstLine="864"/>
        <w:spacing w:after="0" w:line="243" w:lineRule="auto"/>
        <w:rPr>
          <w:sz w:val="20"/>
          <w:szCs w:val="20"/>
          <w:color w:val="auto"/>
        </w:rPr>
      </w:pPr>
      <w:r>
        <w:rPr>
          <w:rFonts w:ascii="Arial" w:cs="Arial" w:eastAsia="Arial" w:hAnsi="Arial"/>
          <w:sz w:val="22"/>
          <w:szCs w:val="22"/>
          <w:color w:val="auto"/>
        </w:rPr>
        <w:t>WHEREAS, the Chief Executive Officer of the Company (the “</w:t>
      </w:r>
      <w:r>
        <w:rPr>
          <w:rFonts w:ascii="Arial" w:cs="Arial" w:eastAsia="Arial" w:hAnsi="Arial"/>
          <w:sz w:val="22"/>
          <w:szCs w:val="22"/>
          <w:b w:val="1"/>
          <w:bCs w:val="1"/>
          <w:color w:val="auto"/>
        </w:rPr>
        <w:t>CEO</w:t>
      </w:r>
      <w:r>
        <w:rPr>
          <w:rFonts w:ascii="Arial" w:cs="Arial" w:eastAsia="Arial" w:hAnsi="Arial"/>
          <w:sz w:val="22"/>
          <w:szCs w:val="22"/>
          <w:color w:val="auto"/>
        </w:rPr>
        <w:t>”) has determined that it is in the best interests of the Company to ensure that the Company will have the continuous employment of key management personnel, such as Executive;</w:t>
      </w:r>
    </w:p>
    <w:p>
      <w:pPr>
        <w:spacing w:after="0" w:line="183" w:lineRule="exact"/>
        <w:rPr>
          <w:sz w:val="20"/>
          <w:szCs w:val="20"/>
          <w:color w:val="auto"/>
        </w:rPr>
      </w:pPr>
    </w:p>
    <w:p>
      <w:pPr>
        <w:ind w:right="200" w:firstLine="864"/>
        <w:spacing w:after="0" w:line="250" w:lineRule="auto"/>
        <w:rPr>
          <w:sz w:val="20"/>
          <w:szCs w:val="20"/>
          <w:color w:val="auto"/>
        </w:rPr>
      </w:pPr>
      <w:r>
        <w:rPr>
          <w:rFonts w:ascii="Arial" w:cs="Arial" w:eastAsia="Arial" w:hAnsi="Arial"/>
          <w:sz w:val="22"/>
          <w:szCs w:val="22"/>
          <w:color w:val="auto"/>
        </w:rPr>
        <w:t>WHEREAS, the CEO has determined that appropriate steps should be taken to reinforce and encourage the continued attention and dedication of Executive; and</w:t>
      </w:r>
    </w:p>
    <w:p>
      <w:pPr>
        <w:spacing w:after="0" w:line="175" w:lineRule="exact"/>
        <w:rPr>
          <w:sz w:val="20"/>
          <w:szCs w:val="20"/>
          <w:color w:val="auto"/>
        </w:rPr>
      </w:pPr>
    </w:p>
    <w:p>
      <w:pPr>
        <w:ind w:right="420" w:firstLine="864"/>
        <w:spacing w:after="0" w:line="250" w:lineRule="auto"/>
        <w:rPr>
          <w:sz w:val="20"/>
          <w:szCs w:val="20"/>
          <w:color w:val="auto"/>
        </w:rPr>
      </w:pPr>
      <w:r>
        <w:rPr>
          <w:rFonts w:ascii="Arial" w:cs="Arial" w:eastAsia="Arial" w:hAnsi="Arial"/>
          <w:sz w:val="22"/>
          <w:szCs w:val="22"/>
          <w:color w:val="auto"/>
        </w:rPr>
        <w:t>WHEREAS, the CEO believes it is essential to provide Executive with certain severance benefits upon Executive’s involuntary separation from service.</w:t>
      </w:r>
    </w:p>
    <w:p>
      <w:pPr>
        <w:spacing w:after="0" w:line="175" w:lineRule="exact"/>
        <w:rPr>
          <w:sz w:val="20"/>
          <w:szCs w:val="20"/>
          <w:color w:val="auto"/>
        </w:rPr>
      </w:pPr>
    </w:p>
    <w:p>
      <w:pPr>
        <w:ind w:right="200" w:firstLine="864"/>
        <w:spacing w:after="0" w:line="250" w:lineRule="auto"/>
        <w:rPr>
          <w:sz w:val="20"/>
          <w:szCs w:val="20"/>
          <w:color w:val="auto"/>
        </w:rPr>
      </w:pPr>
      <w:r>
        <w:rPr>
          <w:rFonts w:ascii="Arial" w:cs="Arial" w:eastAsia="Arial" w:hAnsi="Arial"/>
          <w:sz w:val="22"/>
          <w:szCs w:val="22"/>
          <w:color w:val="auto"/>
        </w:rPr>
        <w:t>NOW, THEREFORE, in consideration of the mutual covenants, promises, and obligations set forth herein, the Parties agree as follows:</w:t>
      </w:r>
    </w:p>
    <w:p>
      <w:pPr>
        <w:spacing w:after="0" w:line="364" w:lineRule="exact"/>
        <w:rPr>
          <w:sz w:val="20"/>
          <w:szCs w:val="20"/>
          <w:color w:val="auto"/>
        </w:rPr>
      </w:pPr>
    </w:p>
    <w:p>
      <w:pPr>
        <w:jc w:val="both"/>
        <w:ind w:right="100" w:firstLine="872"/>
        <w:spacing w:after="0" w:line="276" w:lineRule="auto"/>
        <w:tabs>
          <w:tab w:leader="none" w:pos="1674"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This Agreement will have an initial term commencing on the Effective Date and ending on March 31, 2021. On April 1, 2021 and each April 1 thereafter, the term of this Agreement will renew automatically for an additional twelve</w:t>
      </w:r>
    </w:p>
    <w:p>
      <w:pPr>
        <w:spacing w:after="0" w:line="1" w:lineRule="exact"/>
        <w:rPr>
          <w:rFonts w:ascii="Arial" w:cs="Arial" w:eastAsia="Arial" w:hAnsi="Arial"/>
          <w:sz w:val="19"/>
          <w:szCs w:val="19"/>
          <w:color w:val="auto"/>
        </w:rPr>
      </w:pPr>
    </w:p>
    <w:p>
      <w:pPr>
        <w:ind w:right="80" w:firstLine="8"/>
        <w:spacing w:after="0" w:line="277" w:lineRule="auto"/>
        <w:tabs>
          <w:tab w:leader="none" w:pos="414"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month period </w:t>
      </w:r>
      <w:r>
        <w:rPr>
          <w:rFonts w:ascii="Arial" w:cs="Arial" w:eastAsia="Arial" w:hAnsi="Arial"/>
          <w:sz w:val="17"/>
          <w:szCs w:val="17"/>
          <w:color w:val="auto"/>
        </w:rPr>
        <w:t>(</w:t>
      </w:r>
      <w:r>
        <w:rPr>
          <w:rFonts w:ascii="Arial" w:cs="Arial" w:eastAsia="Arial" w:hAnsi="Arial"/>
          <w:sz w:val="19"/>
          <w:szCs w:val="19"/>
          <w:color w:val="auto"/>
        </w:rPr>
        <w:t>the initial term and all renewals are referred to as the “</w:t>
      </w:r>
      <w:r>
        <w:rPr>
          <w:rFonts w:ascii="Arial" w:cs="Arial" w:eastAsia="Arial" w:hAnsi="Arial"/>
          <w:sz w:val="19"/>
          <w:szCs w:val="19"/>
          <w:b w:val="1"/>
          <w:bCs w:val="1"/>
          <w:color w:val="auto"/>
        </w:rPr>
        <w:t>Term</w:t>
      </w:r>
      <w:r>
        <w:rPr>
          <w:rFonts w:ascii="Arial" w:cs="Arial" w:eastAsia="Arial" w:hAnsi="Arial"/>
          <w:sz w:val="19"/>
          <w:szCs w:val="19"/>
          <w:color w:val="auto"/>
        </w:rPr>
        <w:t xml:space="preserve">”), unless the Company provides Executive with written notice of non-renewal at least ninety (90) days prior to such renewal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a Change in Control occurs during the Term, this Agreement shall continue until the later of: (i) the first anniversary of a Change in Control Date; or (ii) the satisfaction of all of the obligations of the Parties under this Agreement. For the avoidance of doubt, the Company’s non-renewal of this Agreement shall not constitute a Qualifying Termination (as defined below).</w:t>
      </w:r>
    </w:p>
    <w:p>
      <w:pPr>
        <w:spacing w:after="0" w:line="152" w:lineRule="exact"/>
        <w:rPr>
          <w:rFonts w:ascii="Arial" w:cs="Arial" w:eastAsia="Arial" w:hAnsi="Arial"/>
          <w:sz w:val="19"/>
          <w:szCs w:val="19"/>
          <w:color w:val="auto"/>
        </w:rPr>
      </w:pPr>
    </w:p>
    <w:p>
      <w:pPr>
        <w:ind w:left="1680" w:hanging="808"/>
        <w:spacing w:after="0"/>
        <w:tabs>
          <w:tab w:leader="none" w:pos="168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06" w:lineRule="exact"/>
        <w:rPr>
          <w:sz w:val="20"/>
          <w:szCs w:val="20"/>
          <w:color w:val="auto"/>
        </w:rPr>
      </w:pPr>
    </w:p>
    <w:p>
      <w:pPr>
        <w:ind w:right="160" w:firstLine="1015"/>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Qualifying Termination prior to a Change in Control Event</w:t>
      </w:r>
      <w:r>
        <w:rPr>
          <w:rFonts w:ascii="Arial" w:cs="Arial" w:eastAsia="Arial" w:hAnsi="Arial"/>
          <w:sz w:val="22"/>
          <w:szCs w:val="22"/>
          <w:color w:val="auto"/>
        </w:rPr>
        <w:t>. If, during the Term, Executive’s employment is terminated pursuant to a Qualifying Termination prior to a Change in Control Event, Executive shall be entitled to receive the Accrued Amounts (defined below) and, subject to Executive's timely execution and delivery (and non-revocation) of a general release and waiver of claims in substantially the form set forth in Exhibit A (the “</w:t>
      </w:r>
      <w:r>
        <w:rPr>
          <w:rFonts w:ascii="Arial" w:cs="Arial" w:eastAsia="Arial" w:hAnsi="Arial"/>
          <w:sz w:val="22"/>
          <w:szCs w:val="22"/>
          <w:b w:val="1"/>
          <w:bCs w:val="1"/>
          <w:color w:val="auto"/>
        </w:rPr>
        <w:t>Release</w:t>
      </w:r>
      <w:r>
        <w:rPr>
          <w:rFonts w:ascii="Arial" w:cs="Arial" w:eastAsia="Arial" w:hAnsi="Arial"/>
          <w:sz w:val="22"/>
          <w:szCs w:val="22"/>
          <w:color w:val="auto"/>
        </w:rPr>
        <w:t>”) (the period between the Qualifying Termination and the date that the Release becomes effective, the “</w:t>
      </w:r>
      <w:r>
        <w:rPr>
          <w:rFonts w:ascii="Arial" w:cs="Arial" w:eastAsia="Arial" w:hAnsi="Arial"/>
          <w:sz w:val="22"/>
          <w:szCs w:val="22"/>
          <w:b w:val="1"/>
          <w:bCs w:val="1"/>
          <w:color w:val="auto"/>
        </w:rPr>
        <w:t>Release Execution Period</w:t>
      </w:r>
      <w:r>
        <w:rPr>
          <w:rFonts w:ascii="Arial" w:cs="Arial" w:eastAsia="Arial" w:hAnsi="Arial"/>
          <w:sz w:val="22"/>
          <w:szCs w:val="22"/>
          <w:color w:val="auto"/>
        </w:rPr>
        <w:t>”), Executive shall be entitled to receive the following:</w:t>
      </w:r>
    </w:p>
    <w:p>
      <w:pPr>
        <w:spacing w:after="0" w:line="200" w:lineRule="exact"/>
        <w:rPr>
          <w:sz w:val="20"/>
          <w:szCs w:val="20"/>
          <w:color w:val="auto"/>
        </w:rPr>
      </w:pPr>
    </w:p>
    <w:p>
      <w:pPr>
        <w:spacing w:after="0" w:line="204" w:lineRule="exact"/>
        <w:rPr>
          <w:sz w:val="20"/>
          <w:szCs w:val="20"/>
          <w:color w:val="auto"/>
        </w:rPr>
      </w:pPr>
    </w:p>
    <w:p>
      <w:pPr>
        <w:ind w:left="880" w:right="120" w:firstLine="789"/>
        <w:spacing w:after="0"/>
        <w:tabs>
          <w:tab w:leader="none" w:pos="2565"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 amount equal to one times Executive’s annual base salary at the rate in effect immediately prior to the date of Executive’s Qualifying Termination (without giving effect to any salary reductions which satisfy the definition of Good Reason) (the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#Q2CQL3560DEU2Ev1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ind w:left="880" w:right="14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Severance Payment</w:t>
      </w:r>
      <w:r>
        <w:rPr>
          <w:rFonts w:ascii="Arial" w:cs="Arial" w:eastAsia="Arial" w:hAnsi="Arial"/>
          <w:sz w:val="21"/>
          <w:szCs w:val="21"/>
          <w:color w:val="auto"/>
        </w:rPr>
        <w:t>”). The Severance Payment will be payable in equal monthly installments consistent with the Company’s normal payroll practices during the twelve (12) month period immediately following the effective date of Executive’s Qualifying Termination (the “</w:t>
      </w:r>
      <w:r>
        <w:rPr>
          <w:rFonts w:ascii="Arial" w:cs="Arial" w:eastAsia="Arial" w:hAnsi="Arial"/>
          <w:sz w:val="21"/>
          <w:szCs w:val="21"/>
          <w:b w:val="1"/>
          <w:bCs w:val="1"/>
          <w:color w:val="auto"/>
        </w:rPr>
        <w:t>Severance Period</w:t>
      </w:r>
      <w:r>
        <w:rPr>
          <w:rFonts w:ascii="Arial" w:cs="Arial" w:eastAsia="Arial" w:hAnsi="Arial"/>
          <w:sz w:val="21"/>
          <w:szCs w:val="21"/>
          <w:color w:val="auto"/>
        </w:rPr>
        <w:t>”), with the first installment due no later than the sixtieth (60th) day following Executive’s Qualifying Termination; provided that, if the Release Execution Period begins in one taxable year and ends in another taxable year, payment shall not commence until the first payroll period in January of the second taxable year (the “</w:t>
      </w:r>
      <w:r>
        <w:rPr>
          <w:rFonts w:ascii="Arial" w:cs="Arial" w:eastAsia="Arial" w:hAnsi="Arial"/>
          <w:sz w:val="21"/>
          <w:szCs w:val="21"/>
          <w:b w:val="1"/>
          <w:bCs w:val="1"/>
          <w:color w:val="auto"/>
        </w:rPr>
        <w:t>Payment Delay</w:t>
      </w:r>
      <w:r>
        <w:rPr>
          <w:rFonts w:ascii="Arial" w:cs="Arial" w:eastAsia="Arial" w:hAnsi="Arial"/>
          <w:sz w:val="21"/>
          <w:szCs w:val="21"/>
          <w:color w:val="auto"/>
        </w:rPr>
        <w:t>”).</w:t>
      </w:r>
    </w:p>
    <w:p>
      <w:pPr>
        <w:spacing w:after="0" w:line="177" w:lineRule="exact"/>
        <w:rPr>
          <w:sz w:val="20"/>
          <w:szCs w:val="20"/>
          <w:color w:val="auto"/>
        </w:rPr>
      </w:pPr>
    </w:p>
    <w:p>
      <w:pPr>
        <w:ind w:left="880" w:right="60" w:firstLine="789"/>
        <w:spacing w:after="0" w:line="244" w:lineRule="auto"/>
        <w:tabs>
          <w:tab w:leader="none" w:pos="2577" w:val="left"/>
        </w:tabs>
        <w:numPr>
          <w:ilvl w:val="0"/>
          <w:numId w:val="27"/>
        </w:numPr>
        <w:rPr>
          <w:rFonts w:ascii="Arial" w:cs="Arial" w:eastAsia="Arial" w:hAnsi="Arial"/>
          <w:sz w:val="21"/>
          <w:szCs w:val="21"/>
          <w:color w:val="auto"/>
        </w:rPr>
      </w:pPr>
      <w:r>
        <w:rPr>
          <w:rFonts w:ascii="Arial" w:cs="Arial" w:eastAsia="Arial" w:hAnsi="Arial"/>
          <w:sz w:val="21"/>
          <w:szCs w:val="21"/>
          <w:color w:val="auto"/>
        </w:rPr>
        <w:t>If Executive (and his dependents) timely elects to continue health care continuation coverage under the Consolidated Omnibus Budget Reconciliation Act of 1985 (“</w:t>
      </w:r>
      <w:r>
        <w:rPr>
          <w:rFonts w:ascii="Arial" w:cs="Arial" w:eastAsia="Arial" w:hAnsi="Arial"/>
          <w:sz w:val="21"/>
          <w:szCs w:val="21"/>
          <w:b w:val="1"/>
          <w:bCs w:val="1"/>
          <w:color w:val="auto"/>
        </w:rPr>
        <w:t>COBRA</w:t>
      </w:r>
      <w:r>
        <w:rPr>
          <w:rFonts w:ascii="Arial" w:cs="Arial" w:eastAsia="Arial" w:hAnsi="Arial"/>
          <w:sz w:val="21"/>
          <w:szCs w:val="21"/>
          <w:color w:val="auto"/>
        </w:rPr>
        <w:t>”), the Company will pay any premiums associated with such COBRA continuation coverage until the earliest to occur of (i) the expiration of the Severance Period; (ii) the date Executive first becomes eligible for health insurance with a subsequent employer; or (iii) the date Executive is no longer eligible for continuation coverage under COBRA. Notwithstanding the foregoing, if at any time the Company determines, in its sole discretion, that its payment of a portion of the COBRA premiums on Executive’s behalf reasonably could result in the Company or plan participants incurring additional costs, penalties or taxes under applicable law (including, without limitation, Section 2716 of the Public Health Service Act, and Section 105(h) of the Internal Revenue Code) then in lieu of paying a portion of the COBRA premiums on Executive’s behalf, the Company will instead pay Executive on the last day of each remaining month for which Executive is entitled to the COBRA subsidy, a fully taxable cash payment equal to the COBRA subsidy for that month, subject to applicable tax withholding.</w:t>
      </w:r>
    </w:p>
    <w:p>
      <w:pPr>
        <w:spacing w:after="0" w:line="185" w:lineRule="exact"/>
        <w:rPr>
          <w:rFonts w:ascii="Arial" w:cs="Arial" w:eastAsia="Arial" w:hAnsi="Arial"/>
          <w:sz w:val="21"/>
          <w:szCs w:val="21"/>
          <w:color w:val="auto"/>
        </w:rPr>
      </w:pPr>
    </w:p>
    <w:p>
      <w:pPr>
        <w:ind w:left="880" w:right="40" w:firstLine="789"/>
        <w:spacing w:after="0" w:line="236" w:lineRule="auto"/>
        <w:tabs>
          <w:tab w:leader="none" w:pos="2565"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the event Executive does not receive one or more installments of the Severance Payment or other amounts set forth in this Section 2.1 due to the Payment Delay, the aggregate amount of any delayed payments that otherwise would have been paid to Executive on such pay periods shall be paid to Executive in a lump-sum payment in the first pay period following the end of the Release Execution Period and all remaining payments shall be paid on their original schedule.</w:t>
      </w:r>
    </w:p>
    <w:p>
      <w:pPr>
        <w:spacing w:after="0" w:line="187" w:lineRule="exact"/>
        <w:rPr>
          <w:sz w:val="20"/>
          <w:szCs w:val="20"/>
          <w:color w:val="auto"/>
        </w:rPr>
      </w:pPr>
    </w:p>
    <w:p>
      <w:pPr>
        <w:ind w:right="140" w:firstLine="864"/>
        <w:spacing w:after="0" w:line="23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Qualifying Termination in Connection with a Change in Control Event</w:t>
      </w:r>
      <w:r>
        <w:rPr>
          <w:rFonts w:ascii="Arial" w:cs="Arial" w:eastAsia="Arial" w:hAnsi="Arial"/>
          <w:sz w:val="22"/>
          <w:szCs w:val="22"/>
          <w:color w:val="auto"/>
        </w:rPr>
        <w:t>. If, during the Term, Executive’s employment is terminated pursuant to a Qualifying Termination during a Change in Control Event, Executive shall be entitled to receive the Accrued Amounts and, subject to Executive's timely execution and delivery (and non-revocation) of a Release, Executive shall be entitled to receive the following:</w:t>
      </w:r>
    </w:p>
    <w:p>
      <w:pPr>
        <w:spacing w:after="0" w:line="387" w:lineRule="exact"/>
        <w:rPr>
          <w:sz w:val="20"/>
          <w:szCs w:val="20"/>
          <w:color w:val="auto"/>
        </w:rPr>
      </w:pPr>
    </w:p>
    <w:p>
      <w:pPr>
        <w:ind w:left="880" w:right="140" w:firstLine="789"/>
        <w:spacing w:after="0" w:line="248" w:lineRule="auto"/>
        <w:tabs>
          <w:tab w:leader="none" w:pos="2565" w:val="left"/>
        </w:tabs>
        <w:numPr>
          <w:ilvl w:val="0"/>
          <w:numId w:val="28"/>
        </w:numPr>
        <w:rPr>
          <w:rFonts w:ascii="Arial" w:cs="Arial" w:eastAsia="Arial" w:hAnsi="Arial"/>
          <w:sz w:val="21"/>
          <w:szCs w:val="21"/>
          <w:color w:val="auto"/>
        </w:rPr>
      </w:pPr>
      <w:r>
        <w:rPr>
          <w:rFonts w:ascii="Arial" w:cs="Arial" w:eastAsia="Arial" w:hAnsi="Arial"/>
          <w:sz w:val="21"/>
          <w:szCs w:val="21"/>
          <w:color w:val="auto"/>
        </w:rPr>
        <w:t>An amount equal one times the sum of the Executive’s annual base salary and target bonus at the rates in effect immediately prior to the date of Executive’s Qualifying Termination (without giving effect to any salary reductions which satisfy the definition of Good Reason) (the “</w:t>
      </w:r>
      <w:r>
        <w:rPr>
          <w:rFonts w:ascii="Arial" w:cs="Arial" w:eastAsia="Arial" w:hAnsi="Arial"/>
          <w:sz w:val="21"/>
          <w:szCs w:val="21"/>
          <w:b w:val="1"/>
          <w:bCs w:val="1"/>
          <w:color w:val="auto"/>
        </w:rPr>
        <w:t>CIC Payment</w:t>
      </w:r>
      <w:r>
        <w:rPr>
          <w:rFonts w:ascii="Arial" w:cs="Arial" w:eastAsia="Arial" w:hAnsi="Arial"/>
          <w:sz w:val="21"/>
          <w:szCs w:val="21"/>
          <w:color w:val="auto"/>
        </w:rPr>
        <w:t>”); which shall be paid in a single sum within sixty (60) days following the effective date of Executive’s Qualifying Termination; provided that, if the Release Execution Period begins in one taxable year and ends in another taxable year, payment shall not be made until the first payroll period in January of the second taxable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0"/>
                <w:szCs w:val="20"/>
                <w:color w:val="auto"/>
              </w:rPr>
            </w:pPr>
            <w:r>
              <w:rPr>
                <w:rFonts w:ascii="Arial" w:cs="Arial" w:eastAsia="Arial" w:hAnsi="Arial"/>
                <w:sz w:val="14"/>
                <w:szCs w:val="14"/>
                <w:color w:val="auto"/>
              </w:rPr>
              <w:t>agrmnt\lsb\Carver K Severance Agreement</w:t>
            </w:r>
          </w:p>
        </w:tc>
        <w:tc>
          <w:tcPr>
            <w:tcW w:w="8440" w:type="dxa"/>
            <w:vAlign w:val="bottom"/>
          </w:tcPr>
          <w:p>
            <w:pPr>
              <w:jc w:val="right"/>
              <w:ind w:right="7921"/>
              <w:spacing w:after="0"/>
              <w:rPr>
                <w:sz w:val="20"/>
                <w:szCs w:val="20"/>
                <w:color w:val="auto"/>
              </w:rPr>
            </w:pPr>
            <w:r>
              <w:rPr>
                <w:rFonts w:ascii="Arial" w:cs="Arial" w:eastAsia="Arial" w:hAnsi="Arial"/>
                <w:sz w:val="20"/>
                <w:szCs w:val="20"/>
                <w:color w:val="auto"/>
              </w:rPr>
              <w:t>2</w:t>
            </w:r>
          </w:p>
        </w:tc>
      </w:tr>
      <w:tr>
        <w:trPr>
          <w:trHeight w:val="111"/>
        </w:trPr>
        <w:tc>
          <w:tcPr>
            <w:tcW w:w="282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1" w:name="page42"/>
    <w:bookmarkEnd w:id="41"/>
    <w:p>
      <w:pPr>
        <w:ind w:left="880" w:right="80" w:firstLine="789"/>
        <w:spacing w:after="0" w:line="275" w:lineRule="auto"/>
        <w:tabs>
          <w:tab w:leader="none" w:pos="2577"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If Executive (and his dependents) timely elects to continue health care continuation coverage under COBRA, the Company will pay any premiums associated with such COBRA continuation coverage until the earliest to occur of (i) the twelve (12) month anniversary of the Qualifying Termination; (ii) the date Executive first becomes eligible for health insurance with a subsequent employer; or (iii) the date Executive is no longer eligible for continuation coverage under COBRA. Notwithstanding the foregoing, if the payments under this </w:t>
      </w:r>
      <w:r>
        <w:rPr>
          <w:rFonts w:ascii="Arial" w:cs="Arial" w:eastAsia="Arial" w:hAnsi="Arial"/>
          <w:sz w:val="19"/>
          <w:szCs w:val="19"/>
          <w:u w:val="single" w:color="auto"/>
          <w:color w:val="0000EE"/>
        </w:rPr>
        <w:t>Section 2.2(c)</w:t>
      </w:r>
      <w:r>
        <w:rPr>
          <w:rFonts w:ascii="Arial" w:cs="Arial" w:eastAsia="Arial" w:hAnsi="Arial"/>
          <w:sz w:val="19"/>
          <w:szCs w:val="19"/>
          <w:color w:val="auto"/>
        </w:rPr>
        <w:t xml:space="preserve"> would violate the nondiscrimination rules applicable to non-grandfathered plans under the ACA, or result in the imposition of penalties under the ACA and the related regulations and guidance promulgated thereunder), the Parties agree to reform this </w:t>
      </w:r>
      <w:r>
        <w:rPr>
          <w:rFonts w:ascii="Arial" w:cs="Arial" w:eastAsia="Arial" w:hAnsi="Arial"/>
          <w:sz w:val="19"/>
          <w:szCs w:val="19"/>
          <w:u w:val="single" w:color="auto"/>
          <w:color w:val="0000EE"/>
        </w:rPr>
        <w:t>Section 2.2(c)</w:t>
      </w:r>
      <w:r>
        <w:rPr>
          <w:rFonts w:ascii="Arial" w:cs="Arial" w:eastAsia="Arial" w:hAnsi="Arial"/>
          <w:sz w:val="19"/>
          <w:szCs w:val="19"/>
          <w:color w:val="auto"/>
        </w:rPr>
        <w:t xml:space="preserve"> in such manner as is necessary to comply with the ACA.</w:t>
      </w:r>
    </w:p>
    <w:p>
      <w:pPr>
        <w:spacing w:after="0" w:line="157" w:lineRule="exact"/>
        <w:rPr>
          <w:sz w:val="20"/>
          <w:szCs w:val="20"/>
          <w:color w:val="auto"/>
        </w:rPr>
      </w:pPr>
    </w:p>
    <w:p>
      <w:pPr>
        <w:ind w:right="640" w:firstLine="864"/>
        <w:spacing w:after="0" w:line="328"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Other Terminations of Employment</w:t>
      </w:r>
      <w:r>
        <w:rPr>
          <w:rFonts w:ascii="Arial" w:cs="Arial" w:eastAsia="Arial" w:hAnsi="Arial"/>
          <w:sz w:val="19"/>
          <w:szCs w:val="19"/>
          <w:color w:val="auto"/>
        </w:rPr>
        <w:t>. Notwithstanding anything to the contrary in Sections 2.1 and 2.2 above, in connection with any termination of employment, Executive shall be entitled to receive the Accrued Amounts.</w:t>
      </w:r>
    </w:p>
    <w:p>
      <w:pPr>
        <w:spacing w:after="0" w:line="321" w:lineRule="exact"/>
        <w:rPr>
          <w:sz w:val="20"/>
          <w:szCs w:val="20"/>
          <w:color w:val="auto"/>
        </w:rPr>
      </w:pPr>
    </w:p>
    <w:p>
      <w:pPr>
        <w:ind w:left="1680" w:hanging="808"/>
        <w:spacing w:after="0"/>
        <w:tabs>
          <w:tab w:leader="none" w:pos="16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w:t>
      </w:r>
      <w:r>
        <w:rPr>
          <w:rFonts w:ascii="Arial" w:cs="Arial" w:eastAsia="Arial" w:hAnsi="Arial"/>
          <w:sz w:val="19"/>
          <w:szCs w:val="19"/>
          <w:b w:val="1"/>
          <w:bCs w:val="1"/>
          <w:color w:val="auto"/>
        </w:rPr>
        <w:t>Accrued Amounts</w:t>
      </w:r>
      <w:r>
        <w:rPr>
          <w:rFonts w:ascii="Arial" w:cs="Arial" w:eastAsia="Arial" w:hAnsi="Arial"/>
          <w:sz w:val="19"/>
          <w:szCs w:val="19"/>
          <w:color w:val="auto"/>
        </w:rPr>
        <w:t>” include the following:</w:t>
      </w:r>
    </w:p>
    <w:p>
      <w:pPr>
        <w:spacing w:after="0" w:line="212" w:lineRule="exact"/>
        <w:rPr>
          <w:sz w:val="20"/>
          <w:szCs w:val="20"/>
          <w:color w:val="auto"/>
        </w:rPr>
      </w:pPr>
    </w:p>
    <w:p>
      <w:pPr>
        <w:ind w:left="880" w:right="240" w:firstLine="789"/>
        <w:spacing w:after="0" w:line="328" w:lineRule="auto"/>
        <w:tabs>
          <w:tab w:leader="none" w:pos="2565"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accrued but unpaid base salary which shall be paid on the pay date immediately following the termination date of Executive’s employment in accordance with the Company’s payroll procedures;</w:t>
      </w:r>
    </w:p>
    <w:p>
      <w:pPr>
        <w:spacing w:after="0" w:line="200" w:lineRule="exact"/>
        <w:rPr>
          <w:rFonts w:ascii="Arial" w:cs="Arial" w:eastAsia="Arial" w:hAnsi="Arial"/>
          <w:sz w:val="19"/>
          <w:szCs w:val="19"/>
          <w:color w:val="auto"/>
        </w:rPr>
      </w:pPr>
    </w:p>
    <w:p>
      <w:pPr>
        <w:spacing w:after="0" w:line="282" w:lineRule="exact"/>
        <w:rPr>
          <w:rFonts w:ascii="Arial" w:cs="Arial" w:eastAsia="Arial" w:hAnsi="Arial"/>
          <w:sz w:val="19"/>
          <w:szCs w:val="19"/>
          <w:color w:val="auto"/>
        </w:rPr>
      </w:pPr>
    </w:p>
    <w:p>
      <w:pPr>
        <w:ind w:left="880" w:right="20" w:firstLine="789"/>
        <w:spacing w:after="0" w:line="297" w:lineRule="auto"/>
        <w:tabs>
          <w:tab w:leader="none" w:pos="2577"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earned but unpaid bonus amounts with respect to any completed fiscal year immediately preceding the termination date of Executive’s employment, which shall be paid on the otherwise applicable payment date, except to the extent payment is otherwise deferred pursuant to any applicable deferred compensation arrangement;</w:t>
      </w:r>
    </w:p>
    <w:p>
      <w:pPr>
        <w:spacing w:after="0" w:line="133" w:lineRule="exact"/>
        <w:rPr>
          <w:rFonts w:ascii="Arial" w:cs="Arial" w:eastAsia="Arial" w:hAnsi="Arial"/>
          <w:sz w:val="19"/>
          <w:szCs w:val="19"/>
          <w:color w:val="auto"/>
        </w:rPr>
      </w:pPr>
    </w:p>
    <w:p>
      <w:pPr>
        <w:ind w:left="880" w:right="140" w:firstLine="789"/>
        <w:spacing w:after="0" w:line="274" w:lineRule="auto"/>
        <w:tabs>
          <w:tab w:leader="none" w:pos="2565"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reimbursement for unreimbursed business expenses properly incurred by Executive, which shall be subject to and paid in accordance with the Company’s business expense reimbursement policy; and</w:t>
      </w:r>
    </w:p>
    <w:p>
      <w:pPr>
        <w:spacing w:after="0" w:line="353" w:lineRule="exact"/>
        <w:rPr>
          <w:rFonts w:ascii="Arial" w:cs="Arial" w:eastAsia="Arial" w:hAnsi="Arial"/>
          <w:sz w:val="21"/>
          <w:szCs w:val="21"/>
          <w:color w:val="auto"/>
        </w:rPr>
      </w:pPr>
    </w:p>
    <w:p>
      <w:pPr>
        <w:ind w:left="880" w:right="60" w:firstLine="789"/>
        <w:spacing w:after="0" w:line="297" w:lineRule="auto"/>
        <w:tabs>
          <w:tab w:leader="none" w:pos="2577"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vested employee benefits to which Executive may be entitled to receive under the Company’s employee benefit plans or programs as of the date of Executive’s termination of employment; which shall be subject to, and paid in accordance with, the terms of the Company's employee benefit plans or programs.</w:t>
      </w:r>
    </w:p>
    <w:p>
      <w:pPr>
        <w:spacing w:after="0" w:line="128" w:lineRule="exact"/>
        <w:rPr>
          <w:sz w:val="20"/>
          <w:szCs w:val="20"/>
          <w:color w:val="auto"/>
        </w:rPr>
      </w:pPr>
    </w:p>
    <w:p>
      <w:pPr>
        <w:ind w:right="240" w:firstLine="864"/>
        <w:spacing w:after="0" w:line="278" w:lineRule="auto"/>
        <w:rPr>
          <w:sz w:val="20"/>
          <w:szCs w:val="20"/>
          <w:color w:val="auto"/>
        </w:rPr>
      </w:pPr>
      <w:r>
        <w:rPr>
          <w:rFonts w:ascii="Arial" w:cs="Arial" w:eastAsia="Arial" w:hAnsi="Arial"/>
          <w:sz w:val="19"/>
          <w:szCs w:val="19"/>
          <w:color w:val="auto"/>
        </w:rPr>
        <w:t>3.2 “</w:t>
      </w:r>
      <w:r>
        <w:rPr>
          <w:rFonts w:ascii="Arial" w:cs="Arial" w:eastAsia="Arial" w:hAnsi="Arial"/>
          <w:sz w:val="19"/>
          <w:szCs w:val="19"/>
          <w:b w:val="1"/>
          <w:bCs w:val="1"/>
          <w:color w:val="auto"/>
        </w:rPr>
        <w:t>Cause</w:t>
      </w:r>
      <w:r>
        <w:rPr>
          <w:rFonts w:ascii="Arial" w:cs="Arial" w:eastAsia="Arial" w:hAnsi="Arial"/>
          <w:sz w:val="19"/>
          <w:szCs w:val="19"/>
          <w:color w:val="auto"/>
        </w:rPr>
        <w:t>” means (i) the Executive’s conviction of, or plea of nolo contendere to, a felony (other than for a traffic violation); (ii) the Executive’s continued failure to substantially perform the Executive’s material duties hereunder (other than due to a mental or physical impairment) after receipt of written notice from the Company that specifically identifies the manner in which the Executive has substantially failed to perform the Executive’s material duties and specifies the manner in which the Executive may substantially perform his material duties in the future; (iii) an act of fraud or gross or willful material misconduct by the Executive; or (iv) a willful and material violation of the material provisions of the Company’s Code of Conduct or the Company’s Code of Business Conduct. Anything herein to the contrary notwithstanding, the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0"/>
                <w:szCs w:val="20"/>
                <w:color w:val="auto"/>
              </w:rPr>
            </w:pPr>
            <w:r>
              <w:rPr>
                <w:rFonts w:ascii="Arial" w:cs="Arial" w:eastAsia="Arial" w:hAnsi="Arial"/>
                <w:sz w:val="14"/>
                <w:szCs w:val="14"/>
                <w:color w:val="auto"/>
              </w:rPr>
              <w:t>agrmnt\lsb\Carver K Severance Agreement</w:t>
            </w:r>
          </w:p>
        </w:tc>
        <w:tc>
          <w:tcPr>
            <w:tcW w:w="8440" w:type="dxa"/>
            <w:vAlign w:val="bottom"/>
          </w:tcPr>
          <w:p>
            <w:pPr>
              <w:jc w:val="right"/>
              <w:ind w:right="7921"/>
              <w:spacing w:after="0"/>
              <w:rPr>
                <w:sz w:val="20"/>
                <w:szCs w:val="20"/>
                <w:color w:val="auto"/>
              </w:rPr>
            </w:pPr>
            <w:r>
              <w:rPr>
                <w:rFonts w:ascii="Arial" w:cs="Arial" w:eastAsia="Arial" w:hAnsi="Arial"/>
                <w:sz w:val="20"/>
                <w:szCs w:val="20"/>
                <w:color w:val="auto"/>
              </w:rPr>
              <w:t>3</w:t>
            </w:r>
          </w:p>
        </w:tc>
      </w:tr>
      <w:tr>
        <w:trPr>
          <w:trHeight w:val="111"/>
        </w:trPr>
        <w:tc>
          <w:tcPr>
            <w:tcW w:w="282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42" w:name="page43"/>
    <w:bookmarkEnd w:id="42"/>
    <w:p>
      <w:pPr>
        <w:ind w:right="40"/>
        <w:spacing w:after="0"/>
        <w:rPr>
          <w:sz w:val="20"/>
          <w:szCs w:val="20"/>
          <w:color w:val="auto"/>
        </w:rPr>
      </w:pPr>
      <w:r>
        <w:rPr>
          <w:rFonts w:ascii="Arial" w:cs="Arial" w:eastAsia="Arial" w:hAnsi="Arial"/>
          <w:sz w:val="22"/>
          <w:szCs w:val="22"/>
          <w:color w:val="auto"/>
        </w:rPr>
        <w:t>Executive shall not be terminated for “Cause” hereunder unless (A) written notice stating the basis for the termination is provided to the Executive, (B) as to clauses (ii) or (iv) of this paragraph, the Executive fails to cure such neglect or conduct within thirty (30) days following receipt of such notice.</w:t>
      </w:r>
    </w:p>
    <w:p>
      <w:pPr>
        <w:spacing w:after="0" w:line="18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w:t>
      </w:r>
    </w:p>
    <w:p>
      <w:pPr>
        <w:spacing w:after="0" w:line="212" w:lineRule="exact"/>
        <w:rPr>
          <w:sz w:val="20"/>
          <w:szCs w:val="20"/>
          <w:color w:val="auto"/>
        </w:rPr>
      </w:pPr>
    </w:p>
    <w:p>
      <w:pPr>
        <w:ind w:left="880" w:right="140" w:firstLine="789"/>
        <w:spacing w:after="0" w:line="272" w:lineRule="auto"/>
        <w:tabs>
          <w:tab w:leader="none" w:pos="2565"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“change in the ownership of the Company” which shall occur on the date that any one person, or more than one person acting as a group, acquires ownership of stock in the Company that, together with stock held by such person or group, constitutes more than 50% of the total fair market value or total voting power of the stock of the Company as of the Effective Date; however, if any one person or more than one person acting as a group is considered to own more than 50% of the total fair market value or total voting power of the stock of the Company, the acquisition of additional stock by the same person or persons will not be considered a “change in the ownership of the Company” (or to cause a “change in the effective control of the Company” within the meaning of paragraph (ii) below) and an increase of the effective percentage of stock owned by any one person, or persons acting as a group, as a result of a transaction in which the Company acquires its stock in exchange for property will be treated as an acquisition of stock for purposes of this paragraph; provided, further, however, that for purposes of this paragraph (i), any acquisition by any employee benefit plan (or related trust) sponsored or maintained by the Company or any entity controlled by the Company shall not constitute a Change in Control. This paragraph (i) applies only when there is a transfer of the stock of the Company (or issuance of stock) and stock in the Company remains outstanding after the transaction;</w:t>
      </w:r>
    </w:p>
    <w:p>
      <w:pPr>
        <w:spacing w:after="0" w:line="182" w:lineRule="exact"/>
        <w:rPr>
          <w:rFonts w:ascii="Arial" w:cs="Arial" w:eastAsia="Arial" w:hAnsi="Arial"/>
          <w:sz w:val="19"/>
          <w:szCs w:val="19"/>
          <w:color w:val="auto"/>
        </w:rPr>
      </w:pPr>
    </w:p>
    <w:p>
      <w:pPr>
        <w:ind w:left="880" w:right="40" w:firstLine="789"/>
        <w:spacing w:after="0" w:line="272" w:lineRule="auto"/>
        <w:tabs>
          <w:tab w:leader="none" w:pos="2577"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“change in the effective control of the Company” which shall occur on the date that either (A) any one person, or more than one person acting as a group, acquires (or has acquired during the twelve month period ending on the date of the most recent acquisition by such person or persons) ownership of stock of the Company possessing 30% or more of the total voting power of the stock of the Company, except for any acquisition by any employee benefit plan (or related trust) sponsored or maintained by the Company or any entity controlled by the Company; or (B) a majority of the members of the Board are replaced during any twelve-month period by directors whose appointment or election is not endorsed by a majority of the members of the Board prior to the date of the appointment or election. For purposes of a “change in the effective control of the Company,” if any one person, or more than one person acting as a group, is considered to effectively control the Company within the meaning of this paragraph (ii) after the Effective Date, the acquisition of additional control of the Company by the same person or persons is not considered a “change in the effective control of the Company,” or to cause a “change in the ownership of the Company” within the meaning of paragraph (i) above; or</w:t>
      </w:r>
    </w:p>
    <w:p>
      <w:pPr>
        <w:spacing w:after="0" w:line="187" w:lineRule="exact"/>
        <w:rPr>
          <w:rFonts w:ascii="Arial" w:cs="Arial" w:eastAsia="Arial" w:hAnsi="Arial"/>
          <w:sz w:val="19"/>
          <w:szCs w:val="19"/>
          <w:color w:val="auto"/>
        </w:rPr>
      </w:pPr>
    </w:p>
    <w:p>
      <w:pPr>
        <w:ind w:left="880" w:right="160" w:firstLine="789"/>
        <w:spacing w:after="0" w:line="238" w:lineRule="auto"/>
        <w:tabs>
          <w:tab w:leader="none" w:pos="2565"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the Company’s assets” which shall occur on the date that any one person, or more than one person acting as a group, acquires (or has acquired during the twelve month period ending on the date of the most recent acquisition by such person or persons) assets of the Company that have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0"/>
                <w:szCs w:val="20"/>
                <w:color w:val="auto"/>
              </w:rPr>
            </w:pPr>
            <w:r>
              <w:rPr>
                <w:rFonts w:ascii="Arial" w:cs="Arial" w:eastAsia="Arial" w:hAnsi="Arial"/>
                <w:sz w:val="14"/>
                <w:szCs w:val="14"/>
                <w:color w:val="auto"/>
              </w:rPr>
              <w:t>agrmnt\lsb\Carver K Severance Agreement</w:t>
            </w:r>
          </w:p>
        </w:tc>
        <w:tc>
          <w:tcPr>
            <w:tcW w:w="8440" w:type="dxa"/>
            <w:vAlign w:val="bottom"/>
          </w:tcPr>
          <w:p>
            <w:pPr>
              <w:jc w:val="right"/>
              <w:ind w:right="7921"/>
              <w:spacing w:after="0"/>
              <w:rPr>
                <w:sz w:val="20"/>
                <w:szCs w:val="20"/>
                <w:color w:val="auto"/>
              </w:rPr>
            </w:pPr>
            <w:r>
              <w:rPr>
                <w:rFonts w:ascii="Arial" w:cs="Arial" w:eastAsia="Arial" w:hAnsi="Arial"/>
                <w:sz w:val="20"/>
                <w:szCs w:val="20"/>
                <w:color w:val="auto"/>
              </w:rPr>
              <w:t>4</w:t>
            </w:r>
          </w:p>
        </w:tc>
      </w:tr>
      <w:tr>
        <w:trPr>
          <w:trHeight w:val="111"/>
        </w:trPr>
        <w:tc>
          <w:tcPr>
            <w:tcW w:w="282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3" w:name="page44"/>
    <w:bookmarkEnd w:id="43"/>
    <w:p>
      <w:pPr>
        <w:ind w:left="880" w:right="400"/>
        <w:spacing w:after="0" w:line="248" w:lineRule="auto"/>
        <w:rPr>
          <w:sz w:val="20"/>
          <w:szCs w:val="20"/>
          <w:color w:val="auto"/>
        </w:rPr>
      </w:pPr>
      <w:r>
        <w:rPr>
          <w:rFonts w:ascii="Arial" w:cs="Arial" w:eastAsia="Arial" w:hAnsi="Arial"/>
          <w:sz w:val="21"/>
          <w:szCs w:val="21"/>
          <w:color w:val="auto"/>
        </w:rPr>
        <w:t>a total gross fair market value equal to or more than 40% of the total gross fair market value of all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Any transfer of assets to an entity that is controlled by the stockholders of the Company immediately after the transfer, as provided in guidance issued pursuant to Code Section 409A, shall not constitute a Change in Control.</w:t>
      </w:r>
    </w:p>
    <w:p>
      <w:pPr>
        <w:spacing w:after="0" w:line="19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 Date</w:t>
      </w:r>
      <w:r>
        <w:rPr>
          <w:rFonts w:ascii="Arial" w:cs="Arial" w:eastAsia="Arial" w:hAnsi="Arial"/>
          <w:sz w:val="19"/>
          <w:szCs w:val="19"/>
          <w:color w:val="auto"/>
        </w:rPr>
        <w:t>” shall be any date during the Term on which a Change in Control occurs.</w:t>
      </w:r>
    </w:p>
    <w:p>
      <w:pPr>
        <w:spacing w:after="0" w:line="206" w:lineRule="exact"/>
        <w:rPr>
          <w:sz w:val="20"/>
          <w:szCs w:val="20"/>
          <w:color w:val="auto"/>
        </w:rPr>
      </w:pPr>
    </w:p>
    <w:p>
      <w:pPr>
        <w:ind w:right="260" w:firstLine="864"/>
        <w:spacing w:after="0" w:line="280" w:lineRule="auto"/>
        <w:rPr>
          <w:sz w:val="20"/>
          <w:szCs w:val="20"/>
          <w:color w:val="auto"/>
        </w:rPr>
      </w:pPr>
      <w:r>
        <w:rPr>
          <w:rFonts w:ascii="Arial" w:cs="Arial" w:eastAsia="Arial" w:hAnsi="Arial"/>
          <w:sz w:val="21"/>
          <w:szCs w:val="21"/>
          <w:color w:val="auto"/>
        </w:rPr>
        <w:t>3.5 “</w:t>
      </w:r>
      <w:r>
        <w:rPr>
          <w:rFonts w:ascii="Arial" w:cs="Arial" w:eastAsia="Arial" w:hAnsi="Arial"/>
          <w:sz w:val="21"/>
          <w:szCs w:val="21"/>
          <w:b w:val="1"/>
          <w:bCs w:val="1"/>
          <w:color w:val="auto"/>
        </w:rPr>
        <w:t>Change in Control Event”</w:t>
      </w:r>
      <w:r>
        <w:rPr>
          <w:rFonts w:ascii="Arial" w:cs="Arial" w:eastAsia="Arial" w:hAnsi="Arial"/>
          <w:sz w:val="21"/>
          <w:szCs w:val="21"/>
          <w:color w:val="auto"/>
        </w:rPr>
        <w:t xml:space="preserve"> shall mean at any time during the period beginning one hundred eighty (180) calendar days before, and ending on the 12-month anniversary following, the occurrence of a Change in Control.</w:t>
      </w:r>
    </w:p>
    <w:p>
      <w:pPr>
        <w:spacing w:after="0" w:line="139" w:lineRule="exact"/>
        <w:rPr>
          <w:sz w:val="20"/>
          <w:szCs w:val="20"/>
          <w:color w:val="auto"/>
        </w:rPr>
      </w:pPr>
    </w:p>
    <w:p>
      <w:pPr>
        <w:ind w:right="60" w:firstLine="864"/>
        <w:spacing w:after="0" w:line="268" w:lineRule="auto"/>
        <w:rPr>
          <w:sz w:val="20"/>
          <w:szCs w:val="20"/>
          <w:color w:val="auto"/>
        </w:rPr>
      </w:pPr>
      <w:r>
        <w:rPr>
          <w:rFonts w:ascii="Arial" w:cs="Arial" w:eastAsia="Arial" w:hAnsi="Arial"/>
          <w:sz w:val="19"/>
          <w:szCs w:val="19"/>
          <w:color w:val="auto"/>
        </w:rPr>
        <w:t>3.6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means (i) any material diminution in the Executive’s job duties, authorities or responsibilities (including, without limitation, the removal of the Executive as Senior Vice President and Treasurer, the Executive failing to be the Senior Vice President and Treasurer of any surviving or successor entity, including the ultimate parent, or the Company’s stock (or following a Change in Control, the surviving or successor entity’s stock) no longer being (or not being) publicly traded on the New York Stock Exchange or NASDAQ); (ii) a reduction in the Executive’s Base Salary or Target Bonus as a percentage of Base Salary; (iii) the failure of the Executive to report solely and directly to the Chief Financial Officer or Chief Executive Officer of the Company (including any successor entity); (iv) the assignment of duties substantially inconsistent with the Executive’s status as Senior Vice President and Treasurer of the Company; (v) a relocation of the Executive’s primary place of employment to a location more than fifty (50) miles from the current location of the Company’s offices in Oklahoma City, Oklahoma; (vi) any other material breach of this Agreement by the Company, (vii) the failure of the Company to obtain the assumption in writing of its obligations under the Agreement by any successor to all or substantially all of the assets of the Company after a merger, consolidation, sale or similar transaction in which such Agreement is not assumed by operation of law or (viii) on or following a Change in Control, the failure of the surviving or successor entity to provide the Executive with an Equity Award with terms no less favorable to the Executive, and with a grant date value equal to or greater than the aggregate grant date value of the equity awards granted to the Executive by the Company during the 12-month period immediately prior to the Change in Control. In order to invoke a termination for Good Reason, (A) the Executive must provide written notice to the Company within ninety (90) days of the later of the occurrence, or the Executive’s knowledge, of any event of “Good Reason,”</w:t>
      </w:r>
    </w:p>
    <w:p>
      <w:pPr>
        <w:spacing w:after="0" w:line="7" w:lineRule="exact"/>
        <w:rPr>
          <w:sz w:val="20"/>
          <w:szCs w:val="20"/>
          <w:color w:val="auto"/>
        </w:rPr>
      </w:pPr>
    </w:p>
    <w:p>
      <w:pPr>
        <w:ind w:right="480" w:firstLine="8"/>
        <w:spacing w:after="0" w:line="308" w:lineRule="auto"/>
        <w:tabs>
          <w:tab w:leader="none" w:pos="342"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Company must fail to cure such event within thirty (30) days of the giving of such notice and (C) the Executive must provide a Notice of Termination within thirty (30) days following the expiration of the Company’s cure period.</w:t>
      </w:r>
    </w:p>
    <w:p>
      <w:pPr>
        <w:spacing w:after="0" w:line="117" w:lineRule="exact"/>
        <w:rPr>
          <w:sz w:val="20"/>
          <w:szCs w:val="20"/>
          <w:color w:val="auto"/>
        </w:rPr>
      </w:pPr>
    </w:p>
    <w:p>
      <w:pPr>
        <w:ind w:right="400" w:firstLine="864"/>
        <w:spacing w:after="0" w:line="280" w:lineRule="auto"/>
        <w:rPr>
          <w:sz w:val="20"/>
          <w:szCs w:val="20"/>
          <w:color w:val="auto"/>
        </w:rPr>
      </w:pPr>
      <w:r>
        <w:rPr>
          <w:rFonts w:ascii="Arial" w:cs="Arial" w:eastAsia="Arial" w:hAnsi="Arial"/>
          <w:sz w:val="21"/>
          <w:szCs w:val="21"/>
          <w:color w:val="auto"/>
        </w:rPr>
        <w:t>3.7 “</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a partnership, a corporation, a limited liability company, an association, a joint stock company, a trust, a joint venture, an unincorporated organization, or any other business entity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0"/>
                <w:szCs w:val="20"/>
                <w:color w:val="auto"/>
              </w:rPr>
            </w:pPr>
            <w:r>
              <w:rPr>
                <w:rFonts w:ascii="Arial" w:cs="Arial" w:eastAsia="Arial" w:hAnsi="Arial"/>
                <w:sz w:val="14"/>
                <w:szCs w:val="14"/>
                <w:color w:val="auto"/>
              </w:rPr>
              <w:t>agrmnt\lsb\Carver K Severance Agreement</w:t>
            </w:r>
          </w:p>
        </w:tc>
        <w:tc>
          <w:tcPr>
            <w:tcW w:w="8440" w:type="dxa"/>
            <w:vAlign w:val="bottom"/>
          </w:tcPr>
          <w:p>
            <w:pPr>
              <w:jc w:val="right"/>
              <w:ind w:right="7921"/>
              <w:spacing w:after="0"/>
              <w:rPr>
                <w:sz w:val="20"/>
                <w:szCs w:val="20"/>
                <w:color w:val="auto"/>
              </w:rPr>
            </w:pPr>
            <w:r>
              <w:rPr>
                <w:rFonts w:ascii="Arial" w:cs="Arial" w:eastAsia="Arial" w:hAnsi="Arial"/>
                <w:sz w:val="20"/>
                <w:szCs w:val="20"/>
                <w:color w:val="auto"/>
              </w:rPr>
              <w:t>5</w:t>
            </w:r>
          </w:p>
        </w:tc>
      </w:tr>
      <w:tr>
        <w:trPr>
          <w:trHeight w:val="111"/>
        </w:trPr>
        <w:tc>
          <w:tcPr>
            <w:tcW w:w="282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4" w:name="page45"/>
    <w:bookmarkEnd w:id="44"/>
    <w:p>
      <w:pPr>
        <w:ind w:right="440" w:firstLine="864"/>
        <w:spacing w:after="0" w:line="256" w:lineRule="auto"/>
        <w:rPr>
          <w:sz w:val="20"/>
          <w:szCs w:val="20"/>
          <w:color w:val="auto"/>
        </w:rPr>
      </w:pPr>
      <w:r>
        <w:rPr>
          <w:rFonts w:ascii="Arial" w:cs="Arial" w:eastAsia="Arial" w:hAnsi="Arial"/>
          <w:sz w:val="22"/>
          <w:szCs w:val="22"/>
          <w:color w:val="auto"/>
        </w:rPr>
        <w:t>3.8 “</w:t>
      </w:r>
      <w:r>
        <w:rPr>
          <w:rFonts w:ascii="Arial" w:cs="Arial" w:eastAsia="Arial" w:hAnsi="Arial"/>
          <w:sz w:val="22"/>
          <w:szCs w:val="22"/>
          <w:b w:val="1"/>
          <w:bCs w:val="1"/>
          <w:color w:val="auto"/>
        </w:rPr>
        <w:t>Qualifying Termination</w:t>
      </w:r>
      <w:r>
        <w:rPr>
          <w:rFonts w:ascii="Arial" w:cs="Arial" w:eastAsia="Arial" w:hAnsi="Arial"/>
          <w:sz w:val="22"/>
          <w:szCs w:val="22"/>
          <w:color w:val="auto"/>
        </w:rPr>
        <w:t>” shall mean Executive’s termination of employment by the Company without Cause or Executive’s resignation of employment for Good Reason.</w:t>
      </w:r>
    </w:p>
    <w:p>
      <w:pPr>
        <w:spacing w:after="0" w:line="182" w:lineRule="exact"/>
        <w:rPr>
          <w:sz w:val="20"/>
          <w:szCs w:val="20"/>
          <w:color w:val="auto"/>
        </w:rPr>
      </w:pPr>
    </w:p>
    <w:p>
      <w:pPr>
        <w:ind w:right="200" w:firstLine="872"/>
        <w:spacing w:after="0" w:line="287" w:lineRule="auto"/>
        <w:tabs>
          <w:tab w:leader="none" w:pos="167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Mitigation</w:t>
      </w:r>
      <w:r>
        <w:rPr>
          <w:rFonts w:ascii="Arial" w:cs="Arial" w:eastAsia="Arial" w:hAnsi="Arial"/>
          <w:sz w:val="19"/>
          <w:szCs w:val="19"/>
          <w:color w:val="auto"/>
        </w:rPr>
        <w:t xml:space="preserve">. In no event shall Executive be obligated to seek other employment or take any other action by way of mitigation of the amounts payable to Executive under any of the provisions of this Agreement and except as provided in </w:t>
      </w:r>
      <w:r>
        <w:rPr>
          <w:rFonts w:ascii="Arial" w:cs="Arial" w:eastAsia="Arial" w:hAnsi="Arial"/>
          <w:sz w:val="19"/>
          <w:szCs w:val="19"/>
          <w:u w:val="single" w:color="auto"/>
          <w:color w:val="0000EE"/>
        </w:rPr>
        <w:t>Sections 2.1(c)</w:t>
      </w:r>
      <w:r>
        <w:rPr>
          <w:rFonts w:ascii="Arial" w:cs="Arial" w:eastAsia="Arial" w:hAnsi="Arial"/>
          <w:sz w:val="19"/>
          <w:szCs w:val="19"/>
          <w:color w:val="0000EE"/>
        </w:rPr>
        <w:t xml:space="preserve"> </w:t>
      </w:r>
      <w:r>
        <w:rPr>
          <w:rFonts w:ascii="Arial" w:cs="Arial" w:eastAsia="Arial" w:hAnsi="Arial"/>
          <w:sz w:val="19"/>
          <w:szCs w:val="19"/>
          <w:color w:val="000000"/>
        </w:rPr>
        <w:t>and 2.2(c) (with respect to medical insurance continuation), any amounts payable pursuant to</w:t>
      </w:r>
      <w:r>
        <w:rPr>
          <w:rFonts w:ascii="Arial" w:cs="Arial" w:eastAsia="Arial" w:hAnsi="Arial"/>
          <w:sz w:val="19"/>
          <w:szCs w:val="19"/>
          <w:color w:val="0000EE"/>
        </w:rPr>
        <w:t xml:space="preserve"> </w:t>
      </w:r>
      <w:r>
        <w:rPr>
          <w:rFonts w:ascii="Arial" w:cs="Arial" w:eastAsia="Arial" w:hAnsi="Arial"/>
          <w:sz w:val="19"/>
          <w:szCs w:val="19"/>
          <w:u w:val="single" w:color="auto"/>
          <w:color w:val="0000EE"/>
        </w:rPr>
        <w:t>Section</w:t>
      </w:r>
      <w:r>
        <w:rPr>
          <w:rFonts w:ascii="Arial" w:cs="Arial" w:eastAsia="Arial" w:hAnsi="Arial"/>
          <w:sz w:val="19"/>
          <w:szCs w:val="19"/>
          <w:color w:val="0000EE"/>
        </w:rPr>
        <w:t xml:space="preserve"> </w:t>
      </w:r>
      <w:r>
        <w:rPr>
          <w:rFonts w:ascii="Arial" w:cs="Arial" w:eastAsia="Arial" w:hAnsi="Arial"/>
          <w:sz w:val="19"/>
          <w:szCs w:val="19"/>
          <w:color w:val="000000"/>
        </w:rPr>
        <w:t>2 shall not</w:t>
      </w:r>
      <w:r>
        <w:rPr>
          <w:rFonts w:ascii="Arial" w:cs="Arial" w:eastAsia="Arial" w:hAnsi="Arial"/>
          <w:sz w:val="19"/>
          <w:szCs w:val="19"/>
          <w:color w:val="0000EE"/>
        </w:rPr>
        <w:t xml:space="preserve"> </w:t>
      </w:r>
      <w:r>
        <w:rPr>
          <w:rFonts w:ascii="Arial" w:cs="Arial" w:eastAsia="Arial" w:hAnsi="Arial"/>
          <w:sz w:val="19"/>
          <w:szCs w:val="19"/>
          <w:color w:val="000000"/>
        </w:rPr>
        <w:t>be reduced by compensation Executive earns on account of employment with another employer.</w:t>
      </w:r>
    </w:p>
    <w:p>
      <w:pPr>
        <w:spacing w:after="0" w:line="142" w:lineRule="exact"/>
        <w:rPr>
          <w:rFonts w:ascii="Arial" w:cs="Arial" w:eastAsia="Arial" w:hAnsi="Arial"/>
          <w:sz w:val="19"/>
          <w:szCs w:val="19"/>
          <w:color w:val="auto"/>
        </w:rPr>
      </w:pPr>
    </w:p>
    <w:p>
      <w:pPr>
        <w:ind w:right="100" w:firstLine="872"/>
        <w:spacing w:after="0" w:line="250" w:lineRule="auto"/>
        <w:tabs>
          <w:tab w:leader="none" w:pos="167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for all purposes, shall be construed in accordance with the laws of the State of Oklahoma without regard to conflicts of law principles.</w:t>
      </w:r>
    </w:p>
    <w:p>
      <w:pPr>
        <w:spacing w:after="0" w:line="174" w:lineRule="exact"/>
        <w:rPr>
          <w:rFonts w:ascii="Arial" w:cs="Arial" w:eastAsia="Arial" w:hAnsi="Arial"/>
          <w:sz w:val="22"/>
          <w:szCs w:val="22"/>
          <w:color w:val="auto"/>
        </w:rPr>
      </w:pPr>
    </w:p>
    <w:p>
      <w:pPr>
        <w:ind w:right="120" w:firstLine="872"/>
        <w:spacing w:after="0" w:line="238" w:lineRule="auto"/>
        <w:tabs>
          <w:tab w:leader="none" w:pos="167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Unless specifically provided herein, this Agreement contains all of the understandings and representations between Executive and the Company pertaining to the subject matter hereof and supersedes all prior and contemporaneous understandings, agreements, representations and warranties, both written and oral, with respect to such subject matter.</w:t>
      </w:r>
    </w:p>
    <w:p>
      <w:pPr>
        <w:spacing w:after="0" w:line="184" w:lineRule="exact"/>
        <w:rPr>
          <w:rFonts w:ascii="Arial" w:cs="Arial" w:eastAsia="Arial" w:hAnsi="Arial"/>
          <w:sz w:val="22"/>
          <w:szCs w:val="22"/>
          <w:color w:val="auto"/>
        </w:rPr>
      </w:pPr>
    </w:p>
    <w:p>
      <w:pPr>
        <w:ind w:right="240" w:firstLine="872"/>
        <w:spacing w:after="0" w:line="248" w:lineRule="auto"/>
        <w:tabs>
          <w:tab w:leader="none" w:pos="1674"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Modification and Waiver</w:t>
      </w:r>
      <w:r>
        <w:rPr>
          <w:rFonts w:ascii="Arial" w:cs="Arial" w:eastAsia="Arial" w:hAnsi="Arial"/>
          <w:sz w:val="21"/>
          <w:szCs w:val="21"/>
          <w:color w:val="auto"/>
        </w:rPr>
        <w:t>. No provision of this Agreement may be amended or modified unless such amendment or modification is agreed to in writing and signed by Executive and the Company. No waiver by the Parties of any breach by another Party of any condition or provision of this Agreement to be performed by another Party shall be deemed a waiver of any similar or dissimilar provision or condition at the same or any prior or subsequent time, nor shall the failure of or delay by any Party in exercising any right, power, or privilege hereunder operate as a waiver thereof to preclude any other or further exercise thereof or the exercise of any other such right, power, or privilege.</w:t>
      </w:r>
    </w:p>
    <w:p>
      <w:pPr>
        <w:spacing w:after="0" w:line="176" w:lineRule="exact"/>
        <w:rPr>
          <w:rFonts w:ascii="Arial" w:cs="Arial" w:eastAsia="Arial" w:hAnsi="Arial"/>
          <w:sz w:val="21"/>
          <w:szCs w:val="21"/>
          <w:color w:val="auto"/>
        </w:rPr>
      </w:pPr>
    </w:p>
    <w:p>
      <w:pPr>
        <w:ind w:right="520" w:firstLine="872"/>
        <w:spacing w:after="0"/>
        <w:tabs>
          <w:tab w:leader="none" w:pos="167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shall have the right to withhold from any amount payable under this Agreement any federal, state, and local taxes in order for the Company to satisfy any withholding tax obligation it may have under any applicable law or regulation.</w:t>
      </w:r>
    </w:p>
    <w:p>
      <w:pPr>
        <w:spacing w:after="0" w:line="186" w:lineRule="exact"/>
        <w:rPr>
          <w:rFonts w:ascii="Arial" w:cs="Arial" w:eastAsia="Arial" w:hAnsi="Arial"/>
          <w:sz w:val="22"/>
          <w:szCs w:val="22"/>
          <w:color w:val="auto"/>
        </w:rPr>
      </w:pPr>
    </w:p>
    <w:p>
      <w:pPr>
        <w:ind w:right="40" w:firstLine="872"/>
        <w:spacing w:after="0" w:line="287" w:lineRule="auto"/>
        <w:tabs>
          <w:tab w:leader="none" w:pos="167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142" w:lineRule="exact"/>
        <w:rPr>
          <w:rFonts w:ascii="Arial" w:cs="Arial" w:eastAsia="Arial" w:hAnsi="Arial"/>
          <w:sz w:val="19"/>
          <w:szCs w:val="19"/>
          <w:color w:val="auto"/>
        </w:rPr>
      </w:pPr>
    </w:p>
    <w:p>
      <w:pPr>
        <w:ind w:right="260" w:firstLine="872"/>
        <w:spacing w:after="0" w:line="328" w:lineRule="auto"/>
        <w:tabs>
          <w:tab w:leader="none" w:pos="178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Headings of the sections and paragraphs of this Agreement are intended solely for convenience and no provision of this Agreement is to be construed by reference to the caption or heading of any section or paragraph.</w:t>
      </w:r>
    </w:p>
    <w:p>
      <w:pPr>
        <w:spacing w:after="0" w:line="104" w:lineRule="exact"/>
        <w:rPr>
          <w:rFonts w:ascii="Arial" w:cs="Arial" w:eastAsia="Arial" w:hAnsi="Arial"/>
          <w:sz w:val="19"/>
          <w:szCs w:val="19"/>
          <w:color w:val="auto"/>
        </w:rPr>
      </w:pPr>
    </w:p>
    <w:p>
      <w:pPr>
        <w:ind w:right="180" w:firstLine="872"/>
        <w:spacing w:after="0" w:line="250" w:lineRule="auto"/>
        <w:tabs>
          <w:tab w:leader="none" w:pos="177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each of which shall be deemed an original, but all of which taken together shall constitute one and the same instrument.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0"/>
                <w:szCs w:val="20"/>
                <w:color w:val="auto"/>
              </w:rPr>
            </w:pPr>
            <w:r>
              <w:rPr>
                <w:rFonts w:ascii="Arial" w:cs="Arial" w:eastAsia="Arial" w:hAnsi="Arial"/>
                <w:sz w:val="14"/>
                <w:szCs w:val="14"/>
                <w:color w:val="auto"/>
              </w:rPr>
              <w:t>agrmnt\lsb\Carver K Severance Agreement</w:t>
            </w:r>
          </w:p>
        </w:tc>
        <w:tc>
          <w:tcPr>
            <w:tcW w:w="8440" w:type="dxa"/>
            <w:vAlign w:val="bottom"/>
          </w:tcPr>
          <w:p>
            <w:pPr>
              <w:jc w:val="right"/>
              <w:ind w:right="7921"/>
              <w:spacing w:after="0"/>
              <w:rPr>
                <w:sz w:val="20"/>
                <w:szCs w:val="20"/>
                <w:color w:val="auto"/>
              </w:rPr>
            </w:pPr>
            <w:r>
              <w:rPr>
                <w:rFonts w:ascii="Arial" w:cs="Arial" w:eastAsia="Arial" w:hAnsi="Arial"/>
                <w:sz w:val="20"/>
                <w:szCs w:val="20"/>
                <w:color w:val="auto"/>
              </w:rPr>
              <w:t>6</w:t>
            </w:r>
          </w:p>
        </w:tc>
      </w:tr>
      <w:tr>
        <w:trPr>
          <w:trHeight w:val="111"/>
        </w:trPr>
        <w:tc>
          <w:tcPr>
            <w:tcW w:w="282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5" w:name="page46"/>
    <w:bookmarkEnd w:id="45"/>
    <w:p>
      <w:pPr>
        <w:ind w:left="1780" w:hanging="908"/>
        <w:spacing w:after="0"/>
        <w:tabs>
          <w:tab w:leader="none" w:pos="17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880" w:right="60" w:firstLine="789"/>
        <w:spacing w:after="0" w:line="272" w:lineRule="auto"/>
        <w:tabs>
          <w:tab w:leader="none" w:pos="2565"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intent of the parties is that payments and benefits under this Agreement comply with Section 409A of the Code and the regulations and guidance promulgated thereunder (collectively “Code Section 409A”) or an exemption therefrom and, accordingly, to the maximum extent permitted, this Agreement shall be interpreted to be in compliance therewith. If the Executive notifies the Company (with specificity as to the reason therefor) that the Executive believes that any provision of this Agreement (or of any award of compensation, including equity compensation or benefits) would cause the Executive to incur any additional tax or interest under Code Section 409A and the Company concurs with such belief or the Company (without any obligation whatsoever to do so) independently makes such determination, the Company shall, after consulting with the Executive, reform such provision to attempt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the Executive and the Company of the applicable provision without violating the provisions of Code Section 409A.</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880" w:right="40" w:firstLine="789"/>
        <w:spacing w:after="0" w:line="271" w:lineRule="auto"/>
        <w:tabs>
          <w:tab w:leader="none" w:pos="2577" w:val="left"/>
        </w:tabs>
        <w:numPr>
          <w:ilvl w:val="1"/>
          <w:numId w:val="35"/>
        </w:numPr>
        <w:rPr>
          <w:rFonts w:ascii="Arial" w:cs="Arial" w:eastAsia="Arial" w:hAnsi="Arial"/>
          <w:sz w:val="19"/>
          <w:szCs w:val="19"/>
          <w:color w:val="auto"/>
        </w:rPr>
      </w:pPr>
      <w:r>
        <w:rPr>
          <w:rFonts w:ascii="Arial" w:cs="Arial" w:eastAsia="Arial" w:hAnsi="Arial"/>
          <w:sz w:val="19"/>
          <w:szCs w:val="19"/>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If the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be made or provided at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Section 24(b)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pacing w:after="0" w:line="164" w:lineRule="exact"/>
        <w:rPr>
          <w:rFonts w:ascii="Arial" w:cs="Arial" w:eastAsia="Arial" w:hAnsi="Arial"/>
          <w:sz w:val="19"/>
          <w:szCs w:val="19"/>
          <w:color w:val="auto"/>
        </w:rPr>
      </w:pPr>
    </w:p>
    <w:p>
      <w:pPr>
        <w:ind w:left="880" w:right="20" w:firstLine="789"/>
        <w:spacing w:after="0" w:line="235" w:lineRule="auto"/>
        <w:tabs>
          <w:tab w:leader="none" w:pos="2565" w:val="left"/>
        </w:tabs>
        <w:numPr>
          <w:ilvl w:val="1"/>
          <w:numId w:val="35"/>
        </w:numPr>
        <w:rPr>
          <w:rFonts w:ascii="Arial" w:cs="Arial" w:eastAsia="Arial" w:hAnsi="Arial"/>
          <w:sz w:val="22"/>
          <w:szCs w:val="22"/>
          <w:color w:val="auto"/>
        </w:rPr>
      </w:pPr>
      <w:r>
        <w:rPr>
          <w:rFonts w:ascii="Arial" w:cs="Arial" w:eastAsia="Arial" w:hAnsi="Arial"/>
          <w:sz w:val="22"/>
          <w:szCs w:val="22"/>
          <w:color w:val="auto"/>
        </w:rPr>
        <w:t>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0"/>
                <w:szCs w:val="20"/>
                <w:color w:val="auto"/>
              </w:rPr>
            </w:pPr>
            <w:r>
              <w:rPr>
                <w:rFonts w:ascii="Arial" w:cs="Arial" w:eastAsia="Arial" w:hAnsi="Arial"/>
                <w:sz w:val="14"/>
                <w:szCs w:val="14"/>
                <w:color w:val="auto"/>
              </w:rPr>
              <w:t>agrmnt\lsb\Carver K Severance Agreement</w:t>
            </w:r>
          </w:p>
        </w:tc>
        <w:tc>
          <w:tcPr>
            <w:tcW w:w="8440" w:type="dxa"/>
            <w:vAlign w:val="bottom"/>
          </w:tcPr>
          <w:p>
            <w:pPr>
              <w:jc w:val="right"/>
              <w:ind w:right="7921"/>
              <w:spacing w:after="0"/>
              <w:rPr>
                <w:sz w:val="20"/>
                <w:szCs w:val="20"/>
                <w:color w:val="auto"/>
              </w:rPr>
            </w:pPr>
            <w:r>
              <w:rPr>
                <w:rFonts w:ascii="Arial" w:cs="Arial" w:eastAsia="Arial" w:hAnsi="Arial"/>
                <w:sz w:val="20"/>
                <w:szCs w:val="20"/>
                <w:color w:val="auto"/>
              </w:rPr>
              <w:t>7</w:t>
            </w:r>
          </w:p>
        </w:tc>
      </w:tr>
      <w:tr>
        <w:trPr>
          <w:trHeight w:val="111"/>
        </w:trPr>
        <w:tc>
          <w:tcPr>
            <w:tcW w:w="282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6" w:name="page47"/>
    <w:bookmarkEnd w:id="46"/>
    <w:p>
      <w:pPr>
        <w:ind w:left="880" w:right="180"/>
        <w:spacing w:after="0" w:line="250" w:lineRule="auto"/>
        <w:rPr>
          <w:sz w:val="20"/>
          <w:szCs w:val="20"/>
          <w:color w:val="auto"/>
        </w:rPr>
      </w:pPr>
      <w:r>
        <w:rPr>
          <w:rFonts w:ascii="Arial" w:cs="Arial" w:eastAsia="Arial" w:hAnsi="Arial"/>
          <w:sz w:val="22"/>
          <w:szCs w:val="22"/>
          <w:color w:val="auto"/>
        </w:rPr>
        <w:t>taxable year shall in any way affect the expenses eligible for reimbursement, or in-kind benefits to be provided, in any other taxable year.</w:t>
      </w:r>
    </w:p>
    <w:p>
      <w:pPr>
        <w:spacing w:after="0" w:line="175" w:lineRule="exact"/>
        <w:rPr>
          <w:sz w:val="20"/>
          <w:szCs w:val="20"/>
          <w:color w:val="auto"/>
        </w:rPr>
      </w:pPr>
    </w:p>
    <w:p>
      <w:pPr>
        <w:ind w:left="880" w:right="80" w:firstLine="789"/>
        <w:spacing w:after="0" w:line="248" w:lineRule="auto"/>
        <w:tabs>
          <w:tab w:leader="none" w:pos="2577" w:val="left"/>
        </w:tabs>
        <w:numPr>
          <w:ilvl w:val="1"/>
          <w:numId w:val="36"/>
        </w:numPr>
        <w:rPr>
          <w:rFonts w:ascii="Arial" w:cs="Arial" w:eastAsia="Arial" w:hAnsi="Arial"/>
          <w:sz w:val="21"/>
          <w:szCs w:val="21"/>
          <w:color w:val="auto"/>
        </w:rPr>
      </w:pPr>
      <w:r>
        <w:rPr>
          <w:rFonts w:ascii="Arial" w:cs="Arial" w:eastAsia="Arial" w:hAnsi="Arial"/>
          <w:sz w:val="21"/>
          <w:szCs w:val="21"/>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(i) the actual date of payment within the specified period shall be within the sole discretion of the Company and, (ii) if such payment qualifies as non-qualified deferred compensation under Section 409A and it can be paid in one of two calendar years, it shall be paid in the second calendar year.</w:t>
      </w:r>
    </w:p>
    <w:p>
      <w:pPr>
        <w:spacing w:after="0" w:line="176" w:lineRule="exact"/>
        <w:rPr>
          <w:rFonts w:ascii="Arial" w:cs="Arial" w:eastAsia="Arial" w:hAnsi="Arial"/>
          <w:sz w:val="21"/>
          <w:szCs w:val="21"/>
          <w:color w:val="auto"/>
        </w:rPr>
      </w:pPr>
    </w:p>
    <w:p>
      <w:pPr>
        <w:ind w:left="880" w:right="420" w:firstLine="789"/>
        <w:spacing w:after="0" w:line="297" w:lineRule="auto"/>
        <w:tabs>
          <w:tab w:leader="none" w:pos="2565" w:val="left"/>
        </w:tabs>
        <w:numPr>
          <w:ilvl w:val="1"/>
          <w:numId w:val="36"/>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33" w:lineRule="exact"/>
        <w:rPr>
          <w:rFonts w:ascii="Arial" w:cs="Arial" w:eastAsia="Arial" w:hAnsi="Arial"/>
          <w:sz w:val="19"/>
          <w:szCs w:val="19"/>
          <w:color w:val="auto"/>
        </w:rPr>
      </w:pPr>
    </w:p>
    <w:p>
      <w:pPr>
        <w:ind w:right="160" w:firstLine="872"/>
        <w:spacing w:after="0" w:line="245" w:lineRule="auto"/>
        <w:tabs>
          <w:tab w:leader="none" w:pos="1782"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Section 280G</w:t>
      </w:r>
      <w:r>
        <w:rPr>
          <w:rFonts w:ascii="Arial" w:cs="Arial" w:eastAsia="Arial" w:hAnsi="Arial"/>
          <w:sz w:val="21"/>
          <w:szCs w:val="21"/>
          <w:color w:val="auto"/>
        </w:rPr>
        <w:t>. In the event that part or all of the payments or benefits to be paid or provided to Executive under this Agreement together with the aggregate present value of payments, consideration, compensation and benefits under all other plans, arrangements and agreements applicable to Executive (“</w:t>
      </w:r>
      <w:r>
        <w:rPr>
          <w:rFonts w:ascii="Arial" w:cs="Arial" w:eastAsia="Arial" w:hAnsi="Arial"/>
          <w:sz w:val="21"/>
          <w:szCs w:val="21"/>
          <w:b w:val="1"/>
          <w:bCs w:val="1"/>
          <w:color w:val="auto"/>
        </w:rPr>
        <w:t>Total Payments</w:t>
      </w:r>
      <w:r>
        <w:rPr>
          <w:rFonts w:ascii="Arial" w:cs="Arial" w:eastAsia="Arial" w:hAnsi="Arial"/>
          <w:sz w:val="21"/>
          <w:szCs w:val="21"/>
          <w:color w:val="auto"/>
        </w:rPr>
        <w:t>”) will be subject to an excise tax under the provisions of Code Section 4999 (“</w:t>
      </w:r>
      <w:r>
        <w:rPr>
          <w:rFonts w:ascii="Arial" w:cs="Arial" w:eastAsia="Arial" w:hAnsi="Arial"/>
          <w:sz w:val="21"/>
          <w:szCs w:val="21"/>
          <w:b w:val="1"/>
          <w:bCs w:val="1"/>
          <w:color w:val="auto"/>
        </w:rPr>
        <w:t>Excise Tax</w:t>
      </w:r>
      <w:r>
        <w:rPr>
          <w:rFonts w:ascii="Arial" w:cs="Arial" w:eastAsia="Arial" w:hAnsi="Arial"/>
          <w:sz w:val="21"/>
          <w:szCs w:val="21"/>
          <w:color w:val="auto"/>
        </w:rPr>
        <w:t>”), the Total Payments shall be reduced so that the maximum amount of the Total Payments (after reduction) will be one dollar ($1.00) less than the amount that would cause the Total Payments to be subject to the Excise Tax; provided, however, that the Total Payments shall only be reduced to the extent the after-tax value of amounts received by Executive after application of the above reduction would exceed the after-tax value of the Total Payments received by Executive without application of such reduction. If applicable, the particular payments that are to be reduced shall be subject to the mutual agreement of Executive and the Company, with a view to maximizing the value of the payments to Executive that are not reduced.</w:t>
      </w:r>
    </w:p>
    <w:p>
      <w:pPr>
        <w:spacing w:after="0" w:line="180" w:lineRule="exact"/>
        <w:rPr>
          <w:rFonts w:ascii="Arial" w:cs="Arial" w:eastAsia="Arial" w:hAnsi="Arial"/>
          <w:sz w:val="21"/>
          <w:szCs w:val="21"/>
          <w:color w:val="auto"/>
        </w:rPr>
      </w:pPr>
    </w:p>
    <w:p>
      <w:pPr>
        <w:ind w:right="160" w:firstLine="872"/>
        <w:spacing w:after="0" w:line="273" w:lineRule="auto"/>
        <w:tabs>
          <w:tab w:leader="none" w:pos="1782"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Legal Fees</w:t>
      </w:r>
      <w:r>
        <w:rPr>
          <w:rFonts w:ascii="Arial" w:cs="Arial" w:eastAsia="Arial" w:hAnsi="Arial"/>
          <w:sz w:val="19"/>
          <w:szCs w:val="19"/>
          <w:color w:val="auto"/>
        </w:rPr>
        <w:t>. The Company shall pay to Executive all reasonable legal fees and expenses which Executive incurs following a Change in Control Event in seeking in good faith to obtain or enforce any right or benefit provided by this Agreement (provided, that Executive shall refund all such fees and expenses to the Company should he or she not substantially prevail in the applicable proceeding). This payment shall be made within 10 business days after the Company receives Executive’s written request for payment accompanied by reasonable evidence of fees and expenses incurred. To the extent required to avoid an accelerated or additional tax under Section 409A, amounts reimbursable to Executive under this Agreement shall be paid to Executive on or before the last day of the calendar year following the calendar year in which the expense was incurred, the amount of expenses eligible for reimbursement (and in-kind benefits provided) during any one calendar year may not effect amounts reimbursable or provided in any subsequent year, and the right to reimbursement (and in-kind benefits provided) under this Agreement shall not be subject to liquidation or exchange for another benefit.</w:t>
      </w:r>
    </w:p>
    <w:p>
      <w:pPr>
        <w:spacing w:after="0" w:line="160" w:lineRule="exact"/>
        <w:rPr>
          <w:rFonts w:ascii="Arial" w:cs="Arial" w:eastAsia="Arial" w:hAnsi="Arial"/>
          <w:sz w:val="19"/>
          <w:szCs w:val="19"/>
          <w:color w:val="auto"/>
        </w:rPr>
      </w:pPr>
    </w:p>
    <w:p>
      <w:pPr>
        <w:ind w:right="180" w:firstLine="872"/>
        <w:spacing w:after="0" w:line="250" w:lineRule="auto"/>
        <w:tabs>
          <w:tab w:leader="none" w:pos="178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Agreement will be binding on the Company and its successors. The Company shall require any corporation, entity, individual or other person who 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0"/>
                <w:szCs w:val="20"/>
                <w:color w:val="auto"/>
              </w:rPr>
            </w:pPr>
            <w:r>
              <w:rPr>
                <w:rFonts w:ascii="Arial" w:cs="Arial" w:eastAsia="Arial" w:hAnsi="Arial"/>
                <w:sz w:val="14"/>
                <w:szCs w:val="14"/>
                <w:color w:val="auto"/>
              </w:rPr>
              <w:t>agrmnt\lsb\Carver K Severance Agreement</w:t>
            </w:r>
          </w:p>
        </w:tc>
        <w:tc>
          <w:tcPr>
            <w:tcW w:w="8440" w:type="dxa"/>
            <w:vAlign w:val="bottom"/>
          </w:tcPr>
          <w:p>
            <w:pPr>
              <w:jc w:val="right"/>
              <w:ind w:right="7921"/>
              <w:spacing w:after="0"/>
              <w:rPr>
                <w:sz w:val="20"/>
                <w:szCs w:val="20"/>
                <w:color w:val="auto"/>
              </w:rPr>
            </w:pPr>
            <w:r>
              <w:rPr>
                <w:rFonts w:ascii="Arial" w:cs="Arial" w:eastAsia="Arial" w:hAnsi="Arial"/>
                <w:sz w:val="20"/>
                <w:szCs w:val="20"/>
                <w:color w:val="auto"/>
              </w:rPr>
              <w:t>8</w:t>
            </w:r>
          </w:p>
        </w:tc>
      </w:tr>
      <w:tr>
        <w:trPr>
          <w:trHeight w:val="111"/>
        </w:trPr>
        <w:tc>
          <w:tcPr>
            <w:tcW w:w="282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7" w:name="page48"/>
    <w:bookmarkEnd w:id="47"/>
    <w:p>
      <w:pPr>
        <w:ind w:right="180"/>
        <w:spacing w:after="0" w:line="287" w:lineRule="auto"/>
        <w:rPr>
          <w:sz w:val="20"/>
          <w:szCs w:val="20"/>
          <w:color w:val="auto"/>
        </w:rPr>
      </w:pPr>
      <w:r>
        <w:rPr>
          <w:rFonts w:ascii="Arial" w:cs="Arial" w:eastAsia="Arial" w:hAnsi="Arial"/>
          <w:sz w:val="19"/>
          <w:szCs w:val="19"/>
          <w:color w:val="auto"/>
        </w:rPr>
        <w:t>the successor (whether by purchase, merger, consolidation, reorganization or otherwise) to all or substantially all the business and/or assets of the Company to expressly assume and agree to perform the Company’s obligations under this Agreement. As used in this Section 16, “the Company” shall have the meaning as defined herein and any successor to its business and/or assets. Any obligations of the Company under this Agreement shall be the joint and several obligation of the Company.</w:t>
      </w:r>
    </w:p>
    <w:p>
      <w:pPr>
        <w:spacing w:after="0" w:line="156" w:lineRule="exact"/>
        <w:rPr>
          <w:sz w:val="20"/>
          <w:szCs w:val="20"/>
          <w:color w:val="auto"/>
        </w:rPr>
      </w:pPr>
    </w:p>
    <w:p>
      <w:pPr>
        <w:ind w:right="20" w:firstLine="872"/>
        <w:spacing w:after="0" w:line="257" w:lineRule="auto"/>
        <w:tabs>
          <w:tab w:leader="none" w:pos="1782"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Notices and all other communications provided for in this Agreement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3503 NW 63</w:t>
      </w:r>
      <w:r>
        <w:rPr>
          <w:rFonts w:ascii="Arial" w:cs="Arial" w:eastAsia="Arial" w:hAnsi="Arial"/>
          <w:sz w:val="18"/>
          <w:szCs w:val="18"/>
          <w:color w:val="auto"/>
        </w:rPr>
        <w:t>rd</w:t>
      </w:r>
      <w:r>
        <w:rPr>
          <w:rFonts w:ascii="Arial" w:cs="Arial" w:eastAsia="Arial" w:hAnsi="Arial"/>
          <w:sz w:val="22"/>
          <w:szCs w:val="22"/>
          <w:color w:val="auto"/>
        </w:rPr>
        <w:t xml:space="preserve"> Street, Suite 500</w:t>
      </w:r>
    </w:p>
    <w:p>
      <w:pPr>
        <w:ind w:left="1660"/>
        <w:spacing w:after="0" w:line="238" w:lineRule="auto"/>
        <w:rPr>
          <w:sz w:val="20"/>
          <w:szCs w:val="20"/>
          <w:color w:val="auto"/>
        </w:rPr>
      </w:pPr>
      <w:r>
        <w:rPr>
          <w:rFonts w:ascii="Arial" w:cs="Arial" w:eastAsia="Arial" w:hAnsi="Arial"/>
          <w:sz w:val="22"/>
          <w:szCs w:val="22"/>
          <w:color w:val="auto"/>
        </w:rPr>
        <w:t>Oklahoma City, OK 73116</w:t>
      </w:r>
    </w:p>
    <w:p>
      <w:pPr>
        <w:ind w:left="1660"/>
        <w:spacing w:after="0"/>
        <w:rPr>
          <w:sz w:val="20"/>
          <w:szCs w:val="20"/>
          <w:color w:val="auto"/>
        </w:rPr>
      </w:pPr>
      <w:r>
        <w:rPr>
          <w:rFonts w:ascii="Arial" w:cs="Arial" w:eastAsia="Arial" w:hAnsi="Arial"/>
          <w:sz w:val="22"/>
          <w:szCs w:val="22"/>
          <w:color w:val="auto"/>
        </w:rPr>
        <w:t>Attn: General Counsel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Executive:</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At the last address on file with the Company.</w:t>
      </w:r>
    </w:p>
    <w:p>
      <w:pPr>
        <w:spacing w:after="0" w:line="247" w:lineRule="exact"/>
        <w:rPr>
          <w:sz w:val="20"/>
          <w:szCs w:val="20"/>
          <w:color w:val="auto"/>
        </w:rPr>
      </w:pPr>
    </w:p>
    <w:p>
      <w:pPr>
        <w:ind w:right="220" w:firstLine="872"/>
        <w:spacing w:after="0"/>
        <w:tabs>
          <w:tab w:leader="none" w:pos="1782"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Upon the expiration or other termination of this Agreement, the respective rights and obligations of the Parties shall survive such expiration or other termination to the extent necessary to carry out the intentions of the parties under this Agreement.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WITNESS WHEREOF, the Parties have executed this Agreement as of the date first above written.</w:t>
      </w:r>
    </w:p>
    <w:p>
      <w:pPr>
        <w:spacing w:after="0" w:line="386"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“COMPANY”</w:t>
      </w:r>
    </w:p>
    <w:p>
      <w:pPr>
        <w:spacing w:after="0" w:line="216"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LSB INDUSTRIES, INC.</w:t>
      </w:r>
    </w:p>
    <w:p>
      <w:pPr>
        <w:spacing w:after="0" w:line="200" w:lineRule="exact"/>
        <w:rPr>
          <w:sz w:val="20"/>
          <w:szCs w:val="20"/>
          <w:color w:val="auto"/>
        </w:rPr>
      </w:pPr>
    </w:p>
    <w:p>
      <w:pPr>
        <w:spacing w:after="0" w:line="232"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Cheryl Maguire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Cheryl Maguire</w:t>
      </w:r>
    </w:p>
    <w:p>
      <w:pPr>
        <w:ind w:left="2120"/>
        <w:spacing w:after="0"/>
        <w:rPr>
          <w:sz w:val="20"/>
          <w:szCs w:val="20"/>
          <w:color w:val="auto"/>
        </w:rPr>
      </w:pPr>
      <w:r>
        <w:rPr>
          <w:rFonts w:ascii="Arial" w:cs="Arial" w:eastAsia="Arial" w:hAnsi="Arial"/>
          <w:sz w:val="20"/>
          <w:szCs w:val="20"/>
          <w:color w:val="auto"/>
        </w:rPr>
        <w:t>4/6/2020</w:t>
      </w:r>
    </w:p>
    <w:p>
      <w:pPr>
        <w:ind w:left="15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Financial Officer</w:t>
      </w:r>
    </w:p>
    <w:p>
      <w:pPr>
        <w:spacing w:after="0" w:line="20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32" w:lineRule="exact"/>
        <w:rPr>
          <w:sz w:val="20"/>
          <w:szCs w:val="20"/>
          <w:color w:val="auto"/>
        </w:rPr>
      </w:pPr>
    </w:p>
    <w:p>
      <w:pPr>
        <w:ind w:left="1520"/>
        <w:spacing w:after="0"/>
        <w:rPr>
          <w:sz w:val="20"/>
          <w:szCs w:val="20"/>
          <w:color w:val="auto"/>
        </w:rPr>
      </w:pPr>
      <w:r>
        <w:rPr>
          <w:rFonts w:ascii="Arial" w:cs="Arial" w:eastAsia="Arial" w:hAnsi="Arial"/>
          <w:sz w:val="20"/>
          <w:szCs w:val="20"/>
          <w:u w:val="single" w:color="auto"/>
          <w:color w:val="auto"/>
        </w:rPr>
        <w:t>/s/ K Carver</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Kristy D. Carver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0"/>
                <w:szCs w:val="20"/>
                <w:color w:val="auto"/>
              </w:rPr>
            </w:pPr>
            <w:r>
              <w:rPr>
                <w:rFonts w:ascii="Arial" w:cs="Arial" w:eastAsia="Arial" w:hAnsi="Arial"/>
                <w:sz w:val="14"/>
                <w:szCs w:val="14"/>
                <w:color w:val="auto"/>
              </w:rPr>
              <w:t>agrmnt\lsb\Carver K Severance Agreement</w:t>
            </w:r>
          </w:p>
        </w:tc>
        <w:tc>
          <w:tcPr>
            <w:tcW w:w="8440" w:type="dxa"/>
            <w:vAlign w:val="bottom"/>
          </w:tcPr>
          <w:p>
            <w:pPr>
              <w:jc w:val="right"/>
              <w:ind w:right="7921"/>
              <w:spacing w:after="0"/>
              <w:rPr>
                <w:sz w:val="20"/>
                <w:szCs w:val="20"/>
                <w:color w:val="auto"/>
              </w:rPr>
            </w:pPr>
            <w:r>
              <w:rPr>
                <w:rFonts w:ascii="Arial" w:cs="Arial" w:eastAsia="Arial" w:hAnsi="Arial"/>
                <w:sz w:val="20"/>
                <w:szCs w:val="20"/>
                <w:color w:val="auto"/>
              </w:rPr>
              <w:t>9</w:t>
            </w:r>
          </w:p>
        </w:tc>
      </w:tr>
      <w:tr>
        <w:trPr>
          <w:trHeight w:val="111"/>
        </w:trPr>
        <w:tc>
          <w:tcPr>
            <w:tcW w:w="282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(Form of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#Q2CQL3560DEU2Ev1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5100"/>
        <w:spacing w:after="0"/>
        <w:rPr>
          <w:sz w:val="20"/>
          <w:szCs w:val="20"/>
          <w:color w:val="auto"/>
        </w:rPr>
      </w:pPr>
      <w:r>
        <w:rPr>
          <w:rFonts w:ascii="Arial" w:cs="Arial" w:eastAsia="Arial" w:hAnsi="Arial"/>
          <w:sz w:val="20"/>
          <w:szCs w:val="20"/>
          <w:b w:val="1"/>
          <w:bCs w:val="1"/>
          <w:color w:val="auto"/>
        </w:rPr>
        <w:t>EXHIBIT A</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20"/>
          <w:szCs w:val="20"/>
          <w:b w:val="1"/>
          <w:bCs w:val="1"/>
          <w:u w:val="single" w:color="auto"/>
          <w:color w:val="auto"/>
        </w:rPr>
        <w:t>GENERAL RELEASE</w:t>
      </w:r>
    </w:p>
    <w:p>
      <w:pPr>
        <w:spacing w:after="0" w:line="190" w:lineRule="exact"/>
        <w:rPr>
          <w:sz w:val="20"/>
          <w:szCs w:val="20"/>
          <w:color w:val="auto"/>
        </w:rPr>
      </w:pPr>
    </w:p>
    <w:p>
      <w:pPr>
        <w:ind w:firstLine="864"/>
        <w:spacing w:after="0" w:line="269" w:lineRule="auto"/>
        <w:rPr>
          <w:sz w:val="20"/>
          <w:szCs w:val="20"/>
          <w:color w:val="auto"/>
        </w:rPr>
      </w:pPr>
      <w:r>
        <w:rPr>
          <w:rFonts w:ascii="Arial" w:cs="Arial" w:eastAsia="Arial" w:hAnsi="Arial"/>
          <w:sz w:val="19"/>
          <w:szCs w:val="19"/>
          <w:color w:val="auto"/>
        </w:rPr>
        <w:t>I, Kristy D. Carver, in consideration of and subject to the performance by LSB Industries, Inc. (together with its affiliated companies and subsidiaries and its successors and assigns, the “Company”), of its obligations under Section 2 of the Severance and Change in Control Agreement, dated as of December 31, 2019 (the “Agreement”), do hereby release and forever discharge as of the date hereof the Company and its respective affiliates and subsidiaries and all present, former and future directors, officers, agents, representatives, employees, successors and assigns of the Company and/or its respective affiliates and subsidiaries and direct or indirect owners (collectively, the “Released Parties”) to the extent provided herein (this “General Release”). Terms used herein but not otherwise defined shall have the meanings given to them in the Agreement.</w:t>
      </w:r>
    </w:p>
    <w:p>
      <w:pPr>
        <w:spacing w:after="0" w:line="5" w:lineRule="exact"/>
        <w:rPr>
          <w:sz w:val="20"/>
          <w:szCs w:val="20"/>
          <w:color w:val="auto"/>
        </w:rPr>
      </w:pPr>
    </w:p>
    <w:p>
      <w:pPr>
        <w:ind w:firstLine="855"/>
        <w:spacing w:after="0" w:line="251" w:lineRule="auto"/>
        <w:rPr>
          <w:sz w:val="20"/>
          <w:szCs w:val="20"/>
          <w:color w:val="auto"/>
        </w:rPr>
      </w:pPr>
      <w:r>
        <w:rPr>
          <w:rFonts w:ascii="Arial" w:cs="Arial" w:eastAsia="Arial" w:hAnsi="Arial"/>
          <w:sz w:val="22"/>
          <w:szCs w:val="22"/>
          <w:color w:val="auto"/>
        </w:rPr>
        <w:t xml:space="preserve">1. </w:t>
      </w:r>
      <w:r>
        <w:rPr>
          <w:rFonts w:ascii="Arial" w:cs="Arial" w:eastAsia="Arial" w:hAnsi="Arial"/>
          <w:sz w:val="19"/>
          <w:szCs w:val="19"/>
          <w:color w:val="auto"/>
        </w:rPr>
        <w:t>I understand that, other than the Accrued Benefits, the payments or benefits paid or granted to me under</w:t>
      </w:r>
      <w:r>
        <w:rPr>
          <w:rFonts w:ascii="Arial" w:cs="Arial" w:eastAsia="Arial" w:hAnsi="Arial"/>
          <w:sz w:val="22"/>
          <w:szCs w:val="22"/>
          <w:color w:val="auto"/>
        </w:rPr>
        <w:t xml:space="preserve"> </w:t>
      </w:r>
      <w:r>
        <w:rPr>
          <w:rFonts w:ascii="Arial" w:cs="Arial" w:eastAsia="Arial" w:hAnsi="Arial"/>
          <w:sz w:val="19"/>
          <w:szCs w:val="19"/>
          <w:color w:val="auto"/>
        </w:rPr>
        <w:t>Section 2 of the Agreement represent, in part, consideration for signing this General Release and are not salary, wages or benefits to which I was already entitled. I understand and agree that I will not receive the payments and benefits specified in Section 2 of the Agreement, other than the Accrued Benefits,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 or its affiliates.</w:t>
      </w:r>
    </w:p>
    <w:p>
      <w:pPr>
        <w:spacing w:after="0" w:line="208" w:lineRule="exact"/>
        <w:rPr>
          <w:sz w:val="20"/>
          <w:szCs w:val="20"/>
          <w:color w:val="auto"/>
        </w:rPr>
      </w:pPr>
    </w:p>
    <w:p>
      <w:pPr>
        <w:ind w:right="60" w:firstLine="855"/>
        <w:spacing w:after="0" w:line="253" w:lineRule="auto"/>
        <w:rPr>
          <w:sz w:val="20"/>
          <w:szCs w:val="20"/>
          <w:color w:val="auto"/>
        </w:rPr>
      </w:pPr>
      <w:r>
        <w:rPr>
          <w:rFonts w:ascii="Arial" w:cs="Arial" w:eastAsia="Arial" w:hAnsi="Arial"/>
          <w:sz w:val="22"/>
          <w:szCs w:val="22"/>
          <w:color w:val="auto"/>
        </w:rPr>
        <w:t xml:space="preserve">2. </w:t>
      </w:r>
      <w:r>
        <w:rPr>
          <w:rFonts w:ascii="Arial" w:cs="Arial" w:eastAsia="Arial" w:hAnsi="Arial"/>
          <w:sz w:val="19"/>
          <w:szCs w:val="19"/>
          <w:color w:val="auto"/>
        </w:rPr>
        <w:t>Except as provided in paragraph 4 below and except for the provisions of the Agreement which expressly</w:t>
      </w:r>
      <w:r>
        <w:rPr>
          <w:rFonts w:ascii="Arial" w:cs="Arial" w:eastAsia="Arial" w:hAnsi="Arial"/>
          <w:sz w:val="22"/>
          <w:szCs w:val="22"/>
          <w:color w:val="auto"/>
        </w:rPr>
        <w:t xml:space="preserve"> </w:t>
      </w:r>
      <w:r>
        <w:rPr>
          <w:rFonts w:ascii="Arial" w:cs="Arial" w:eastAsia="Arial" w:hAnsi="Arial"/>
          <w:sz w:val="19"/>
          <w:szCs w:val="19"/>
          <w:color w:val="auto"/>
        </w:rPr>
        <w:t>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and/or any of the Released Parties which I, my spouse, or any of my heirs, executors, administrators or assigns, ever had, now have, or hereafter may have, by reason of any matter, cause, or thing whatsoever, from the beginning of my initial dealings with the Company to the date of this General Release, and particularly, but without limitation of the foregoing general terms, any claims arising from or relating in any way to my employment relationship with Company, the terms and conditions of that employment relationship, and the termination of that employment relationship (including, but not limited to, any allegation, claim or violation, arising under: Title VII of the Civil Rights Act of 1964, as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#Q2CQL3560DEU2Ev1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60" w:right="479" w:bottom="1440" w:gutter="0" w:footer="0" w:header="0"/>
        </w:sectPr>
      </w:pPr>
    </w:p>
    <w:bookmarkStart w:id="50" w:name="page51"/>
    <w:bookmarkEnd w:id="50"/>
    <w:p>
      <w:pPr>
        <w:ind w:right="120"/>
        <w:spacing w:after="0" w:line="255" w:lineRule="auto"/>
        <w:rPr>
          <w:sz w:val="20"/>
          <w:szCs w:val="20"/>
          <w:color w:val="auto"/>
        </w:rPr>
      </w:pPr>
      <w:r>
        <w:rPr>
          <w:rFonts w:ascii="Arial" w:cs="Arial" w:eastAsia="Arial" w:hAnsi="Arial"/>
          <w:sz w:val="19"/>
          <w:szCs w:val="19"/>
          <w:color w:val="auto"/>
        </w:rPr>
        <w:t>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“Claims”). I understand and intend that this General Release constitutes a general release of all claims and that no reference herein to a specific form of claim, statute or type of relief is intended to limit the scope of this General Release.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80" w:type="dxa"/>
            <w:vAlign w:val="bottom"/>
          </w:tcPr>
          <w:p>
            <w:pPr>
              <w:jc w:val="right"/>
              <w:ind w:right="555"/>
              <w:spacing w:after="0"/>
              <w:rPr>
                <w:sz w:val="20"/>
                <w:szCs w:val="20"/>
                <w:color w:val="auto"/>
              </w:rPr>
            </w:pPr>
            <w:r>
              <w:rPr>
                <w:rFonts w:ascii="Arial" w:cs="Arial" w:eastAsia="Arial" w:hAnsi="Arial"/>
                <w:sz w:val="22"/>
                <w:szCs w:val="22"/>
                <w:color w:val="auto"/>
              </w:rPr>
              <w:t>3.</w:t>
            </w:r>
          </w:p>
        </w:tc>
        <w:tc>
          <w:tcPr>
            <w:tcW w:w="9320" w:type="dxa"/>
            <w:vAlign w:val="bottom"/>
          </w:tcPr>
          <w:p>
            <w:pPr>
              <w:ind w:left="640"/>
              <w:spacing w:after="0"/>
              <w:rPr>
                <w:sz w:val="20"/>
                <w:szCs w:val="20"/>
                <w:color w:val="auto"/>
              </w:rPr>
            </w:pPr>
            <w:r>
              <w:rPr>
                <w:rFonts w:ascii="Arial" w:cs="Arial" w:eastAsia="Arial" w:hAnsi="Arial"/>
                <w:sz w:val="20"/>
                <w:szCs w:val="20"/>
                <w:color w:val="auto"/>
                <w:w w:val="90"/>
              </w:rPr>
              <w:t>I represent that I have made no assignment or transfer of any right, claim, demand, cause of action, or other</w:t>
            </w:r>
          </w:p>
        </w:tc>
      </w:tr>
      <w:tr>
        <w:trPr>
          <w:trHeight w:val="250"/>
        </w:trPr>
        <w:tc>
          <w:tcPr>
            <w:tcW w:w="11000" w:type="dxa"/>
            <w:vAlign w:val="bottom"/>
            <w:gridSpan w:val="2"/>
          </w:tcPr>
          <w:p>
            <w:pPr>
              <w:spacing w:after="0"/>
              <w:rPr>
                <w:sz w:val="20"/>
                <w:szCs w:val="20"/>
                <w:color w:val="auto"/>
              </w:rPr>
            </w:pPr>
            <w:r>
              <w:rPr>
                <w:rFonts w:ascii="Arial" w:cs="Arial" w:eastAsia="Arial" w:hAnsi="Arial"/>
                <w:sz w:val="20"/>
                <w:szCs w:val="20"/>
                <w:color w:val="auto"/>
              </w:rPr>
              <w:t>matter covered by paragraph 2 above.</w:t>
            </w:r>
          </w:p>
        </w:tc>
      </w:tr>
      <w:tr>
        <w:trPr>
          <w:trHeight w:val="481"/>
        </w:trPr>
        <w:tc>
          <w:tcPr>
            <w:tcW w:w="1680" w:type="dxa"/>
            <w:vAlign w:val="bottom"/>
          </w:tcPr>
          <w:p>
            <w:pPr>
              <w:jc w:val="right"/>
              <w:ind w:right="555"/>
              <w:spacing w:after="0"/>
              <w:rPr>
                <w:sz w:val="20"/>
                <w:szCs w:val="20"/>
                <w:color w:val="auto"/>
              </w:rPr>
            </w:pPr>
            <w:r>
              <w:rPr>
                <w:rFonts w:ascii="Arial" w:cs="Arial" w:eastAsia="Arial" w:hAnsi="Arial"/>
                <w:sz w:val="22"/>
                <w:szCs w:val="22"/>
                <w:color w:val="auto"/>
              </w:rPr>
              <w:t>4.</w:t>
            </w:r>
          </w:p>
        </w:tc>
        <w:tc>
          <w:tcPr>
            <w:tcW w:w="9320" w:type="dxa"/>
            <w:vAlign w:val="bottom"/>
          </w:tcPr>
          <w:p>
            <w:pPr>
              <w:ind w:left="640"/>
              <w:spacing w:after="0"/>
              <w:rPr>
                <w:sz w:val="20"/>
                <w:szCs w:val="20"/>
                <w:color w:val="auto"/>
              </w:rPr>
            </w:pPr>
            <w:r>
              <w:rPr>
                <w:rFonts w:ascii="Arial" w:cs="Arial" w:eastAsia="Arial" w:hAnsi="Arial"/>
                <w:sz w:val="20"/>
                <w:szCs w:val="20"/>
                <w:color w:val="auto"/>
                <w:w w:val="88"/>
              </w:rPr>
              <w:t>I agree that this General Release does not waive or release any rights or claims that I may have under the Age</w:t>
            </w:r>
          </w:p>
        </w:tc>
      </w:tr>
    </w:tbl>
    <w:p>
      <w:pPr>
        <w:spacing w:after="0" w:line="270" w:lineRule="auto"/>
        <w:rPr>
          <w:sz w:val="20"/>
          <w:szCs w:val="20"/>
          <w:color w:val="auto"/>
        </w:rPr>
      </w:pPr>
      <w:r>
        <w:rPr>
          <w:rFonts w:ascii="Arial" w:cs="Arial" w:eastAsia="Arial" w:hAnsi="Arial"/>
          <w:sz w:val="18"/>
          <w:szCs w:val="18"/>
          <w:color w:val="auto"/>
        </w:rPr>
        <w:t>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 Notwithstanding anything herein to the contrary, I am not waiving any of the following (and definition of “Claims” shall not include these claims or rights): (i) any claim or right to enforce the Agreement or this General Release; (ii) any claims which arise after the date of this General Release; (iii) my rights as a shareholder of the Company; and (iv) my rights to be indemnified and/or defended and/or advanced expenses, including pursuant to the Company’s corporate governance documents or the Indemnification Agreement (as defined in the Agreement) or, if greater, applicable law and my rights to be covered under any applicable directors’ and officers’ insurance liability policies.</w:t>
      </w:r>
    </w:p>
    <w:p>
      <w:pPr>
        <w:spacing w:after="0" w:line="196" w:lineRule="exact"/>
        <w:rPr>
          <w:sz w:val="20"/>
          <w:szCs w:val="20"/>
          <w:color w:val="auto"/>
        </w:rPr>
      </w:pPr>
    </w:p>
    <w:p>
      <w:pPr>
        <w:ind w:right="220" w:firstLine="855"/>
        <w:spacing w:after="0" w:line="255" w:lineRule="auto"/>
        <w:rPr>
          <w:sz w:val="20"/>
          <w:szCs w:val="20"/>
          <w:color w:val="auto"/>
        </w:rPr>
      </w:pPr>
      <w:r>
        <w:rPr>
          <w:rFonts w:ascii="Arial" w:cs="Arial" w:eastAsia="Arial" w:hAnsi="Arial"/>
          <w:sz w:val="22"/>
          <w:szCs w:val="22"/>
          <w:color w:val="auto"/>
        </w:rPr>
        <w:t xml:space="preserve">5. </w:t>
      </w:r>
      <w:r>
        <w:rPr>
          <w:rFonts w:ascii="Arial" w:cs="Arial" w:eastAsia="Arial" w:hAnsi="Arial"/>
          <w:sz w:val="19"/>
          <w:szCs w:val="19"/>
          <w:color w:val="auto"/>
        </w:rPr>
        <w:t>I agree that I hereby waive all rights to sue or obtain equitable, remedial or punitive relief from any or all</w:t>
      </w:r>
      <w:r>
        <w:rPr>
          <w:rFonts w:ascii="Arial" w:cs="Arial" w:eastAsia="Arial" w:hAnsi="Arial"/>
          <w:sz w:val="22"/>
          <w:szCs w:val="22"/>
          <w:color w:val="auto"/>
        </w:rPr>
        <w:t xml:space="preserve"> </w:t>
      </w:r>
      <w:r>
        <w:rPr>
          <w:rFonts w:ascii="Arial" w:cs="Arial" w:eastAsia="Arial" w:hAnsi="Arial"/>
          <w:sz w:val="19"/>
          <w:szCs w:val="19"/>
          <w:color w:val="auto"/>
        </w:rPr>
        <w:t>Released Parties of any kind whatsoever with respect to claims released by me herein, including, without limitation, reinstatement, back pay, front pay, and any form of injunctive relief. Notwithstanding the foregoing, I acknowledge that I am not waiving and am not being required to waive any right that cannot be waived under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w:t>
      </w:r>
    </w:p>
    <w:p>
      <w:pPr>
        <w:spacing w:after="0" w:line="204" w:lineRule="exact"/>
        <w:rPr>
          <w:sz w:val="20"/>
          <w:szCs w:val="20"/>
          <w:color w:val="auto"/>
        </w:rPr>
      </w:pPr>
    </w:p>
    <w:p>
      <w:pPr>
        <w:ind w:right="20" w:firstLine="855"/>
        <w:spacing w:after="0" w:line="253" w:lineRule="auto"/>
        <w:rPr>
          <w:sz w:val="20"/>
          <w:szCs w:val="20"/>
          <w:color w:val="auto"/>
        </w:rPr>
      </w:pPr>
      <w:r>
        <w:rPr>
          <w:rFonts w:ascii="Arial" w:cs="Arial" w:eastAsia="Arial" w:hAnsi="Arial"/>
          <w:sz w:val="22"/>
          <w:szCs w:val="22"/>
          <w:color w:val="auto"/>
        </w:rPr>
        <w:t xml:space="preserve">6. </w:t>
      </w:r>
      <w:r>
        <w:rPr>
          <w:rFonts w:ascii="Arial" w:cs="Arial" w:eastAsia="Arial" w:hAnsi="Arial"/>
          <w:sz w:val="19"/>
          <w:szCs w:val="19"/>
          <w:color w:val="auto"/>
        </w:rPr>
        <w:t>In signing this General Release, I acknowledge and intend that it shall be effective as a bar to each and every</w:t>
      </w:r>
      <w:r>
        <w:rPr>
          <w:rFonts w:ascii="Arial" w:cs="Arial" w:eastAsia="Arial" w:hAnsi="Arial"/>
          <w:sz w:val="22"/>
          <w:szCs w:val="22"/>
          <w:color w:val="auto"/>
        </w:rPr>
        <w:t xml:space="preserve"> </w:t>
      </w:r>
      <w:r>
        <w:rPr>
          <w:rFonts w:ascii="Arial" w:cs="Arial" w:eastAsia="Arial" w:hAnsi="Arial"/>
          <w:sz w:val="19"/>
          <w:szCs w:val="19"/>
          <w:color w:val="auto"/>
        </w:rPr>
        <w:t>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that I should bring a Claim seeking damages against the Company, or in the event that I should seek to recover against the Company in any Claim brought by a governmental agency on my behalf, this General Release shall serve as a complete defense to such</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9" w:right="479" w:bottom="1440" w:gutter="0" w:footer="0" w:header="0"/>
        </w:sectPr>
      </w:pPr>
    </w:p>
    <w:bookmarkStart w:id="51" w:name="page52"/>
    <w:bookmarkEnd w:id="51"/>
    <w:p>
      <w:pPr>
        <w:ind w:right="240"/>
        <w:spacing w:after="0" w:line="260" w:lineRule="auto"/>
        <w:rPr>
          <w:sz w:val="20"/>
          <w:szCs w:val="20"/>
          <w:color w:val="auto"/>
        </w:rPr>
      </w:pPr>
      <w:r>
        <w:rPr>
          <w:rFonts w:ascii="Arial" w:cs="Arial" w:eastAsia="Arial" w:hAnsi="Arial"/>
          <w:sz w:val="20"/>
          <w:szCs w:val="20"/>
          <w:color w:val="auto"/>
        </w:rPr>
        <w:t>Claims to the maximum extent permitted by law. I further agree that I am not aware of any pending Claim, or of any facts that could give rise to a Claim, of the type described in paragraph 2 as of the execution of this General Release.</w:t>
      </w:r>
    </w:p>
    <w:p>
      <w:pPr>
        <w:spacing w:after="0" w:line="199" w:lineRule="exact"/>
        <w:rPr>
          <w:sz w:val="20"/>
          <w:szCs w:val="20"/>
          <w:color w:val="auto"/>
        </w:rPr>
      </w:pPr>
    </w:p>
    <w:p>
      <w:pPr>
        <w:ind w:right="40" w:firstLine="855"/>
        <w:spacing w:after="0" w:line="259" w:lineRule="auto"/>
        <w:rPr>
          <w:sz w:val="20"/>
          <w:szCs w:val="20"/>
          <w:color w:val="auto"/>
        </w:rPr>
      </w:pPr>
      <w:r>
        <w:rPr>
          <w:rFonts w:ascii="Arial" w:cs="Arial" w:eastAsia="Arial" w:hAnsi="Arial"/>
          <w:sz w:val="22"/>
          <w:szCs w:val="22"/>
          <w:color w:val="auto"/>
        </w:rPr>
        <w:t xml:space="preserve">7. </w:t>
      </w:r>
      <w:r>
        <w:rPr>
          <w:rFonts w:ascii="Arial" w:cs="Arial" w:eastAsia="Arial" w:hAnsi="Arial"/>
          <w:sz w:val="19"/>
          <w:szCs w:val="19"/>
          <w:color w:val="auto"/>
        </w:rPr>
        <w:t>I agree that neither this General Release, nor the furnishing of the consideration for this General Release, shall</w:t>
      </w:r>
      <w:r>
        <w:rPr>
          <w:rFonts w:ascii="Arial" w:cs="Arial" w:eastAsia="Arial" w:hAnsi="Arial"/>
          <w:sz w:val="22"/>
          <w:szCs w:val="22"/>
          <w:color w:val="auto"/>
        </w:rPr>
        <w:t xml:space="preserve"> </w:t>
      </w:r>
      <w:r>
        <w:rPr>
          <w:rFonts w:ascii="Arial" w:cs="Arial" w:eastAsia="Arial" w:hAnsi="Arial"/>
          <w:sz w:val="19"/>
          <w:szCs w:val="19"/>
          <w:color w:val="auto"/>
        </w:rPr>
        <w:t>be deemed or construed at any time to be an admission by the Company, any Released Party or myself of any improper or unlawful conduct.</w:t>
      </w:r>
    </w:p>
    <w:p>
      <w:pPr>
        <w:spacing w:after="0" w:line="200"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8"/>
          <w:szCs w:val="18"/>
          <w:color w:val="auto"/>
        </w:rPr>
        <w:t>I agree that I will forfeit all amounts payable by the Company pursuant to the Agreement if I challenge the</w:t>
      </w:r>
    </w:p>
    <w:p>
      <w:pPr>
        <w:spacing w:after="0" w:line="4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validity of this General Release. I also agree that if I violate this General Release by suing the Company or the other Released Parties with respect to Claims released by me herein, I will pay all costs and expenses of defending against the suit incurred by the Released Parties, including reasonable attorneys’ fees, and return all payments received by me pursuant to the Agreement on or after the termination of my employment.</w:t>
      </w:r>
    </w:p>
    <w:p>
      <w:pPr>
        <w:spacing w:after="0" w:line="217" w:lineRule="exact"/>
        <w:rPr>
          <w:sz w:val="20"/>
          <w:szCs w:val="20"/>
          <w:color w:val="auto"/>
        </w:rPr>
      </w:pPr>
    </w:p>
    <w:p>
      <w:pPr>
        <w:jc w:val="both"/>
        <w:ind w:right="120" w:firstLine="855"/>
        <w:spacing w:after="0" w:line="274" w:lineRule="auto"/>
        <w:rPr>
          <w:sz w:val="20"/>
          <w:szCs w:val="20"/>
          <w:color w:val="auto"/>
        </w:rPr>
      </w:pPr>
      <w:r>
        <w:rPr>
          <w:rFonts w:ascii="Arial" w:cs="Arial" w:eastAsia="Arial" w:hAnsi="Arial"/>
          <w:sz w:val="21"/>
          <w:szCs w:val="21"/>
          <w:color w:val="auto"/>
        </w:rPr>
        <w:t xml:space="preserve">9. </w:t>
      </w:r>
      <w:r>
        <w:rPr>
          <w:rFonts w:ascii="Arial" w:cs="Arial" w:eastAsia="Arial" w:hAnsi="Arial"/>
          <w:sz w:val="18"/>
          <w:szCs w:val="18"/>
          <w:color w:val="auto"/>
        </w:rPr>
        <w:t>I agree that this General Release is confidential and agree not to disclose any information regarding the terms</w:t>
      </w:r>
      <w:r>
        <w:rPr>
          <w:rFonts w:ascii="Arial" w:cs="Arial" w:eastAsia="Arial" w:hAnsi="Arial"/>
          <w:sz w:val="21"/>
          <w:szCs w:val="21"/>
          <w:color w:val="auto"/>
        </w:rPr>
        <w:t xml:space="preserve"> </w:t>
      </w:r>
      <w:r>
        <w:rPr>
          <w:rFonts w:ascii="Arial" w:cs="Arial" w:eastAsia="Arial" w:hAnsi="Arial"/>
          <w:sz w:val="18"/>
          <w:szCs w:val="18"/>
          <w:color w:val="auto"/>
        </w:rPr>
        <w:t>of this General Release, except to my immediate family and any tax, legal or other counsel that I have consulted regarding the meaning or effect hereof (and I will instruct each of the foregoing not to disclose the same to anyone) or as required by law or to the extent reasonably necessary in connection with any dispute between me and the Company regarding this General Release or the Agreement.</w:t>
      </w:r>
    </w:p>
    <w:p>
      <w:pPr>
        <w:spacing w:after="0" w:line="190" w:lineRule="exact"/>
        <w:rPr>
          <w:sz w:val="20"/>
          <w:szCs w:val="20"/>
          <w:color w:val="auto"/>
        </w:rPr>
      </w:pPr>
    </w:p>
    <w:p>
      <w:pPr>
        <w:ind w:right="20" w:firstLine="855"/>
        <w:spacing w:after="0" w:line="278" w:lineRule="auto"/>
        <w:rPr>
          <w:sz w:val="20"/>
          <w:szCs w:val="20"/>
          <w:color w:val="auto"/>
        </w:rPr>
      </w:pPr>
      <w:r>
        <w:rPr>
          <w:rFonts w:ascii="Arial" w:cs="Arial" w:eastAsia="Arial" w:hAnsi="Arial"/>
          <w:sz w:val="21"/>
          <w:szCs w:val="21"/>
          <w:color w:val="auto"/>
        </w:rPr>
        <w:t xml:space="preserve">10. </w:t>
      </w:r>
      <w:r>
        <w:rPr>
          <w:rFonts w:ascii="Arial" w:cs="Arial" w:eastAsia="Arial" w:hAnsi="Arial"/>
          <w:sz w:val="18"/>
          <w:szCs w:val="18"/>
          <w:color w:val="auto"/>
        </w:rPr>
        <w:t>Any non-disclosure provision in this General Release does not prohibit or restrict me (or my attorney) from</w:t>
      </w:r>
      <w:r>
        <w:rPr>
          <w:rFonts w:ascii="Arial" w:cs="Arial" w:eastAsia="Arial" w:hAnsi="Arial"/>
          <w:sz w:val="21"/>
          <w:szCs w:val="21"/>
          <w:color w:val="auto"/>
        </w:rPr>
        <w:t xml:space="preserve"> </w:t>
      </w:r>
      <w:r>
        <w:rPr>
          <w:rFonts w:ascii="Arial" w:cs="Arial" w:eastAsia="Arial" w:hAnsi="Arial"/>
          <w:sz w:val="18"/>
          <w:szCs w:val="18"/>
          <w:color w:val="auto"/>
        </w:rPr>
        <w:t>responding to any inquiry about this General Release or its underlying facts and circumstances by the Securities and Exchange Commission (SEC), the Financial Industry Regulatory Authority (FINRA), or any other self-regulatory organization or governmental entity.</w:t>
      </w:r>
    </w:p>
    <w:p>
      <w:pPr>
        <w:spacing w:after="0" w:line="186" w:lineRule="exact"/>
        <w:rPr>
          <w:sz w:val="20"/>
          <w:szCs w:val="20"/>
          <w:color w:val="auto"/>
        </w:rPr>
      </w:pPr>
    </w:p>
    <w:p>
      <w:pPr>
        <w:jc w:val="both"/>
        <w:ind w:right="120" w:firstLine="855"/>
        <w:spacing w:after="0" w:line="25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19"/>
          <w:szCs w:val="19"/>
          <w:color w:val="auto"/>
        </w:rPr>
        <w:t>I represent that I am not aware of any Claim by me, and I acknowledge that I may hereafter discover Claims</w:t>
      </w:r>
      <w:r>
        <w:rPr>
          <w:rFonts w:ascii="Arial" w:cs="Arial" w:eastAsia="Arial" w:hAnsi="Arial"/>
          <w:sz w:val="22"/>
          <w:szCs w:val="22"/>
          <w:color w:val="auto"/>
        </w:rPr>
        <w:t xml:space="preserve"> </w:t>
      </w:r>
      <w:r>
        <w:rPr>
          <w:rFonts w:ascii="Arial" w:cs="Arial" w:eastAsia="Arial" w:hAnsi="Arial"/>
          <w:sz w:val="19"/>
          <w:szCs w:val="19"/>
          <w:color w:val="auto"/>
        </w:rPr>
        <w:t>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206" w:lineRule="exact"/>
        <w:rPr>
          <w:sz w:val="20"/>
          <w:szCs w:val="20"/>
          <w:color w:val="auto"/>
        </w:rPr>
      </w:pPr>
    </w:p>
    <w:p>
      <w:pPr>
        <w:jc w:val="both"/>
        <w:ind w:right="200" w:firstLine="855"/>
        <w:spacing w:after="0" w:line="241" w:lineRule="auto"/>
        <w:rPr>
          <w:sz w:val="20"/>
          <w:szCs w:val="20"/>
          <w:color w:val="auto"/>
        </w:rPr>
      </w:pPr>
      <w:r>
        <w:rPr>
          <w:rFonts w:ascii="Arial" w:cs="Arial" w:eastAsia="Arial" w:hAnsi="Arial"/>
          <w:sz w:val="22"/>
          <w:szCs w:val="22"/>
          <w:color w:val="auto"/>
        </w:rPr>
        <w:t xml:space="preserve">12. </w:t>
      </w:r>
      <w:r>
        <w:rPr>
          <w:rFonts w:ascii="Arial" w:cs="Arial" w:eastAsia="Arial" w:hAnsi="Arial"/>
          <w:sz w:val="19"/>
          <w:szCs w:val="19"/>
          <w:color w:val="auto"/>
        </w:rPr>
        <w:t>Notwithstanding anything in this General Release to the contrary, this General Release shall not relinquish,</w:t>
      </w:r>
      <w:r>
        <w:rPr>
          <w:rFonts w:ascii="Arial" w:cs="Arial" w:eastAsia="Arial" w:hAnsi="Arial"/>
          <w:sz w:val="22"/>
          <w:szCs w:val="22"/>
          <w:color w:val="auto"/>
        </w:rPr>
        <w:t xml:space="preserve"> </w:t>
      </w:r>
      <w:r>
        <w:rPr>
          <w:rFonts w:ascii="Arial" w:cs="Arial" w:eastAsia="Arial" w:hAnsi="Arial"/>
          <w:sz w:val="19"/>
          <w:szCs w:val="19"/>
          <w:color w:val="auto"/>
        </w:rPr>
        <w:t>diminish, or in any way affect any rights or claims arising out of any breach by the Company or by any Released Party of the Agreement after the date hereof.</w:t>
      </w:r>
    </w:p>
    <w:p>
      <w:pPr>
        <w:spacing w:after="0" w:line="218" w:lineRule="exact"/>
        <w:rPr>
          <w:sz w:val="20"/>
          <w:szCs w:val="20"/>
          <w:color w:val="auto"/>
        </w:rPr>
      </w:pPr>
    </w:p>
    <w:p>
      <w:pPr>
        <w:ind w:firstLine="855"/>
        <w:spacing w:after="0" w:line="270" w:lineRule="auto"/>
        <w:rPr>
          <w:sz w:val="20"/>
          <w:szCs w:val="20"/>
          <w:color w:val="auto"/>
        </w:rPr>
      </w:pPr>
      <w:r>
        <w:rPr>
          <w:rFonts w:ascii="Arial" w:cs="Arial" w:eastAsia="Arial" w:hAnsi="Arial"/>
          <w:sz w:val="21"/>
          <w:szCs w:val="21"/>
          <w:color w:val="auto"/>
        </w:rPr>
        <w:t xml:space="preserve">13. </w:t>
      </w:r>
      <w:r>
        <w:rPr>
          <w:rFonts w:ascii="Arial" w:cs="Arial" w:eastAsia="Arial" w:hAnsi="Arial"/>
          <w:sz w:val="18"/>
          <w:szCs w:val="18"/>
          <w:color w:val="auto"/>
        </w:rPr>
        <w:t>Whenever possible, each provision of this General Release shall be interpreted in such manner as to be</w:t>
      </w:r>
      <w:r>
        <w:rPr>
          <w:rFonts w:ascii="Arial" w:cs="Arial" w:eastAsia="Arial" w:hAnsi="Arial"/>
          <w:sz w:val="21"/>
          <w:szCs w:val="21"/>
          <w:color w:val="auto"/>
        </w:rPr>
        <w:t xml:space="preserve"> </w:t>
      </w:r>
      <w:r>
        <w:rPr>
          <w:rFonts w:ascii="Arial" w:cs="Arial" w:eastAsia="Arial" w:hAnsi="Arial"/>
          <w:sz w:val="18"/>
          <w:szCs w:val="18"/>
          <w:color w:val="auto"/>
        </w:rPr>
        <w:t>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 This General Release constitutes the complete and entire agreement and understanding among the parties, and supersedes any and all prior or contemporaneous agreements, commitments, understandings or arrangements, whether written or oral, between or among any of the parties, in each case concerning the subject matter hereof.</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9" w:right="479" w:bottom="1440" w:gutter="0" w:footer="0" w:header="0"/>
        </w:sectPr>
      </w:pPr>
    </w:p>
    <w:bookmarkStart w:id="52" w:name="page53"/>
    <w:bookmarkEnd w:id="52"/>
    <w:p>
      <w:pPr>
        <w:ind w:left="860"/>
        <w:spacing w:after="0"/>
        <w:rPr>
          <w:sz w:val="20"/>
          <w:szCs w:val="20"/>
          <w:color w:val="auto"/>
        </w:rPr>
      </w:pPr>
      <w:r>
        <w:rPr>
          <w:rFonts w:ascii="Arial" w:cs="Arial" w:eastAsia="Arial" w:hAnsi="Arial"/>
          <w:sz w:val="22"/>
          <w:szCs w:val="22"/>
          <w:color w:val="auto"/>
        </w:rPr>
        <w:t>BY SIGNING THIS GENERAL RELEASE, I REPRESENT AND AGREE THAT</w:t>
      </w:r>
    </w:p>
    <w:p>
      <w:pPr>
        <w:spacing w:after="0" w:line="235" w:lineRule="exact"/>
        <w:rPr>
          <w:sz w:val="20"/>
          <w:szCs w:val="20"/>
          <w:color w:val="auto"/>
        </w:rPr>
      </w:pPr>
    </w:p>
    <w:p>
      <w:pPr>
        <w:ind w:left="1700" w:hanging="842"/>
        <w:spacing w:after="0"/>
        <w:tabs>
          <w:tab w:leader="none" w:pos="1700" w:val="left"/>
        </w:tabs>
        <w:numPr>
          <w:ilvl w:val="0"/>
          <w:numId w:val="40"/>
        </w:numPr>
        <w:rPr>
          <w:rFonts w:ascii="Arial" w:cs="Arial" w:eastAsia="Arial" w:hAnsi="Arial"/>
          <w:sz w:val="22"/>
          <w:szCs w:val="22"/>
          <w:color w:val="auto"/>
        </w:rPr>
      </w:pPr>
      <w:r>
        <w:rPr>
          <w:rFonts w:ascii="Arial" w:cs="Arial" w:eastAsia="Arial" w:hAnsi="Arial"/>
          <w:sz w:val="20"/>
          <w:szCs w:val="20"/>
          <w:color w:val="auto"/>
        </w:rPr>
        <w:t>I HAVE READ IT CAREFULLY;</w:t>
      </w:r>
    </w:p>
    <w:p>
      <w:pPr>
        <w:spacing w:after="0" w:line="208" w:lineRule="exact"/>
        <w:rPr>
          <w:rFonts w:ascii="Arial" w:cs="Arial" w:eastAsia="Arial" w:hAnsi="Arial"/>
          <w:sz w:val="22"/>
          <w:szCs w:val="22"/>
          <w:color w:val="auto"/>
        </w:rPr>
      </w:pPr>
    </w:p>
    <w:p>
      <w:pPr>
        <w:ind w:left="1700" w:hanging="842"/>
        <w:spacing w:after="0" w:line="239" w:lineRule="auto"/>
        <w:tabs>
          <w:tab w:leader="none" w:pos="1700" w:val="left"/>
        </w:tabs>
        <w:numPr>
          <w:ilvl w:val="0"/>
          <w:numId w:val="40"/>
        </w:numPr>
        <w:rPr>
          <w:rFonts w:ascii="Arial" w:cs="Arial" w:eastAsia="Arial" w:hAnsi="Arial"/>
          <w:sz w:val="22"/>
          <w:szCs w:val="22"/>
          <w:color w:val="auto"/>
        </w:rPr>
      </w:pPr>
      <w:r>
        <w:rPr>
          <w:rFonts w:ascii="Arial" w:cs="Arial" w:eastAsia="Arial" w:hAnsi="Arial"/>
          <w:sz w:val="20"/>
          <w:szCs w:val="20"/>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92" w:lineRule="exact"/>
        <w:rPr>
          <w:rFonts w:ascii="Arial" w:cs="Arial" w:eastAsia="Arial" w:hAnsi="Arial"/>
          <w:sz w:val="22"/>
          <w:szCs w:val="22"/>
          <w:color w:val="auto"/>
        </w:rPr>
      </w:pPr>
    </w:p>
    <w:p>
      <w:pPr>
        <w:ind w:left="1700" w:hanging="842"/>
        <w:spacing w:after="0"/>
        <w:tabs>
          <w:tab w:leader="none" w:pos="1700" w:val="left"/>
        </w:tabs>
        <w:numPr>
          <w:ilvl w:val="0"/>
          <w:numId w:val="40"/>
        </w:numPr>
        <w:rPr>
          <w:rFonts w:ascii="Arial" w:cs="Arial" w:eastAsia="Arial" w:hAnsi="Arial"/>
          <w:sz w:val="22"/>
          <w:szCs w:val="22"/>
          <w:color w:val="auto"/>
        </w:rPr>
      </w:pPr>
      <w:r>
        <w:rPr>
          <w:rFonts w:ascii="Arial" w:cs="Arial" w:eastAsia="Arial" w:hAnsi="Arial"/>
          <w:sz w:val="20"/>
          <w:szCs w:val="20"/>
          <w:color w:val="auto"/>
        </w:rPr>
        <w:t>I VOLUNTARILY CONSENT TO EVERYTHING IN IT;</w:t>
      </w:r>
    </w:p>
    <w:p>
      <w:pPr>
        <w:spacing w:after="0" w:line="208" w:lineRule="exact"/>
        <w:rPr>
          <w:rFonts w:ascii="Arial" w:cs="Arial" w:eastAsia="Arial" w:hAnsi="Arial"/>
          <w:sz w:val="22"/>
          <w:szCs w:val="22"/>
          <w:color w:val="auto"/>
        </w:rPr>
      </w:pPr>
    </w:p>
    <w:p>
      <w:pPr>
        <w:ind w:left="1700" w:right="60" w:hanging="842"/>
        <w:spacing w:after="0" w:line="238" w:lineRule="auto"/>
        <w:tabs>
          <w:tab w:leader="none" w:pos="1700" w:val="left"/>
        </w:tabs>
        <w:numPr>
          <w:ilvl w:val="0"/>
          <w:numId w:val="40"/>
        </w:numPr>
        <w:rPr>
          <w:rFonts w:ascii="Arial" w:cs="Arial" w:eastAsia="Arial" w:hAnsi="Arial"/>
          <w:sz w:val="22"/>
          <w:szCs w:val="22"/>
          <w:color w:val="auto"/>
        </w:rPr>
      </w:pPr>
      <w:r>
        <w:rPr>
          <w:rFonts w:ascii="Arial" w:cs="Arial" w:eastAsia="Arial" w:hAnsi="Arial"/>
          <w:sz w:val="20"/>
          <w:szCs w:val="20"/>
          <w:color w:val="auto"/>
        </w:rPr>
        <w:t>I HAVE BEEN ADVISED TO CONSULT WITH AN ATTORNEY BEFORE EXECUTING IT AND I HAVE DONE SO OR AFTER CAREFUL READING AND CONSIDERATION, I HAVE CHOSEN NOT TO DO SO OF MY OWN VOLITION,</w:t>
      </w:r>
    </w:p>
    <w:p>
      <w:pPr>
        <w:spacing w:after="0" w:line="197" w:lineRule="exact"/>
        <w:rPr>
          <w:rFonts w:ascii="Arial" w:cs="Arial" w:eastAsia="Arial" w:hAnsi="Arial"/>
          <w:sz w:val="22"/>
          <w:szCs w:val="22"/>
          <w:color w:val="auto"/>
        </w:rPr>
      </w:pPr>
    </w:p>
    <w:p>
      <w:pPr>
        <w:jc w:val="both"/>
        <w:ind w:left="1700" w:hanging="842"/>
        <w:spacing w:after="0" w:line="256" w:lineRule="auto"/>
        <w:tabs>
          <w:tab w:leader="none" w:pos="1700" w:val="left"/>
        </w:tabs>
        <w:numPr>
          <w:ilvl w:val="0"/>
          <w:numId w:val="40"/>
        </w:numPr>
        <w:rPr>
          <w:rFonts w:ascii="Arial" w:cs="Arial" w:eastAsia="Arial" w:hAnsi="Arial"/>
          <w:sz w:val="21"/>
          <w:szCs w:val="21"/>
          <w:color w:val="auto"/>
        </w:rPr>
      </w:pPr>
      <w:r>
        <w:rPr>
          <w:rFonts w:ascii="Arial" w:cs="Arial" w:eastAsia="Arial" w:hAnsi="Arial"/>
          <w:sz w:val="19"/>
          <w:szCs w:val="19"/>
          <w:color w:val="auto"/>
        </w:rPr>
        <w:t>I HAVE HAD AT LEAST [21][45] DAYS FROM THE DATE OF MY RECEIPT OF THIS RELEASE TO CONSIDER IT AND THE CHANGES MADE SINCE MY RECEIPT OF THIS RELEASE ARE NOT MATERIAL OR WERE MADE AT MY REQUEST AND WILL NOT RESTART THE REQUIRED [21][45]-DAY PERIOD;</w:t>
      </w:r>
    </w:p>
    <w:p>
      <w:pPr>
        <w:spacing w:after="0" w:line="180" w:lineRule="exact"/>
        <w:rPr>
          <w:rFonts w:ascii="Arial" w:cs="Arial" w:eastAsia="Arial" w:hAnsi="Arial"/>
          <w:sz w:val="21"/>
          <w:szCs w:val="21"/>
          <w:color w:val="auto"/>
        </w:rPr>
      </w:pPr>
    </w:p>
    <w:p>
      <w:pPr>
        <w:jc w:val="both"/>
        <w:ind w:left="1700" w:hanging="842"/>
        <w:spacing w:after="0" w:line="238" w:lineRule="auto"/>
        <w:tabs>
          <w:tab w:leader="none" w:pos="1700" w:val="left"/>
        </w:tabs>
        <w:numPr>
          <w:ilvl w:val="0"/>
          <w:numId w:val="40"/>
        </w:numPr>
        <w:rPr>
          <w:rFonts w:ascii="Arial" w:cs="Arial" w:eastAsia="Arial" w:hAnsi="Arial"/>
          <w:sz w:val="22"/>
          <w:szCs w:val="22"/>
          <w:color w:val="auto"/>
        </w:rPr>
      </w:pPr>
      <w:r>
        <w:rPr>
          <w:rFonts w:ascii="Arial" w:cs="Arial" w:eastAsia="Arial" w:hAnsi="Arial"/>
          <w:sz w:val="20"/>
          <w:szCs w:val="20"/>
          <w:color w:val="auto"/>
        </w:rPr>
        <w:t>I UNDERSTAND THAT I HAVE SEVEN (7) DAYS AFTER THE EXECUTION OF THIS RELEASE TO REVOKE IT AND THAT THIS RELEASE SHALL NOT BECOME EFFECTIVE OR ENFORCEABLE UNTIL THE REVOCATION PERIOD HAS EXPIRED; AND</w:t>
      </w:r>
    </w:p>
    <w:p>
      <w:pPr>
        <w:spacing w:after="0" w:line="197" w:lineRule="exact"/>
        <w:rPr>
          <w:rFonts w:ascii="Arial" w:cs="Arial" w:eastAsia="Arial" w:hAnsi="Arial"/>
          <w:sz w:val="22"/>
          <w:szCs w:val="22"/>
          <w:color w:val="auto"/>
        </w:rPr>
      </w:pPr>
    </w:p>
    <w:p>
      <w:pPr>
        <w:ind w:left="1700" w:hanging="842"/>
        <w:spacing w:after="0" w:line="238" w:lineRule="auto"/>
        <w:tabs>
          <w:tab w:leader="none" w:pos="1700" w:val="left"/>
        </w:tabs>
        <w:numPr>
          <w:ilvl w:val="0"/>
          <w:numId w:val="40"/>
        </w:numPr>
        <w:rPr>
          <w:rFonts w:ascii="Arial" w:cs="Arial" w:eastAsia="Arial" w:hAnsi="Arial"/>
          <w:sz w:val="22"/>
          <w:szCs w:val="22"/>
          <w:color w:val="auto"/>
        </w:rPr>
      </w:pPr>
      <w:r>
        <w:rPr>
          <w:rFonts w:ascii="Arial" w:cs="Arial" w:eastAsia="Arial" w:hAnsi="Arial"/>
          <w:sz w:val="20"/>
          <w:szCs w:val="20"/>
          <w:color w:val="auto"/>
        </w:rPr>
        <w:t>I HAVE SIGNED THIS GENERAL RELEASE KNOWINGLY AND VOLUNTARILY AND WITH THE ADVICE OF ANY COUNSEL RETAINED TO ADVISE ME WITH RESPECT TO IT.</w:t>
      </w:r>
    </w:p>
    <w:p>
      <w:pPr>
        <w:sectPr>
          <w:pgSz w:w="11900" w:h="16838" w:orient="portrait"/>
          <w:cols w:equalWidth="0" w:num="1">
            <w:col w:w="11120"/>
          </w:cols>
          <w:pgMar w:left="320" w:top="33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SIGNED: 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472" w:lineRule="exact"/>
        <w:rPr>
          <w:sz w:val="20"/>
          <w:szCs w:val="20"/>
          <w:color w:val="auto"/>
        </w:rPr>
      </w:pPr>
    </w:p>
    <w:p>
      <w:pPr>
        <w:sectPr>
          <w:pgSz w:w="11900" w:h="16838" w:orient="portrait"/>
          <w:cols w:equalWidth="0" w:num="2">
            <w:col w:w="8620" w:space="720"/>
            <w:col w:w="1780"/>
          </w:cols>
          <w:pgMar w:left="320" w:top="334" w:right="459" w:bottom="1440" w:gutter="0" w:footer="0" w:header="0"/>
          <w:type w:val="continuous"/>
        </w:sect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20"/>
          </w:cols>
          <w:pgMar w:left="320" w:top="334" w:right="459" w:bottom="1440" w:gutter="0" w:footer="0" w:header="0"/>
          <w:type w:val="continuous"/>
        </w:sectPr>
      </w:pPr>
    </w:p>
    <w:bookmarkStart w:id="53" w:name="page54"/>
    <w:bookmarkEnd w:id="53"/>
    <w:p>
      <w:pPr>
        <w:ind w:left="10180"/>
        <w:spacing w:after="0"/>
        <w:rPr>
          <w:sz w:val="20"/>
          <w:szCs w:val="20"/>
          <w:color w:val="auto"/>
        </w:rPr>
      </w:pPr>
      <w:r>
        <w:rPr>
          <w:rFonts w:ascii="Arial" w:cs="Arial" w:eastAsia="Arial" w:hAnsi="Arial"/>
          <w:sz w:val="19"/>
          <w:szCs w:val="19"/>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Fifth Amendment to the Nitric Acid Supply, Operating and Maintenance Agreement by and among El Dorado Nitrogen,</w:t>
      </w:r>
    </w:p>
    <w:p>
      <w:pPr>
        <w:jc w:val="center"/>
        <w:ind w:right="60"/>
        <w:spacing w:after="0" w:line="235" w:lineRule="auto"/>
        <w:rPr>
          <w:sz w:val="20"/>
          <w:szCs w:val="20"/>
          <w:color w:val="auto"/>
        </w:rPr>
      </w:pPr>
      <w:r>
        <w:rPr>
          <w:rFonts w:ascii="Arial" w:cs="Arial" w:eastAsia="Arial" w:hAnsi="Arial"/>
          <w:sz w:val="20"/>
          <w:szCs w:val="20"/>
          <w:b w:val="1"/>
          <w:bCs w:val="1"/>
          <w:color w:val="auto"/>
        </w:rPr>
        <w:t>LLC, El Dorado Chemical Company, and Covestro LLC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(“Fifth Amendment”)</w:t>
      </w:r>
    </w:p>
    <w:p>
      <w:pPr>
        <w:spacing w:after="0" w:line="21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Fifth Amendment, effective as of the 30th day of March, 2020 (“Effective Date”), modifies and amends the above-mentioned Nitric Acid Supply, Operating and Maintenance Agreement, by and between Covestro LLC (formerly known as Bayer MaterialScience LLC), a Delaware limited liability company (hereinafter referred to as “Covestro”), El Dorado Nitrogen, L.LC., an Oklahoma limited liability company (hereinafter referred to as “EDN”) and El Dorado Chemical Company, an Oklahoma corporation (hereinafter referred to as “El Dorado”).</w:t>
      </w:r>
    </w:p>
    <w:p>
      <w:pPr>
        <w:spacing w:after="0" w:line="296"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EDN, El Dorado, and Covestro are parties to that certain Nitric Acid Supply, Operating and Maintenance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having an effective date of October 23, 2008 and amended by the First Amendment effective July 1, 2009, the Second Amendment dated June 16, 2010, the Third Amendment effective July 1, 2014, and the Fourth Amendment effective January 1, 2018 (collectively, the “Agreement”), and</w:t>
      </w:r>
    </w:p>
    <w:p>
      <w:pPr>
        <w:spacing w:after="0" w:line="18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desire to and have agreed to amend the Agreement to reflect some modifications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69"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promises and mutual covenants hereinafter contained, and intending to</w:t>
      </w:r>
      <w:r>
        <w:rPr>
          <w:rFonts w:ascii="Arial" w:cs="Arial" w:eastAsia="Arial" w:hAnsi="Arial"/>
          <w:sz w:val="20"/>
          <w:szCs w:val="20"/>
          <w:b w:val="1"/>
          <w:bCs w:val="1"/>
          <w:color w:val="auto"/>
        </w:rPr>
        <w:t xml:space="preserve"> </w:t>
      </w:r>
      <w:r>
        <w:rPr>
          <w:rFonts w:ascii="Arial" w:cs="Arial" w:eastAsia="Arial" w:hAnsi="Arial"/>
          <w:sz w:val="20"/>
          <w:szCs w:val="20"/>
          <w:color w:val="auto"/>
        </w:rPr>
        <w:t>be legally bound, the parties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40" w:lineRule="exact"/>
        <w:rPr>
          <w:sz w:val="20"/>
          <w:szCs w:val="20"/>
          <w:color w:val="auto"/>
        </w:rPr>
      </w:pPr>
    </w:p>
    <w:p>
      <w:pPr>
        <w:ind w:left="440" w:hanging="432"/>
        <w:spacing w:after="0" w:line="225" w:lineRule="auto"/>
        <w:tabs>
          <w:tab w:leader="none" w:pos="440" w:val="left"/>
        </w:tabs>
        <w:numPr>
          <w:ilvl w:val="0"/>
          <w:numId w:val="41"/>
        </w:numPr>
        <w:rPr>
          <w:rFonts w:ascii="Arial" w:cs="Arial" w:eastAsia="Arial" w:hAnsi="Arial"/>
          <w:sz w:val="22"/>
          <w:szCs w:val="22"/>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used herein and not otherwise defined herein shall have the meaning specified in the Agreement.</w:t>
      </w:r>
    </w:p>
    <w:p>
      <w:pPr>
        <w:spacing w:after="0" w:line="208" w:lineRule="exact"/>
        <w:rPr>
          <w:rFonts w:ascii="Arial" w:cs="Arial" w:eastAsia="Arial" w:hAnsi="Arial"/>
          <w:sz w:val="22"/>
          <w:szCs w:val="22"/>
          <w:color w:val="auto"/>
        </w:rPr>
      </w:pPr>
    </w:p>
    <w:p>
      <w:pPr>
        <w:ind w:left="440" w:hanging="432"/>
        <w:spacing w:after="0"/>
        <w:tabs>
          <w:tab w:leader="none" w:pos="44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Section 22.2, Renewals</w:t>
      </w:r>
      <w:r>
        <w:rPr>
          <w:rFonts w:ascii="Arial" w:cs="Arial" w:eastAsia="Arial" w:hAnsi="Arial"/>
          <w:sz w:val="20"/>
          <w:szCs w:val="20"/>
          <w:color w:val="auto"/>
        </w:rPr>
        <w:t>. The following paragraph is added to the end of Section 22.2:</w:t>
      </w:r>
    </w:p>
    <w:p>
      <w:pPr>
        <w:spacing w:after="0" w:line="215" w:lineRule="exact"/>
        <w:rPr>
          <w:rFonts w:ascii="Arial" w:cs="Arial" w:eastAsia="Arial" w:hAnsi="Arial"/>
          <w:sz w:val="20"/>
          <w:szCs w:val="20"/>
          <w:color w:val="auto"/>
        </w:rPr>
      </w:pPr>
    </w:p>
    <w:p>
      <w:pPr>
        <w:jc w:val="both"/>
        <w:ind w:left="440"/>
        <w:spacing w:after="0" w:line="229" w:lineRule="auto"/>
        <w:rPr>
          <w:rFonts w:ascii="Arial" w:cs="Arial" w:eastAsia="Arial" w:hAnsi="Arial"/>
          <w:sz w:val="20"/>
          <w:szCs w:val="20"/>
          <w:color w:val="auto"/>
        </w:rPr>
      </w:pPr>
      <w:r>
        <w:rPr>
          <w:rFonts w:ascii="Arial" w:cs="Arial" w:eastAsia="Arial" w:hAnsi="Arial"/>
          <w:sz w:val="20"/>
          <w:szCs w:val="20"/>
          <w:color w:val="auto"/>
        </w:rPr>
        <w:t>“The current Renewal Term, which is the first of the five successive Renewal Terms, is set to expire on June 30, 2021. The current Renewal Term shall be extended for four months and will now expire on October 31, 2021, unless sooner terminated as provided in the Agreement. Notwithstanding the foregoing provisions of this Section 22.2, during the current Renewal Term expiring on October 31, 2021, either Covestro or EDN may avoid automatic renewal of the Term of this Agreement by giving the other party written notice of its intention not to renew the Term of this Agreement by no later than July 31, 2020.”</w:t>
      </w:r>
    </w:p>
    <w:p>
      <w:pPr>
        <w:spacing w:after="0" w:line="208" w:lineRule="exact"/>
        <w:rPr>
          <w:rFonts w:ascii="Arial" w:cs="Arial" w:eastAsia="Arial" w:hAnsi="Arial"/>
          <w:sz w:val="20"/>
          <w:szCs w:val="20"/>
          <w:color w:val="auto"/>
        </w:rPr>
      </w:pPr>
    </w:p>
    <w:p>
      <w:pPr>
        <w:ind w:left="440" w:hanging="432"/>
        <w:spacing w:after="0" w:line="236" w:lineRule="auto"/>
        <w:tabs>
          <w:tab w:leader="none" w:pos="44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 Subject to the changes set forth in this Fifth Amendment, all other provisions of the Agreement remain in full force and effect without modification.</w:t>
      </w:r>
    </w:p>
    <w:p>
      <w:pPr>
        <w:spacing w:after="0" w:line="209" w:lineRule="exact"/>
        <w:rPr>
          <w:rFonts w:ascii="Arial" w:cs="Arial" w:eastAsia="Arial" w:hAnsi="Arial"/>
          <w:sz w:val="20"/>
          <w:szCs w:val="20"/>
          <w:color w:val="auto"/>
        </w:rPr>
      </w:pPr>
    </w:p>
    <w:p>
      <w:pPr>
        <w:ind w:left="440" w:hanging="432"/>
        <w:spacing w:after="0" w:line="236" w:lineRule="auto"/>
        <w:tabs>
          <w:tab w:leader="none" w:pos="44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Covestro hereby represents and warrants to EDN, and EDN represents and warrants to Covestro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both"/>
        <w:ind w:left="1180" w:hanging="640"/>
        <w:spacing w:after="0" w:line="225" w:lineRule="auto"/>
        <w:tabs>
          <w:tab w:leader="none" w:pos="1180" w:val="left"/>
        </w:tabs>
        <w:numPr>
          <w:ilvl w:val="2"/>
          <w:numId w:val="42"/>
        </w:numPr>
        <w:rPr>
          <w:rFonts w:ascii="Arial" w:cs="Arial" w:eastAsia="Arial" w:hAnsi="Arial"/>
          <w:sz w:val="20"/>
          <w:szCs w:val="20"/>
          <w:color w:val="auto"/>
        </w:rPr>
      </w:pPr>
      <w:r>
        <w:rPr>
          <w:rFonts w:ascii="Arial" w:cs="Arial" w:eastAsia="Arial" w:hAnsi="Arial"/>
          <w:sz w:val="20"/>
          <w:szCs w:val="20"/>
          <w:color w:val="auto"/>
        </w:rPr>
        <w:t>this Fifth Amendment has been duly and validly authorized, executed and delivered by such party and constitutes the legal, valid and binding obligations of each such party enforceable against it in accordance with their respective terms; and</w:t>
      </w:r>
    </w:p>
    <w:p>
      <w:pPr>
        <w:spacing w:after="0" w:line="1" w:lineRule="exact"/>
        <w:rPr>
          <w:rFonts w:ascii="Arial" w:cs="Arial" w:eastAsia="Arial" w:hAnsi="Arial"/>
          <w:sz w:val="20"/>
          <w:szCs w:val="20"/>
          <w:color w:val="auto"/>
        </w:rPr>
      </w:pPr>
    </w:p>
    <w:p>
      <w:pPr>
        <w:ind w:left="1180" w:hanging="640"/>
        <w:spacing w:after="0" w:line="225" w:lineRule="auto"/>
        <w:tabs>
          <w:tab w:leader="none" w:pos="1180" w:val="left"/>
        </w:tabs>
        <w:numPr>
          <w:ilvl w:val="2"/>
          <w:numId w:val="42"/>
        </w:numPr>
        <w:rPr>
          <w:rFonts w:ascii="Arial" w:cs="Arial" w:eastAsia="Arial" w:hAnsi="Arial"/>
          <w:sz w:val="20"/>
          <w:szCs w:val="20"/>
          <w:color w:val="auto"/>
        </w:rPr>
      </w:pPr>
      <w:r>
        <w:rPr>
          <w:rFonts w:ascii="Arial" w:cs="Arial" w:eastAsia="Arial" w:hAnsi="Arial"/>
          <w:sz w:val="20"/>
          <w:szCs w:val="20"/>
          <w:color w:val="auto"/>
        </w:rPr>
        <w:t>the execution, delivery and performance of this Fifth Amendment by such party will not:</w:t>
      </w:r>
    </w:p>
    <w:p>
      <w:pPr>
        <w:ind w:left="1840" w:hanging="652"/>
        <w:spacing w:after="0" w:line="225" w:lineRule="auto"/>
        <w:tabs>
          <w:tab w:leader="none" w:pos="1840" w:val="left"/>
        </w:tabs>
        <w:numPr>
          <w:ilvl w:val="3"/>
          <w:numId w:val="42"/>
        </w:numPr>
        <w:rPr>
          <w:rFonts w:ascii="Arial" w:cs="Arial" w:eastAsia="Arial" w:hAnsi="Arial"/>
          <w:sz w:val="20"/>
          <w:szCs w:val="20"/>
          <w:color w:val="auto"/>
        </w:rPr>
      </w:pPr>
      <w:r>
        <w:rPr>
          <w:rFonts w:ascii="Arial" w:cs="Arial" w:eastAsia="Arial" w:hAnsi="Arial"/>
          <w:sz w:val="20"/>
          <w:szCs w:val="20"/>
          <w:color w:val="auto"/>
        </w:rPr>
        <w:t>violate or conflict with its charter or bylaws;</w:t>
      </w:r>
    </w:p>
    <w:p>
      <w:pPr>
        <w:jc w:val="both"/>
        <w:ind w:left="1840" w:hanging="652"/>
        <w:spacing w:after="0" w:line="225" w:lineRule="auto"/>
        <w:tabs>
          <w:tab w:leader="none" w:pos="1840" w:val="left"/>
        </w:tabs>
        <w:numPr>
          <w:ilvl w:val="3"/>
          <w:numId w:val="42"/>
        </w:numPr>
        <w:rPr>
          <w:rFonts w:ascii="Arial" w:cs="Arial" w:eastAsia="Arial" w:hAnsi="Arial"/>
          <w:sz w:val="20"/>
          <w:szCs w:val="20"/>
          <w:color w:val="auto"/>
        </w:rPr>
      </w:pPr>
      <w:r>
        <w:rPr>
          <w:rFonts w:ascii="Arial" w:cs="Arial" w:eastAsia="Arial" w:hAnsi="Arial"/>
          <w:sz w:val="20"/>
          <w:szCs w:val="20"/>
          <w:color w:val="auto"/>
        </w:rPr>
        <w:t>breach or result in a default (or an event which, with the giving of notice or the passage of time, or both, would constitute a default) under, require any consent under, result in the imposition of any lien under or give to others any rights or termination, acceleration, suspension, revocation, cancellation or amendment of any agreement to which it is a party;</w:t>
      </w:r>
    </w:p>
    <w:p>
      <w:pPr>
        <w:spacing w:after="0" w:line="1" w:lineRule="exact"/>
        <w:rPr>
          <w:rFonts w:ascii="Arial" w:cs="Arial" w:eastAsia="Arial" w:hAnsi="Arial"/>
          <w:sz w:val="20"/>
          <w:szCs w:val="20"/>
          <w:color w:val="auto"/>
        </w:rPr>
      </w:pPr>
    </w:p>
    <w:p>
      <w:pPr>
        <w:jc w:val="both"/>
        <w:ind w:left="1840" w:hanging="652"/>
        <w:spacing w:after="0" w:line="225" w:lineRule="auto"/>
        <w:tabs>
          <w:tab w:leader="none" w:pos="1840" w:val="left"/>
        </w:tabs>
        <w:numPr>
          <w:ilvl w:val="3"/>
          <w:numId w:val="42"/>
        </w:numPr>
        <w:rPr>
          <w:rFonts w:ascii="Arial" w:cs="Arial" w:eastAsia="Arial" w:hAnsi="Arial"/>
          <w:sz w:val="20"/>
          <w:szCs w:val="20"/>
          <w:color w:val="auto"/>
        </w:rPr>
      </w:pPr>
      <w:r>
        <w:rPr>
          <w:rFonts w:ascii="Arial" w:cs="Arial" w:eastAsia="Arial" w:hAnsi="Arial"/>
          <w:sz w:val="20"/>
          <w:szCs w:val="20"/>
          <w:color w:val="auto"/>
        </w:rPr>
        <w:t>breach or otherwise violate any order, writ, judgment, injunction or decree issued by any governmental person or entity which names such party or is directed to such party or any of its respective properties or assets;</w:t>
      </w:r>
    </w:p>
    <w:p>
      <w:pPr>
        <w:spacing w:after="0" w:line="1" w:lineRule="exact"/>
        <w:rPr>
          <w:rFonts w:ascii="Arial" w:cs="Arial" w:eastAsia="Arial" w:hAnsi="Arial"/>
          <w:sz w:val="20"/>
          <w:szCs w:val="20"/>
          <w:color w:val="auto"/>
        </w:rPr>
      </w:pPr>
    </w:p>
    <w:p>
      <w:pPr>
        <w:ind w:left="1840" w:hanging="652"/>
        <w:spacing w:after="0" w:line="225" w:lineRule="auto"/>
        <w:tabs>
          <w:tab w:leader="none" w:pos="1840" w:val="left"/>
        </w:tabs>
        <w:numPr>
          <w:ilvl w:val="3"/>
          <w:numId w:val="42"/>
        </w:numPr>
        <w:rPr>
          <w:rFonts w:ascii="Arial" w:cs="Arial" w:eastAsia="Arial" w:hAnsi="Arial"/>
          <w:sz w:val="20"/>
          <w:szCs w:val="20"/>
          <w:color w:val="auto"/>
        </w:rPr>
      </w:pPr>
      <w:r>
        <w:rPr>
          <w:rFonts w:ascii="Arial" w:cs="Arial" w:eastAsia="Arial" w:hAnsi="Arial"/>
          <w:sz w:val="20"/>
          <w:szCs w:val="20"/>
          <w:color w:val="auto"/>
        </w:rPr>
        <w:t>violate any Laws; or</w:t>
      </w:r>
    </w:p>
    <w:p>
      <w:pPr>
        <w:jc w:val="both"/>
        <w:ind w:left="1840" w:hanging="652"/>
        <w:spacing w:after="0" w:line="232" w:lineRule="auto"/>
        <w:tabs>
          <w:tab w:leader="none" w:pos="1840" w:val="left"/>
        </w:tabs>
        <w:numPr>
          <w:ilvl w:val="3"/>
          <w:numId w:val="42"/>
        </w:numPr>
        <w:rPr>
          <w:rFonts w:ascii="Arial" w:cs="Arial" w:eastAsia="Arial" w:hAnsi="Arial"/>
          <w:sz w:val="20"/>
          <w:szCs w:val="20"/>
          <w:color w:val="auto"/>
        </w:rPr>
      </w:pPr>
      <w:r>
        <w:rPr>
          <w:rFonts w:ascii="Arial" w:cs="Arial" w:eastAsia="Arial" w:hAnsi="Arial"/>
          <w:sz w:val="20"/>
          <w:szCs w:val="20"/>
          <w:color w:val="auto"/>
        </w:rPr>
        <w:t>require any consent, authorization, approval, exemption, or other action by, or any filing, registration or qualification with, any governmental person or entity other than those which have been made or obtained prior to the date hereof.</w:t>
      </w:r>
    </w:p>
    <w:p>
      <w:pPr>
        <w:spacing w:after="0" w:line="210" w:lineRule="exact"/>
        <w:rPr>
          <w:rFonts w:ascii="Arial" w:cs="Arial" w:eastAsia="Arial" w:hAnsi="Arial"/>
          <w:sz w:val="20"/>
          <w:szCs w:val="20"/>
          <w:color w:val="auto"/>
        </w:rPr>
      </w:pPr>
    </w:p>
    <w:p>
      <w:pPr>
        <w:jc w:val="both"/>
        <w:ind w:left="960" w:hanging="852"/>
        <w:spacing w:after="0" w:line="229" w:lineRule="auto"/>
        <w:tabs>
          <w:tab w:leader="none" w:pos="960"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Counterparts; Telefacsimile Execution</w:t>
      </w:r>
      <w:r>
        <w:rPr>
          <w:rFonts w:ascii="Arial" w:cs="Arial" w:eastAsia="Arial" w:hAnsi="Arial"/>
          <w:sz w:val="20"/>
          <w:szCs w:val="20"/>
          <w:color w:val="auto"/>
        </w:rPr>
        <w:t>. This Fifth Amendment may be executed in any number of counterparts, and by each of the parties on separate counterparts, each of which, when so executed, shall be deemed an original, but all of which shall constitute but one and the same instrument. Delivery of an executed counterpart of this Fifth Amendment by electronic scan, electronic mail, or telefacsimile shall be equally as effective as delivery of a manually executed counterpart of this Fifth Amendment. The failure of any party to deliver a manually executed counterpart shall not affect the validity, enforceability, or binding effect of this Fifth Amendment.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54" w:lineRule="exact"/>
        <w:rPr>
          <w:rFonts w:ascii="Arial" w:cs="Arial" w:eastAsia="Arial" w:hAnsi="Arial"/>
          <w:sz w:val="20"/>
          <w:szCs w:val="20"/>
          <w:color w:val="auto"/>
        </w:rPr>
      </w:pPr>
    </w:p>
    <w:p>
      <w:pPr>
        <w:ind w:left="100" w:right="840" w:hanging="100"/>
        <w:spacing w:after="0" w:line="351" w:lineRule="auto"/>
        <w:tabs>
          <w:tab w:leader="none" w:pos="1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whereof, the parties hereto have executed this Fifth Amendment to the Nitric Acid Supply, Operating and Maintenance Agreement effective the date stated above.</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261"/>
        </w:trPr>
        <w:tc>
          <w:tcPr>
            <w:tcW w:w="3200" w:type="dxa"/>
            <w:vAlign w:val="bottom"/>
            <w:gridSpan w:val="8"/>
          </w:tcPr>
          <w:p>
            <w:pPr>
              <w:spacing w:after="0"/>
              <w:rPr>
                <w:sz w:val="20"/>
                <w:szCs w:val="20"/>
                <w:color w:val="auto"/>
              </w:rPr>
            </w:pPr>
            <w:r>
              <w:rPr>
                <w:rFonts w:ascii="Arial" w:cs="Arial" w:eastAsia="Arial" w:hAnsi="Arial"/>
                <w:sz w:val="20"/>
                <w:szCs w:val="20"/>
                <w:b w:val="1"/>
                <w:bCs w:val="1"/>
                <w:color w:val="auto"/>
              </w:rPr>
              <w:t>Covestro LLC</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40" w:type="dxa"/>
            <w:vAlign w:val="bottom"/>
          </w:tcPr>
          <w:p>
            <w:pPr>
              <w:ind w:left="180"/>
              <w:spacing w:after="0"/>
              <w:rPr>
                <w:sz w:val="20"/>
                <w:szCs w:val="20"/>
                <w:color w:val="auto"/>
              </w:rPr>
            </w:pPr>
            <w:r>
              <w:rPr>
                <w:rFonts w:ascii="Arial" w:cs="Arial" w:eastAsia="Arial" w:hAnsi="Arial"/>
                <w:sz w:val="20"/>
                <w:szCs w:val="20"/>
                <w:b w:val="1"/>
                <w:bCs w:val="1"/>
                <w:color w:val="auto"/>
                <w:w w:val="98"/>
              </w:rPr>
              <w:t>El Dorado Nitrogen, L.L.C.</w:t>
            </w:r>
          </w:p>
        </w:tc>
      </w:tr>
      <w:tr>
        <w:trPr>
          <w:trHeight w:val="415"/>
        </w:trPr>
        <w:tc>
          <w:tcPr>
            <w:tcW w:w="3200" w:type="dxa"/>
            <w:vAlign w:val="bottom"/>
            <w:gridSpan w:val="8"/>
          </w:tcPr>
          <w:p>
            <w:pPr>
              <w:spacing w:after="0"/>
              <w:rPr>
                <w:sz w:val="20"/>
                <w:szCs w:val="20"/>
                <w:color w:val="auto"/>
              </w:rPr>
            </w:pPr>
            <w:r>
              <w:rPr>
                <w:rFonts w:ascii="Arial" w:cs="Arial" w:eastAsia="Arial" w:hAnsi="Arial"/>
                <w:sz w:val="20"/>
                <w:szCs w:val="20"/>
                <w:color w:val="auto"/>
              </w:rPr>
              <w:t>By:/s/ Demetri Zervoudis______</w:t>
            </w:r>
          </w:p>
        </w:tc>
        <w:tc>
          <w:tcPr>
            <w:tcW w:w="5320" w:type="dxa"/>
            <w:vAlign w:val="bottom"/>
            <w:gridSpan w:val="7"/>
          </w:tcPr>
          <w:p>
            <w:pPr>
              <w:ind w:left="280"/>
              <w:spacing w:after="0"/>
              <w:rPr>
                <w:sz w:val="20"/>
                <w:szCs w:val="20"/>
                <w:color w:val="auto"/>
              </w:rPr>
            </w:pPr>
            <w:r>
              <w:rPr>
                <w:rFonts w:ascii="Arial" w:cs="Arial" w:eastAsia="Arial" w:hAnsi="Arial"/>
                <w:sz w:val="20"/>
                <w:szCs w:val="20"/>
                <w:color w:val="auto"/>
              </w:rPr>
              <w:t>By: /s/ Anne O. Rendon_______</w:t>
            </w:r>
          </w:p>
        </w:tc>
      </w:tr>
      <w:tr>
        <w:trPr>
          <w:trHeight w:val="20"/>
        </w:trPr>
        <w:tc>
          <w:tcPr>
            <w:tcW w:w="3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655"/>
        </w:trPr>
        <w:tc>
          <w:tcPr>
            <w:tcW w:w="3200" w:type="dxa"/>
            <w:vAlign w:val="bottom"/>
            <w:gridSpan w:val="8"/>
          </w:tcPr>
          <w:p>
            <w:pPr>
              <w:spacing w:after="0"/>
              <w:rPr>
                <w:sz w:val="20"/>
                <w:szCs w:val="20"/>
                <w:color w:val="auto"/>
              </w:rPr>
            </w:pPr>
            <w:r>
              <w:rPr>
                <w:rFonts w:ascii="Arial" w:cs="Arial" w:eastAsia="Arial" w:hAnsi="Arial"/>
                <w:sz w:val="20"/>
                <w:szCs w:val="20"/>
                <w:color w:val="auto"/>
              </w:rPr>
              <w:t>Name: Demetri Zervoudis______</w:t>
            </w:r>
          </w:p>
        </w:tc>
        <w:tc>
          <w:tcPr>
            <w:tcW w:w="5320" w:type="dxa"/>
            <w:vAlign w:val="bottom"/>
            <w:gridSpan w:val="7"/>
          </w:tcPr>
          <w:p>
            <w:pPr>
              <w:ind w:left="380"/>
              <w:spacing w:after="0"/>
              <w:rPr>
                <w:sz w:val="20"/>
                <w:szCs w:val="20"/>
                <w:color w:val="auto"/>
              </w:rPr>
            </w:pPr>
            <w:r>
              <w:rPr>
                <w:rFonts w:ascii="Arial" w:cs="Arial" w:eastAsia="Arial" w:hAnsi="Arial"/>
                <w:sz w:val="20"/>
                <w:szCs w:val="20"/>
                <w:color w:val="auto"/>
              </w:rPr>
              <w:t>Name: Anne O. Rendon_______</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655"/>
        </w:trPr>
        <w:tc>
          <w:tcPr>
            <w:tcW w:w="3200" w:type="dxa"/>
            <w:vAlign w:val="bottom"/>
            <w:gridSpan w:val="8"/>
          </w:tcPr>
          <w:p>
            <w:pPr>
              <w:spacing w:after="0"/>
              <w:rPr>
                <w:sz w:val="20"/>
                <w:szCs w:val="20"/>
                <w:color w:val="auto"/>
              </w:rPr>
            </w:pPr>
            <w:r>
              <w:rPr>
                <w:rFonts w:ascii="Arial" w:cs="Arial" w:eastAsia="Arial" w:hAnsi="Arial"/>
                <w:sz w:val="20"/>
                <w:szCs w:val="20"/>
                <w:color w:val="auto"/>
              </w:rPr>
              <w:t>Title: SVP, Site Manager______</w:t>
            </w:r>
          </w:p>
        </w:tc>
        <w:tc>
          <w:tcPr>
            <w:tcW w:w="5320" w:type="dxa"/>
            <w:vAlign w:val="bottom"/>
            <w:gridSpan w:val="7"/>
          </w:tcPr>
          <w:p>
            <w:pPr>
              <w:ind w:left="300"/>
              <w:spacing w:after="0"/>
              <w:rPr>
                <w:sz w:val="20"/>
                <w:szCs w:val="20"/>
                <w:color w:val="auto"/>
              </w:rPr>
            </w:pPr>
            <w:r>
              <w:rPr>
                <w:rFonts w:ascii="Arial" w:cs="Arial" w:eastAsia="Arial" w:hAnsi="Arial"/>
                <w:sz w:val="20"/>
                <w:szCs w:val="20"/>
                <w:color w:val="auto"/>
              </w:rPr>
              <w:t>Title: Senior Vice President____</w:t>
            </w:r>
          </w:p>
        </w:tc>
      </w:tr>
      <w:tr>
        <w:trPr>
          <w:trHeight w:val="20"/>
        </w:trPr>
        <w:tc>
          <w:tcPr>
            <w:tcW w:w="54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699"/>
        </w:trPr>
        <w:tc>
          <w:tcPr>
            <w:tcW w:w="3200" w:type="dxa"/>
            <w:vAlign w:val="bottom"/>
            <w:gridSpan w:val="8"/>
          </w:tcPr>
          <w:p>
            <w:pPr>
              <w:spacing w:after="0"/>
              <w:rPr>
                <w:sz w:val="20"/>
                <w:szCs w:val="20"/>
                <w:color w:val="auto"/>
              </w:rPr>
            </w:pPr>
            <w:r>
              <w:rPr>
                <w:rFonts w:ascii="Arial" w:cs="Arial" w:eastAsia="Arial" w:hAnsi="Arial"/>
                <w:sz w:val="20"/>
                <w:szCs w:val="20"/>
                <w:b w:val="1"/>
                <w:bCs w:val="1"/>
                <w:color w:val="auto"/>
              </w:rPr>
              <w:t>El Dorado Chemical Company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01"/>
        </w:trPr>
        <w:tc>
          <w:tcPr>
            <w:tcW w:w="3200" w:type="dxa"/>
            <w:vAlign w:val="bottom"/>
            <w:gridSpan w:val="8"/>
          </w:tcPr>
          <w:p>
            <w:pPr>
              <w:spacing w:after="0"/>
              <w:rPr>
                <w:sz w:val="20"/>
                <w:szCs w:val="20"/>
                <w:color w:val="auto"/>
              </w:rPr>
            </w:pPr>
            <w:r>
              <w:rPr>
                <w:rFonts w:ascii="Arial" w:cs="Arial" w:eastAsia="Arial" w:hAnsi="Arial"/>
                <w:sz w:val="20"/>
                <w:szCs w:val="20"/>
                <w:color w:val="auto"/>
              </w:rPr>
              <w:t>By:/s/ Mark Behrman________</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25"/>
        </w:trPr>
        <w:tc>
          <w:tcPr>
            <w:tcW w:w="3200" w:type="dxa"/>
            <w:vAlign w:val="bottom"/>
            <w:gridSpan w:val="8"/>
          </w:tcPr>
          <w:p>
            <w:pPr>
              <w:spacing w:after="0"/>
              <w:rPr>
                <w:sz w:val="20"/>
                <w:szCs w:val="20"/>
                <w:color w:val="auto"/>
              </w:rPr>
            </w:pPr>
            <w:r>
              <w:rPr>
                <w:rFonts w:ascii="Arial" w:cs="Arial" w:eastAsia="Arial" w:hAnsi="Arial"/>
                <w:sz w:val="20"/>
                <w:szCs w:val="20"/>
                <w:color w:val="auto"/>
              </w:rPr>
              <w:t>Name: Mark Behrman________</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25"/>
        </w:trPr>
        <w:tc>
          <w:tcPr>
            <w:tcW w:w="3200" w:type="dxa"/>
            <w:vAlign w:val="bottom"/>
            <w:gridSpan w:val="8"/>
          </w:tcPr>
          <w:p>
            <w:pPr>
              <w:spacing w:after="0"/>
              <w:rPr>
                <w:sz w:val="20"/>
                <w:szCs w:val="20"/>
                <w:color w:val="auto"/>
              </w:rPr>
            </w:pPr>
            <w:r>
              <w:rPr>
                <w:rFonts w:ascii="Arial" w:cs="Arial" w:eastAsia="Arial" w:hAnsi="Arial"/>
                <w:sz w:val="20"/>
                <w:szCs w:val="20"/>
                <w:color w:val="auto"/>
              </w:rPr>
              <w:t>Title: CEO_________________</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ectPr>
          <w:pgSz w:w="11900" w:h="16838" w:orient="portrait"/>
          <w:cols w:equalWidth="0" w:num="1">
            <w:col w:w="11340"/>
          </w:cols>
          <w:pgMar w:left="220" w:top="35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10.3</w:t>
      </w:r>
    </w:p>
    <w:p>
      <w:pPr>
        <w:jc w:val="center"/>
        <w:spacing w:after="0" w:line="238" w:lineRule="auto"/>
        <w:rPr>
          <w:sz w:val="20"/>
          <w:szCs w:val="20"/>
          <w:color w:val="auto"/>
        </w:rPr>
      </w:pPr>
      <w:r>
        <w:rPr>
          <w:rFonts w:ascii="Arial" w:cs="Arial" w:eastAsia="Arial" w:hAnsi="Arial"/>
          <w:sz w:val="22"/>
          <w:szCs w:val="22"/>
          <w:b w:val="1"/>
          <w:bCs w:val="1"/>
          <w:color w:val="auto"/>
        </w:rPr>
        <w:t>THIRD AMENDMENT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LOAN AND SECURITY AGREEMENT</w:t>
      </w:r>
    </w:p>
    <w:p>
      <w:pPr>
        <w:spacing w:after="0" w:line="200" w:lineRule="exact"/>
        <w:rPr>
          <w:sz w:val="20"/>
          <w:szCs w:val="20"/>
          <w:color w:val="auto"/>
        </w:rPr>
      </w:pPr>
    </w:p>
    <w:p>
      <w:pPr>
        <w:spacing w:after="0" w:line="204"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THIS THIRD AMENDMENT TO THIRD AMENDED AND RESTATED LOAN AND SECURITY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April 20, 2020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among WELLS FARGO CAPITAL FINANCE, LLC, a Delaware limited liability company, as the arranger and administrative agent ("</w:t>
      </w:r>
      <w:r>
        <w:rPr>
          <w:rFonts w:ascii="Arial" w:cs="Arial" w:eastAsia="Arial" w:hAnsi="Arial"/>
          <w:sz w:val="19"/>
          <w:szCs w:val="19"/>
          <w:u w:val="single" w:color="auto"/>
          <w:color w:val="auto"/>
        </w:rPr>
        <w:t>Agent</w:t>
      </w:r>
      <w:r>
        <w:rPr>
          <w:rFonts w:ascii="Arial" w:cs="Arial" w:eastAsia="Arial" w:hAnsi="Arial"/>
          <w:sz w:val="19"/>
          <w:szCs w:val="19"/>
          <w:color w:val="auto"/>
        </w:rPr>
        <w:t>") for the Lenders (as defined in the Credit Agreement referred to below), the Lenders party hereto, LSB INDUSTRIES, INC., a Delaware corporation ("</w:t>
      </w:r>
      <w:r>
        <w:rPr>
          <w:rFonts w:ascii="Arial" w:cs="Arial" w:eastAsia="Arial" w:hAnsi="Arial"/>
          <w:sz w:val="19"/>
          <w:szCs w:val="19"/>
          <w:u w:val="single" w:color="auto"/>
          <w:color w:val="auto"/>
        </w:rPr>
        <w:t>Parent</w:t>
      </w:r>
      <w:r>
        <w:rPr>
          <w:rFonts w:ascii="Arial" w:cs="Arial" w:eastAsia="Arial" w:hAnsi="Arial"/>
          <w:sz w:val="19"/>
          <w:szCs w:val="19"/>
          <w:color w:val="auto"/>
        </w:rPr>
        <w:t>"), certain Subsidiaries of Parent designated on the signature pages hereto as borrowers (together with Parent, such Subsidiaries are collectively referred as the "</w:t>
      </w:r>
      <w:r>
        <w:rPr>
          <w:rFonts w:ascii="Arial" w:cs="Arial" w:eastAsia="Arial" w:hAnsi="Arial"/>
          <w:sz w:val="19"/>
          <w:szCs w:val="19"/>
          <w:u w:val="single" w:color="auto"/>
          <w:color w:val="auto"/>
        </w:rPr>
        <w:t>Borrowers</w:t>
      </w:r>
      <w:r>
        <w:rPr>
          <w:rFonts w:ascii="Arial" w:cs="Arial" w:eastAsia="Arial" w:hAnsi="Arial"/>
          <w:sz w:val="19"/>
          <w:szCs w:val="19"/>
          <w:color w:val="auto"/>
        </w:rPr>
        <w:t>") and certain Subsidiaries of Parent designated on the signature pages hereto as guarantors (such Subsidiaries are collectively referred to as the "</w:t>
      </w:r>
      <w:r>
        <w:rPr>
          <w:rFonts w:ascii="Arial" w:cs="Arial" w:eastAsia="Arial" w:hAnsi="Arial"/>
          <w:sz w:val="19"/>
          <w:szCs w:val="19"/>
          <w:u w:val="single" w:color="auto"/>
          <w:color w:val="auto"/>
        </w:rPr>
        <w:t>Guarantors</w:t>
      </w:r>
      <w:r>
        <w:rPr>
          <w:rFonts w:ascii="Arial" w:cs="Arial" w:eastAsia="Arial" w:hAnsi="Arial"/>
          <w:sz w:val="19"/>
          <w:szCs w:val="19"/>
          <w:color w:val="auto"/>
        </w:rPr>
        <w:t>" and together with the Borrowers, such Guarantors are collectively referred to as the "</w:t>
      </w:r>
      <w:r>
        <w:rPr>
          <w:rFonts w:ascii="Arial" w:cs="Arial" w:eastAsia="Arial" w:hAnsi="Arial"/>
          <w:sz w:val="19"/>
          <w:szCs w:val="19"/>
          <w:u w:val="single" w:color="auto"/>
          <w:color w:val="auto"/>
        </w:rPr>
        <w:t>Loan Parties</w:t>
      </w:r>
      <w:r>
        <w:rPr>
          <w:rFonts w:ascii="Arial" w:cs="Arial" w:eastAsia="Arial" w:hAnsi="Arial"/>
          <w:sz w:val="19"/>
          <w:szCs w:val="19"/>
          <w:color w:val="auto"/>
        </w:rPr>
        <w:t>").</w:t>
      </w:r>
    </w:p>
    <w:p>
      <w:pPr>
        <w:spacing w:after="0" w:line="15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WHEREAS, the Borrowers, Agent, and the Lenders are parties to that certain Third Amended and Restated Loan and Security Agreement dated as of January 17, 2017 (as amended, restated, modified or supplemented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and</w:t>
      </w:r>
    </w:p>
    <w:p>
      <w:pPr>
        <w:spacing w:after="0" w:line="18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WHEREAS, the Borrowers have requested that the Lenders agree to amend the Credit Agreement in certain respects as set forth herein, and the Lenders have agreed to the foregoing, on the terms and conditions set forth herein.</w:t>
      </w:r>
    </w:p>
    <w:p>
      <w:pPr>
        <w:spacing w:after="0" w:line="10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NOW THEREFORE, in consideration of the premises and mutual agreements herein contained, the parties hereto agree as follows:</w:t>
      </w:r>
    </w:p>
    <w:p>
      <w:pPr>
        <w:spacing w:after="0" w:line="175" w:lineRule="exact"/>
        <w:rPr>
          <w:sz w:val="20"/>
          <w:szCs w:val="20"/>
          <w:color w:val="auto"/>
        </w:rPr>
      </w:pPr>
    </w:p>
    <w:p>
      <w:pPr>
        <w:ind w:firstLine="1735"/>
        <w:spacing w:after="0" w:line="250" w:lineRule="auto"/>
        <w:tabs>
          <w:tab w:leader="none" w:pos="2537"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Unless otherwise defined herein, capitalized terms used herein and not otherwise defined shall have the meanings ascribed to such terms in the Credit Agreement.</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537"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In reliance upon the representations and warranties of the Borrowers set forth in Section 6 below, and subject to the satisfaction of the conditions set forth in Section 5 below, the Credit Agreement is hereby amended, which amendments shall first take effect as of the date the conditions set forth in Section 5 below are satisfied, as follows:</w:t>
      </w:r>
    </w:p>
    <w:p>
      <w:pPr>
        <w:spacing w:after="0" w:line="18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(a) The definitions of each of the terms "Consolidated Net Interest Expense," "Fixed Charge Coverage Ratio," and "Maximum Revolver Amount," set forth in Section 1.1 of the Credit Agreement are hereby amended and restated in their entirety as follows:</w:t>
      </w:r>
    </w:p>
    <w:p>
      <w:pPr>
        <w:spacing w:after="0" w:line="186" w:lineRule="exact"/>
        <w:rPr>
          <w:sz w:val="20"/>
          <w:szCs w:val="20"/>
          <w:color w:val="auto"/>
        </w:rPr>
      </w:pPr>
    </w:p>
    <w:p>
      <w:pPr>
        <w:jc w:val="both"/>
        <w:ind w:left="880" w:right="880" w:firstLine="7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Interest Expense</w:t>
      </w:r>
      <w:r>
        <w:rPr>
          <w:rFonts w:ascii="Arial" w:cs="Arial" w:eastAsia="Arial" w:hAnsi="Arial"/>
          <w:sz w:val="21"/>
          <w:szCs w:val="21"/>
          <w:color w:val="auto"/>
        </w:rPr>
        <w:t>" means, with respect to any Person for any period, gross interest expense of such Person and its Subsidiaries for such period determined in conformity with GAAP (including, without limitation, interest expense paid to Affiliates of such Person other than a Subsidiary of Parent, less the sum of interest income and non-cash accretion expense and non-cash amortization of debt origination cost for such period, each determined on a consolidated basis and in accordance with GAAP for such Person and its Subsidiaries;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both"/>
        <w:ind w:left="880" w:right="860"/>
        <w:spacing w:after="0" w:line="250" w:lineRule="auto"/>
        <w:rPr>
          <w:sz w:val="20"/>
          <w:szCs w:val="20"/>
          <w:color w:val="auto"/>
        </w:rPr>
      </w:pPr>
      <w:r>
        <w:rPr>
          <w:rFonts w:ascii="Arial" w:cs="Arial" w:eastAsia="Arial" w:hAnsi="Arial"/>
          <w:sz w:val="22"/>
          <w:szCs w:val="22"/>
          <w:color w:val="auto"/>
        </w:rPr>
        <w:t>in no event shall Consolidated Net Interest Expense include any interest expense attributable to any CARES Debt other than CARES Unforgiven Debt.</w:t>
      </w:r>
    </w:p>
    <w:p>
      <w:pPr>
        <w:spacing w:after="0" w:line="175" w:lineRule="exact"/>
        <w:rPr>
          <w:sz w:val="20"/>
          <w:szCs w:val="20"/>
          <w:color w:val="auto"/>
        </w:rPr>
      </w:pPr>
    </w:p>
    <w:p>
      <w:pPr>
        <w:jc w:val="both"/>
        <w:ind w:left="880" w:right="860" w:firstLine="731"/>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Fixed Charge Coverage Ratio</w:t>
      </w:r>
      <w:r>
        <w:rPr>
          <w:rFonts w:ascii="Arial" w:cs="Arial" w:eastAsia="Arial" w:hAnsi="Arial"/>
          <w:sz w:val="21"/>
          <w:szCs w:val="21"/>
          <w:color w:val="auto"/>
        </w:rPr>
        <w:t>" means, for any period, the ratio of (i) EBITDA for such period minus Capital Expenditures made (to the extent not already incurred in a prior period) or incurred during such period, to (ii) the sum of (A) all principal of Indebtedness of Parent and its Subsidiaries scheduled to be paid during such period (not including (w) the final scheduled payment of the Obligations at the Maturity Date, (x) the LSB Notes at the final maturity date applicable thereto, (y) principal payments on CARES Debt other than CARES Unforgiven Debt, or (z) Indebtedness consisting of the financing of insurance premiums in the ordinary course of business not in excess of the amount of such premiums to the extent that such amounts are expensed and therefor reduce EBITDA), plus (B) Consolidated Net Interest Expense of Parent and its Subsidiaries for such period, plus (C) all amounts required to be paid by Parent and its Subsidiaries on Capitalized Lease Obligations having a scheduled due date during such period (this clause (ii), "</w:t>
      </w:r>
      <w:r>
        <w:rPr>
          <w:rFonts w:ascii="Arial" w:cs="Arial" w:eastAsia="Arial" w:hAnsi="Arial"/>
          <w:sz w:val="21"/>
          <w:szCs w:val="21"/>
          <w:u w:val="single" w:color="auto"/>
          <w:color w:val="auto"/>
        </w:rPr>
        <w:t>Fixed</w:t>
      </w:r>
      <w:r>
        <w:rPr>
          <w:rFonts w:ascii="Arial" w:cs="Arial" w:eastAsia="Arial" w:hAnsi="Arial"/>
          <w:sz w:val="21"/>
          <w:szCs w:val="21"/>
          <w:color w:val="auto"/>
        </w:rPr>
        <w:t xml:space="preserve"> </w:t>
      </w:r>
      <w:r>
        <w:rPr>
          <w:rFonts w:ascii="Arial" w:cs="Arial" w:eastAsia="Arial" w:hAnsi="Arial"/>
          <w:sz w:val="21"/>
          <w:szCs w:val="21"/>
          <w:u w:val="single" w:color="auto"/>
          <w:color w:val="auto"/>
        </w:rPr>
        <w:t>Charges</w:t>
      </w:r>
      <w:r>
        <w:rPr>
          <w:rFonts w:ascii="Arial" w:cs="Arial" w:eastAsia="Arial" w:hAnsi="Arial"/>
          <w:sz w:val="21"/>
          <w:szCs w:val="21"/>
          <w:color w:val="auto"/>
        </w:rPr>
        <w:t>").</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"Maximum Revolver Amount" means $65,000,000.</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(b) Section 1.1 of the Credit Agreement is hereby further amended to add definitions of the terms "CARES Act Permitted Purposes," "CARES Act – Title I," "CARES Debt," "CARES Forgiveness Date", "CARES Unforgiven Debt," "Small Business Administration" and "Third Amendment Date," thereto, in appropriate alphabetical order, as follows:</w:t>
      </w:r>
    </w:p>
    <w:p>
      <w:pPr>
        <w:spacing w:after="0" w:line="185" w:lineRule="exact"/>
        <w:rPr>
          <w:sz w:val="20"/>
          <w:szCs w:val="20"/>
          <w:color w:val="auto"/>
        </w:rPr>
      </w:pPr>
    </w:p>
    <w:p>
      <w:pPr>
        <w:jc w:val="both"/>
        <w:ind w:left="880" w:right="880" w:firstLine="73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Act Permitted Purposes</w:t>
      </w:r>
      <w:r>
        <w:rPr>
          <w:rFonts w:ascii="Arial" w:cs="Arial" w:eastAsia="Arial" w:hAnsi="Arial"/>
          <w:sz w:val="22"/>
          <w:szCs w:val="22"/>
          <w:color w:val="auto"/>
        </w:rPr>
        <w:t>" means, with respect to the use of proceeds of any CARES Debt, the purposes set forth in Section 1106(b) of the CARES Act – Title I and otherwise in compliance with all other provisions or requirements of the CARES Act – Title I applicable in order for the entire amount of the CARES Debt to be eligible for forgiveness.</w:t>
      </w:r>
    </w:p>
    <w:p>
      <w:pPr>
        <w:spacing w:after="0" w:line="185" w:lineRule="exact"/>
        <w:rPr>
          <w:sz w:val="20"/>
          <w:szCs w:val="20"/>
          <w:color w:val="auto"/>
        </w:rPr>
      </w:pPr>
    </w:p>
    <w:p>
      <w:pPr>
        <w:jc w:val="both"/>
        <w:ind w:left="880" w:right="860" w:firstLine="731"/>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CARES Act - Title I</w:t>
      </w:r>
      <w:r>
        <w:rPr>
          <w:rFonts w:ascii="Arial" w:cs="Arial" w:eastAsia="Arial" w:hAnsi="Arial"/>
          <w:sz w:val="22"/>
          <w:szCs w:val="22"/>
          <w:color w:val="auto"/>
        </w:rPr>
        <w:t>" means Title I of the Coronavirus Aid, Relief and Economic Security Act, as amended (including any successor thereto), and all requests, rules, guidelines, requirements and directives thereunder or issued in connection therewith or in implementation thereof, regardless of the date enacted, adopted, issued or implemented.</w:t>
      </w:r>
    </w:p>
    <w:p>
      <w:pPr>
        <w:spacing w:after="0" w:line="185"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Debt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7.1(e)</w:t>
      </w:r>
      <w:r>
        <w:rPr>
          <w:rFonts w:ascii="Arial" w:cs="Arial" w:eastAsia="Arial" w:hAnsi="Arial"/>
          <w:sz w:val="22"/>
          <w:szCs w:val="22"/>
          <w:color w:val="auto"/>
        </w:rPr>
        <w:t>.</w:t>
      </w:r>
    </w:p>
    <w:p>
      <w:pPr>
        <w:spacing w:after="0" w:line="206" w:lineRule="exact"/>
        <w:rPr>
          <w:sz w:val="20"/>
          <w:szCs w:val="20"/>
          <w:color w:val="auto"/>
        </w:rPr>
      </w:pPr>
    </w:p>
    <w:p>
      <w:pPr>
        <w:jc w:val="both"/>
        <w:ind w:left="880" w:right="860" w:firstLine="73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CARES Forgiveness Date</w:t>
      </w:r>
      <w:r>
        <w:rPr>
          <w:rFonts w:ascii="Arial" w:cs="Arial" w:eastAsia="Arial" w:hAnsi="Arial"/>
          <w:sz w:val="19"/>
          <w:szCs w:val="19"/>
          <w:color w:val="auto"/>
        </w:rPr>
        <w:t>" means five (5) Business Days after the date that the Borrowers obtain a final determination by the lender of the CARES Debt (and, to the extent required, the Small Business Administration) (or such longer period as may be approved in writing by Agent) regarding the amount of CARES Debt, if any, that will be forgiven pursuant to the provisions of the CARES Act - Title I.</w:t>
      </w:r>
    </w:p>
    <w:p>
      <w:pPr>
        <w:spacing w:after="0" w:line="143" w:lineRule="exact"/>
        <w:rPr>
          <w:sz w:val="20"/>
          <w:szCs w:val="20"/>
          <w:color w:val="auto"/>
        </w:rPr>
      </w:pPr>
    </w:p>
    <w:p>
      <w:pPr>
        <w:jc w:val="both"/>
        <w:ind w:left="880" w:right="860" w:firstLine="7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Unforgiven Debt</w:t>
      </w:r>
      <w:r>
        <w:rPr>
          <w:rFonts w:ascii="Arial" w:cs="Arial" w:eastAsia="Arial" w:hAnsi="Arial"/>
          <w:sz w:val="22"/>
          <w:szCs w:val="22"/>
          <w:color w:val="auto"/>
        </w:rPr>
        <w:t>" means that amount of the CARES Debt that (x) has been determined by the lender of the CARES Debt (or the Small Business Administration) to be ineligible for forgiveness pursuant to the provisions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7" w:name="page58"/>
    <w:bookmarkEnd w:id="57"/>
    <w:p>
      <w:pPr>
        <w:jc w:val="both"/>
        <w:ind w:left="880" w:right="860"/>
        <w:spacing w:after="0" w:line="279" w:lineRule="auto"/>
        <w:rPr>
          <w:sz w:val="20"/>
          <w:szCs w:val="20"/>
          <w:color w:val="auto"/>
        </w:rPr>
      </w:pPr>
      <w:r>
        <w:rPr>
          <w:rFonts w:ascii="Arial" w:cs="Arial" w:eastAsia="Arial" w:hAnsi="Arial"/>
          <w:sz w:val="19"/>
          <w:szCs w:val="19"/>
          <w:color w:val="auto"/>
        </w:rPr>
        <w:t xml:space="preserve">CARES Act - Title 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determination has not been made on or before the date that is twelve (12) months after the date of incurrence of the CARES Debt (or such longer period as may be approved in writing by Agent), all such CARES Debt shall be deemed "CARES Unforgiven Debt" until such time as a final determination is made by the lender of the CARES Debt (and, to the extent required, the Small Business Administration) or (y) is not included in any application for such forgiveness submitted in accordance with the CARES Act - Title I within the time period specified in </w:t>
      </w:r>
      <w:r>
        <w:rPr>
          <w:rFonts w:ascii="Arial" w:cs="Arial" w:eastAsia="Arial" w:hAnsi="Arial"/>
          <w:sz w:val="19"/>
          <w:szCs w:val="19"/>
          <w:u w:val="single" w:color="auto"/>
          <w:color w:val="auto"/>
        </w:rPr>
        <w:t>Section 6.18(b)</w:t>
      </w:r>
      <w:r>
        <w:rPr>
          <w:rFonts w:ascii="Arial" w:cs="Arial" w:eastAsia="Arial" w:hAnsi="Arial"/>
          <w:sz w:val="19"/>
          <w:szCs w:val="19"/>
          <w:color w:val="auto"/>
        </w:rPr>
        <w:t>.</w:t>
      </w:r>
    </w:p>
    <w:p>
      <w:pPr>
        <w:spacing w:after="0" w:line="150"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Small Business Administration</w:t>
      </w:r>
      <w:r>
        <w:rPr>
          <w:rFonts w:ascii="Arial" w:cs="Arial" w:eastAsia="Arial" w:hAnsi="Arial"/>
          <w:sz w:val="22"/>
          <w:szCs w:val="22"/>
          <w:color w:val="auto"/>
        </w:rPr>
        <w:t>" means the U.S. Small Business Administration.</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Amendment Date</w:t>
      </w:r>
      <w:r>
        <w:rPr>
          <w:rFonts w:ascii="Arial" w:cs="Arial" w:eastAsia="Arial" w:hAnsi="Arial"/>
          <w:sz w:val="22"/>
          <w:szCs w:val="22"/>
          <w:color w:val="auto"/>
        </w:rPr>
        <w:t>" means April 20, 2020.</w:t>
      </w:r>
    </w:p>
    <w:p>
      <w:pPr>
        <w:spacing w:after="0" w:line="206" w:lineRule="exact"/>
        <w:rPr>
          <w:sz w:val="20"/>
          <w:szCs w:val="20"/>
          <w:color w:val="auto"/>
        </w:rPr>
      </w:pPr>
    </w:p>
    <w:p>
      <w:pPr>
        <w:jc w:val="both"/>
        <w:ind w:left="1740"/>
        <w:spacing w:after="0"/>
        <w:tabs>
          <w:tab w:leader="none" w:pos="32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Section 2.1 of the Credit Agreement is hereby amended by amending and restating clause</w:t>
      </w:r>
    </w:p>
    <w:p>
      <w:pPr>
        <w:spacing w:after="0" w:line="8"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thereof in its entirety as follows:</w:t>
      </w:r>
    </w:p>
    <w:p>
      <w:pPr>
        <w:spacing w:after="0" w:line="188" w:lineRule="exact"/>
        <w:rPr>
          <w:rFonts w:ascii="Arial" w:cs="Arial" w:eastAsia="Arial" w:hAnsi="Arial"/>
          <w:sz w:val="22"/>
          <w:szCs w:val="22"/>
          <w:color w:val="auto"/>
        </w:rPr>
      </w:pPr>
    </w:p>
    <w:p>
      <w:pPr>
        <w:ind w:left="1480" w:hanging="1411"/>
        <w:spacing w:after="0"/>
        <w:tabs>
          <w:tab w:leader="none" w:pos="1480"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Increase in Revolver Commitments</w:t>
      </w:r>
      <w:r>
        <w:rPr>
          <w:rFonts w:ascii="Arial" w:cs="Arial" w:eastAsia="Arial" w:hAnsi="Arial"/>
          <w:sz w:val="22"/>
          <w:szCs w:val="22"/>
          <w:color w:val="auto"/>
        </w:rPr>
        <w:t>.</w:t>
      </w:r>
    </w:p>
    <w:p>
      <w:pPr>
        <w:spacing w:after="0" w:line="206" w:lineRule="exact"/>
        <w:rPr>
          <w:sz w:val="20"/>
          <w:szCs w:val="20"/>
          <w:color w:val="auto"/>
        </w:rPr>
      </w:pPr>
    </w:p>
    <w:p>
      <w:pPr>
        <w:jc w:val="both"/>
        <w:ind w:left="800" w:right="1660" w:hanging="731"/>
        <w:spacing w:after="0" w:line="244" w:lineRule="auto"/>
        <w:tabs>
          <w:tab w:leader="none" w:pos="1475" w:val="left"/>
        </w:tabs>
        <w:numPr>
          <w:ilvl w:val="0"/>
          <w:numId w:val="47"/>
        </w:numPr>
        <w:rPr>
          <w:rFonts w:ascii="Arial" w:cs="Arial" w:eastAsia="Arial" w:hAnsi="Arial"/>
          <w:sz w:val="21"/>
          <w:szCs w:val="21"/>
          <w:color w:val="auto"/>
        </w:rPr>
      </w:pPr>
      <w:r>
        <w:rPr>
          <w:rFonts w:ascii="Arial" w:cs="Arial" w:eastAsia="Arial" w:hAnsi="Arial"/>
          <w:sz w:val="21"/>
          <w:szCs w:val="21"/>
          <w:color w:val="auto"/>
        </w:rPr>
        <w:t>At the option of the Borrowers (but subject to the conditions set forth in clause (ii) below), the Total Commitments and the Maximum Revolver Amount may each be increased by an aggregate amount after the Third Amendment Date not to exceed $10,000,000, less the aggregate principal amount of the CARES Unforgiven Debt outstanding at such time (each such increase, an "</w:t>
      </w:r>
      <w:r>
        <w:rPr>
          <w:rFonts w:ascii="Arial" w:cs="Arial" w:eastAsia="Arial" w:hAnsi="Arial"/>
          <w:sz w:val="21"/>
          <w:szCs w:val="21"/>
          <w:u w:val="single" w:color="auto"/>
          <w:color w:val="auto"/>
        </w:rPr>
        <w:t>Increase</w:t>
      </w:r>
      <w:r>
        <w:rPr>
          <w:rFonts w:ascii="Arial" w:cs="Arial" w:eastAsia="Arial" w:hAnsi="Arial"/>
          <w:sz w:val="21"/>
          <w:szCs w:val="21"/>
          <w:color w:val="auto"/>
        </w:rPr>
        <w:t xml:space="preserve">"). The Agent shall invite each Lender to increase its Pro Rata Share of the Total Commitments (it being understood that no Lender shall be obligated to increase its Pro Rata Share of its Revolver Commitment) in connection with a proposed Increase, and if sufficient Lenders do not agree to increase their Pro Rata Share of the Total Commitments in connection with such proposed Increase, then the Agent or the Borrowers may invite any prospective lender who is reasonably satisfactory to the Agent and the Borrowers to become a Lender in connection with a proposed Increase. Any Increase shall be in a principal amount of at least $5,000,000 and integral multiples of $1,000,000 in excess thereof. The Total Commitments and the Maximum Revolver Amount may be increased pursuant to this </w:t>
      </w:r>
      <w:r>
        <w:rPr>
          <w:rFonts w:ascii="Arial" w:cs="Arial" w:eastAsia="Arial" w:hAnsi="Arial"/>
          <w:sz w:val="21"/>
          <w:szCs w:val="21"/>
          <w:u w:val="single" w:color="auto"/>
          <w:color w:val="auto"/>
        </w:rPr>
        <w:t>Section 2.1(i)</w:t>
      </w:r>
      <w:r>
        <w:rPr>
          <w:rFonts w:ascii="Arial" w:cs="Arial" w:eastAsia="Arial" w:hAnsi="Arial"/>
          <w:sz w:val="21"/>
          <w:szCs w:val="21"/>
          <w:color w:val="auto"/>
        </w:rPr>
        <w:t xml:space="preserve"> after the Third Amendment Date on no more than 2 occasions.</w:t>
      </w:r>
    </w:p>
    <w:p>
      <w:pPr>
        <w:spacing w:after="0" w:line="180" w:lineRule="exact"/>
        <w:rPr>
          <w:rFonts w:ascii="Arial" w:cs="Arial" w:eastAsia="Arial" w:hAnsi="Arial"/>
          <w:sz w:val="21"/>
          <w:szCs w:val="21"/>
          <w:color w:val="auto"/>
        </w:rPr>
      </w:pPr>
    </w:p>
    <w:p>
      <w:pPr>
        <w:ind w:left="800" w:right="1660" w:hanging="731"/>
        <w:spacing w:after="0" w:line="250" w:lineRule="auto"/>
        <w:tabs>
          <w:tab w:leader="none" w:pos="1475" w:val="left"/>
        </w:tabs>
        <w:numPr>
          <w:ilvl w:val="0"/>
          <w:numId w:val="47"/>
        </w:numPr>
        <w:rPr>
          <w:rFonts w:ascii="Arial" w:cs="Arial" w:eastAsia="Arial" w:hAnsi="Arial"/>
          <w:sz w:val="22"/>
          <w:szCs w:val="22"/>
          <w:color w:val="auto"/>
        </w:rPr>
      </w:pPr>
      <w:r>
        <w:rPr>
          <w:rFonts w:ascii="Arial" w:cs="Arial" w:eastAsia="Arial" w:hAnsi="Arial"/>
          <w:sz w:val="22"/>
          <w:szCs w:val="22"/>
          <w:color w:val="auto"/>
        </w:rPr>
        <w:t>Each of the following shall be conditions precedent to any Increase of the Total Commitments and the Maximum Revolver Amount:</w:t>
      </w:r>
    </w:p>
    <w:p>
      <w:pPr>
        <w:spacing w:after="0" w:line="175" w:lineRule="exact"/>
        <w:rPr>
          <w:sz w:val="20"/>
          <w:szCs w:val="20"/>
          <w:color w:val="auto"/>
        </w:rPr>
      </w:pPr>
    </w:p>
    <w:p>
      <w:pPr>
        <w:jc w:val="both"/>
        <w:ind w:left="800" w:right="1660" w:hanging="731"/>
        <w:spacing w:after="0" w:line="249" w:lineRule="auto"/>
        <w:tabs>
          <w:tab w:leader="none" w:pos="1475"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Agent or the Borrowers shall have obtained the commitment of one or more Lenders (or other prospective lenders) reasonably satisfactory to the Agent and the Borrowers to provide such Increase and such lenders, each Borrower and the Agent have signed an amendment/joinder agreement to this Agreement, in form and substance reasonably satisfactory to the Agent, to which such lenders, the Borrowers, and the Agent are party,</w:t>
      </w:r>
    </w:p>
    <w:p>
      <w:pPr>
        <w:spacing w:after="0" w:line="178" w:lineRule="exact"/>
        <w:rPr>
          <w:rFonts w:ascii="Arial" w:cs="Arial" w:eastAsia="Arial" w:hAnsi="Arial"/>
          <w:sz w:val="21"/>
          <w:szCs w:val="21"/>
          <w:color w:val="auto"/>
        </w:rPr>
      </w:pPr>
    </w:p>
    <w:p>
      <w:pPr>
        <w:ind w:left="800" w:right="1660" w:hanging="731"/>
        <w:spacing w:after="0" w:line="250" w:lineRule="auto"/>
        <w:tabs>
          <w:tab w:leader="none" w:pos="1475"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 Default shall have occurred and be continuing or would result from the borrowings to be made on the effective date of such Increase,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p>
      <w:pPr>
        <w:jc w:val="both"/>
        <w:ind w:left="800" w:right="1640" w:hanging="731"/>
        <w:spacing w:after="0" w:line="238" w:lineRule="auto"/>
        <w:tabs>
          <w:tab w:leader="none" w:pos="1475"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representations and warranties contained in this Agreement and the other Loan Documents shall be true and correct in all material respects on and as of the date of such Increase, as though made on and as of such date (except to the extent that such representations and warranties relate solely to an earlier date), and</w:t>
      </w:r>
    </w:p>
    <w:p>
      <w:pPr>
        <w:spacing w:after="0" w:line="184" w:lineRule="exact"/>
        <w:rPr>
          <w:rFonts w:ascii="Arial" w:cs="Arial" w:eastAsia="Arial" w:hAnsi="Arial"/>
          <w:sz w:val="22"/>
          <w:szCs w:val="22"/>
          <w:color w:val="auto"/>
        </w:rPr>
      </w:pPr>
    </w:p>
    <w:p>
      <w:pPr>
        <w:jc w:val="both"/>
        <w:ind w:left="800" w:right="1640" w:hanging="731"/>
        <w:spacing w:after="0"/>
        <w:tabs>
          <w:tab w:leader="none" w:pos="1475"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Borrower shall deliver or cause to be delivered officer's certificates and legal opinions of the type delivered on the Restatement Effective Date to the extent reasonably requested by, and in form and substance reasonably satisfactory to, the Agent.</w:t>
      </w:r>
    </w:p>
    <w:p>
      <w:pPr>
        <w:spacing w:after="0" w:line="186" w:lineRule="exact"/>
        <w:rPr>
          <w:sz w:val="20"/>
          <w:szCs w:val="20"/>
          <w:color w:val="auto"/>
        </w:rPr>
      </w:pPr>
    </w:p>
    <w:p>
      <w:pPr>
        <w:jc w:val="both"/>
        <w:ind w:left="800" w:right="1640" w:hanging="731"/>
        <w:spacing w:after="0"/>
        <w:tabs>
          <w:tab w:leader="none" w:pos="1475"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terms and conditions of Advances made pursuant to new Revolver Commitments shall be identical to terms and conditions the Advances, unless otherwise agreed in writing by the Required Lenders.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20" w:type="dxa"/>
            <w:vAlign w:val="bottom"/>
            <w:gridSpan w:val="3"/>
          </w:tcPr>
          <w:p>
            <w:pPr>
              <w:ind w:left="260"/>
              <w:spacing w:after="0"/>
              <w:rPr>
                <w:sz w:val="20"/>
                <w:szCs w:val="20"/>
                <w:color w:val="auto"/>
              </w:rPr>
            </w:pPr>
            <w:r>
              <w:rPr>
                <w:rFonts w:ascii="Arial" w:cs="Arial" w:eastAsia="Arial" w:hAnsi="Arial"/>
                <w:sz w:val="22"/>
                <w:szCs w:val="22"/>
                <w:color w:val="auto"/>
              </w:rPr>
              <w:t>(d)</w:t>
            </w:r>
          </w:p>
        </w:tc>
        <w:tc>
          <w:tcPr>
            <w:tcW w:w="8120" w:type="dxa"/>
            <w:vAlign w:val="bottom"/>
          </w:tcPr>
          <w:p>
            <w:pPr>
              <w:jc w:val="right"/>
              <w:spacing w:after="0"/>
              <w:rPr>
                <w:sz w:val="20"/>
                <w:szCs w:val="20"/>
                <w:color w:val="auto"/>
              </w:rPr>
            </w:pPr>
            <w:r>
              <w:rPr>
                <w:rFonts w:ascii="Arial" w:cs="Arial" w:eastAsia="Arial" w:hAnsi="Arial"/>
                <w:sz w:val="22"/>
                <w:szCs w:val="22"/>
                <w:color w:val="auto"/>
                <w:w w:val="95"/>
              </w:rPr>
              <w:t>Section 6 of the Credit Agreement is hereby amended by adding the following Sections</w:t>
            </w:r>
          </w:p>
        </w:tc>
      </w:tr>
      <w:tr>
        <w:trPr>
          <w:trHeight w:val="274"/>
        </w:trPr>
        <w:tc>
          <w:tcPr>
            <w:tcW w:w="3100" w:type="dxa"/>
            <w:vAlign w:val="bottom"/>
            <w:gridSpan w:val="5"/>
          </w:tcPr>
          <w:p>
            <w:pPr>
              <w:spacing w:after="0"/>
              <w:rPr>
                <w:sz w:val="20"/>
                <w:szCs w:val="20"/>
                <w:color w:val="auto"/>
              </w:rPr>
            </w:pPr>
            <w:r>
              <w:rPr>
                <w:rFonts w:ascii="Arial" w:cs="Arial" w:eastAsia="Arial" w:hAnsi="Arial"/>
                <w:sz w:val="22"/>
                <w:szCs w:val="22"/>
                <w:color w:val="auto"/>
                <w:w w:val="93"/>
              </w:rPr>
              <w:t>5.23 at the end thereof as follows:</w:t>
            </w:r>
          </w:p>
        </w:tc>
        <w:tc>
          <w:tcPr>
            <w:tcW w:w="8120" w:type="dxa"/>
            <w:vAlign w:val="bottom"/>
          </w:tcPr>
          <w:p>
            <w:pPr>
              <w:spacing w:after="0"/>
              <w:rPr>
                <w:sz w:val="23"/>
                <w:szCs w:val="23"/>
                <w:color w:val="auto"/>
              </w:rPr>
            </w:pPr>
          </w:p>
        </w:tc>
      </w:tr>
      <w:tr>
        <w:trPr>
          <w:trHeight w:val="408"/>
        </w:trPr>
        <w:tc>
          <w:tcPr>
            <w:tcW w:w="620" w:type="dxa"/>
            <w:vAlign w:val="bottom"/>
          </w:tcPr>
          <w:p>
            <w:pPr>
              <w:ind w:left="60"/>
              <w:spacing w:after="0"/>
              <w:rPr>
                <w:sz w:val="20"/>
                <w:szCs w:val="20"/>
                <w:color w:val="auto"/>
              </w:rPr>
            </w:pPr>
            <w:r>
              <w:rPr>
                <w:rFonts w:ascii="Arial" w:cs="Arial" w:eastAsia="Arial" w:hAnsi="Arial"/>
                <w:sz w:val="20"/>
                <w:szCs w:val="20"/>
                <w:b w:val="1"/>
                <w:bCs w:val="1"/>
                <w:color w:val="auto"/>
              </w:rPr>
              <w:t>5.23</w:t>
            </w:r>
          </w:p>
        </w:tc>
        <w:tc>
          <w:tcPr>
            <w:tcW w:w="860" w:type="dxa"/>
            <w:vAlign w:val="bottom"/>
          </w:tcPr>
          <w:p>
            <w:pPr>
              <w:spacing w:after="0"/>
              <w:rPr>
                <w:sz w:val="24"/>
                <w:szCs w:val="24"/>
                <w:color w:val="auto"/>
              </w:rPr>
            </w:pPr>
          </w:p>
        </w:tc>
        <w:tc>
          <w:tcPr>
            <w:tcW w:w="9740" w:type="dxa"/>
            <w:vAlign w:val="bottom"/>
            <w:gridSpan w:val="4"/>
          </w:tcPr>
          <w:p>
            <w:pPr>
              <w:jc w:val="right"/>
              <w:ind w:right="1532"/>
              <w:spacing w:after="0"/>
              <w:rPr>
                <w:sz w:val="20"/>
                <w:szCs w:val="20"/>
                <w:color w:val="auto"/>
              </w:rPr>
            </w:pPr>
            <w:r>
              <w:rPr>
                <w:rFonts w:ascii="Arial" w:cs="Arial" w:eastAsia="Arial" w:hAnsi="Arial"/>
                <w:sz w:val="22"/>
                <w:szCs w:val="22"/>
                <w:b w:val="1"/>
                <w:bCs w:val="1"/>
                <w:color w:val="auto"/>
                <w:w w:val="95"/>
              </w:rPr>
              <w:t>CARES Debt</w:t>
            </w:r>
            <w:r>
              <w:rPr>
                <w:rFonts w:ascii="Arial" w:cs="Arial" w:eastAsia="Arial" w:hAnsi="Arial"/>
                <w:sz w:val="22"/>
                <w:szCs w:val="22"/>
                <w:color w:val="auto"/>
                <w:w w:val="95"/>
              </w:rPr>
              <w:t>.  All  applications,  documents  and  other  information  submitted  to  any</w:t>
            </w:r>
          </w:p>
        </w:tc>
      </w:tr>
      <w:tr>
        <w:trPr>
          <w:trHeight w:val="20"/>
        </w:trPr>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r>
      <w:tr>
        <w:trPr>
          <w:trHeight w:val="242"/>
        </w:trPr>
        <w:tc>
          <w:tcPr>
            <w:tcW w:w="620" w:type="dxa"/>
            <w:vAlign w:val="bottom"/>
          </w:tcPr>
          <w:p>
            <w:pPr>
              <w:spacing w:after="0"/>
              <w:rPr>
                <w:sz w:val="21"/>
                <w:szCs w:val="21"/>
                <w:color w:val="auto"/>
              </w:rPr>
            </w:pPr>
          </w:p>
        </w:tc>
        <w:tc>
          <w:tcPr>
            <w:tcW w:w="10600" w:type="dxa"/>
            <w:vAlign w:val="bottom"/>
            <w:gridSpan w:val="5"/>
          </w:tcPr>
          <w:p>
            <w:pPr>
              <w:jc w:val="right"/>
              <w:ind w:right="1532"/>
              <w:spacing w:after="0" w:line="242" w:lineRule="exact"/>
              <w:rPr>
                <w:sz w:val="20"/>
                <w:szCs w:val="20"/>
                <w:color w:val="auto"/>
              </w:rPr>
            </w:pPr>
            <w:r>
              <w:rPr>
                <w:rFonts w:ascii="Arial" w:cs="Arial" w:eastAsia="Arial" w:hAnsi="Arial"/>
                <w:sz w:val="22"/>
                <w:szCs w:val="22"/>
                <w:color w:val="auto"/>
                <w:w w:val="96"/>
              </w:rPr>
              <w:t>Governmental Authority with respect to the CARES Debt shall be true and correct in all material</w:t>
            </w:r>
          </w:p>
        </w:tc>
      </w:tr>
      <w:tr>
        <w:trPr>
          <w:trHeight w:val="274"/>
        </w:trPr>
        <w:tc>
          <w:tcPr>
            <w:tcW w:w="620" w:type="dxa"/>
            <w:vAlign w:val="bottom"/>
          </w:tcPr>
          <w:p>
            <w:pPr>
              <w:spacing w:after="0"/>
              <w:rPr>
                <w:sz w:val="23"/>
                <w:szCs w:val="23"/>
                <w:color w:val="auto"/>
              </w:rPr>
            </w:pPr>
          </w:p>
        </w:tc>
        <w:tc>
          <w:tcPr>
            <w:tcW w:w="2480" w:type="dxa"/>
            <w:vAlign w:val="bottom"/>
            <w:gridSpan w:val="4"/>
          </w:tcPr>
          <w:p>
            <w:pPr>
              <w:ind w:left="180"/>
              <w:spacing w:after="0"/>
              <w:rPr>
                <w:sz w:val="20"/>
                <w:szCs w:val="20"/>
                <w:color w:val="auto"/>
              </w:rPr>
            </w:pPr>
            <w:r>
              <w:rPr>
                <w:rFonts w:ascii="Arial" w:cs="Arial" w:eastAsia="Arial" w:hAnsi="Arial"/>
                <w:sz w:val="22"/>
                <w:szCs w:val="22"/>
                <w:color w:val="auto"/>
              </w:rPr>
              <w:t>respects.</w:t>
            </w:r>
          </w:p>
        </w:tc>
        <w:tc>
          <w:tcPr>
            <w:tcW w:w="81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gridSpan w:val="3"/>
          </w:tcPr>
          <w:p>
            <w:pPr>
              <w:ind w:left="260"/>
              <w:spacing w:after="0"/>
              <w:rPr>
                <w:sz w:val="20"/>
                <w:szCs w:val="20"/>
                <w:color w:val="auto"/>
              </w:rPr>
            </w:pPr>
            <w:r>
              <w:rPr>
                <w:rFonts w:ascii="Arial" w:cs="Arial" w:eastAsia="Arial" w:hAnsi="Arial"/>
                <w:sz w:val="22"/>
                <w:szCs w:val="22"/>
                <w:color w:val="auto"/>
              </w:rPr>
              <w:t>(e)</w:t>
            </w:r>
          </w:p>
        </w:tc>
        <w:tc>
          <w:tcPr>
            <w:tcW w:w="8120" w:type="dxa"/>
            <w:vAlign w:val="bottom"/>
          </w:tcPr>
          <w:p>
            <w:pPr>
              <w:jc w:val="right"/>
              <w:spacing w:after="0"/>
              <w:rPr>
                <w:sz w:val="20"/>
                <w:szCs w:val="20"/>
                <w:color w:val="auto"/>
              </w:rPr>
            </w:pPr>
            <w:r>
              <w:rPr>
                <w:rFonts w:ascii="Arial" w:cs="Arial" w:eastAsia="Arial" w:hAnsi="Arial"/>
                <w:sz w:val="22"/>
                <w:szCs w:val="22"/>
                <w:color w:val="auto"/>
                <w:w w:val="95"/>
              </w:rPr>
              <w:t>Section 6 of the Credit Agreement is hereby amended by adding the following Sections</w:t>
            </w:r>
          </w:p>
        </w:tc>
      </w:tr>
      <w:tr>
        <w:trPr>
          <w:trHeight w:val="274"/>
        </w:trPr>
        <w:tc>
          <w:tcPr>
            <w:tcW w:w="3100" w:type="dxa"/>
            <w:vAlign w:val="bottom"/>
            <w:gridSpan w:val="5"/>
          </w:tcPr>
          <w:p>
            <w:pPr>
              <w:spacing w:after="0"/>
              <w:rPr>
                <w:sz w:val="20"/>
                <w:szCs w:val="20"/>
                <w:color w:val="auto"/>
              </w:rPr>
            </w:pPr>
            <w:r>
              <w:rPr>
                <w:rFonts w:ascii="Arial" w:cs="Arial" w:eastAsia="Arial" w:hAnsi="Arial"/>
                <w:sz w:val="22"/>
                <w:szCs w:val="22"/>
                <w:color w:val="auto"/>
                <w:w w:val="93"/>
              </w:rPr>
              <w:t>6.18 at the end thereof as follows:</w:t>
            </w:r>
          </w:p>
        </w:tc>
        <w:tc>
          <w:tcPr>
            <w:tcW w:w="8120" w:type="dxa"/>
            <w:vAlign w:val="bottom"/>
          </w:tcPr>
          <w:p>
            <w:pPr>
              <w:spacing w:after="0"/>
              <w:rPr>
                <w:sz w:val="23"/>
                <w:szCs w:val="23"/>
                <w:color w:val="auto"/>
              </w:rPr>
            </w:pPr>
          </w:p>
        </w:tc>
      </w:tr>
      <w:tr>
        <w:trPr>
          <w:trHeight w:val="408"/>
        </w:trPr>
        <w:tc>
          <w:tcPr>
            <w:tcW w:w="620" w:type="dxa"/>
            <w:vAlign w:val="bottom"/>
          </w:tcPr>
          <w:p>
            <w:pPr>
              <w:ind w:left="60"/>
              <w:spacing w:after="0"/>
              <w:rPr>
                <w:sz w:val="20"/>
                <w:szCs w:val="20"/>
                <w:color w:val="auto"/>
              </w:rPr>
            </w:pPr>
            <w:r>
              <w:rPr>
                <w:rFonts w:ascii="Arial" w:cs="Arial" w:eastAsia="Arial" w:hAnsi="Arial"/>
                <w:sz w:val="22"/>
                <w:szCs w:val="22"/>
                <w:b w:val="1"/>
                <w:bCs w:val="1"/>
                <w:color w:val="auto"/>
              </w:rPr>
              <w:t>6.18</w:t>
            </w:r>
          </w:p>
        </w:tc>
        <w:tc>
          <w:tcPr>
            <w:tcW w:w="8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2"/>
                <w:szCs w:val="22"/>
                <w:b w:val="1"/>
                <w:bCs w:val="1"/>
                <w:color w:val="auto"/>
              </w:rPr>
              <w:t>CARES Debt</w:t>
            </w:r>
            <w:r>
              <w:rPr>
                <w:rFonts w:ascii="Arial" w:cs="Arial" w:eastAsia="Arial" w:hAnsi="Arial"/>
                <w:sz w:val="22"/>
                <w:szCs w:val="22"/>
                <w:color w:val="auto"/>
              </w:rPr>
              <w:t>.</w:t>
            </w:r>
          </w:p>
        </w:tc>
        <w:tc>
          <w:tcPr>
            <w:tcW w:w="81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800" w:right="1640" w:hanging="731"/>
        <w:spacing w:after="0" w:line="238" w:lineRule="auto"/>
        <w:tabs>
          <w:tab w:leader="none" w:pos="1475"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Loan Parties shall provide to Agent (i) a copy of their application for CARES Debt promptly (and in any event within three (3) Business Days) upon submission thereof and (ii) copies of the definitive loan documentation for CARES Debt promptly (and in any event within three (3) Business Days) upon execution and delivery thereof by the parties.</w:t>
      </w:r>
    </w:p>
    <w:p>
      <w:pPr>
        <w:spacing w:after="0" w:line="184" w:lineRule="exact"/>
        <w:rPr>
          <w:rFonts w:ascii="Arial" w:cs="Arial" w:eastAsia="Arial" w:hAnsi="Arial"/>
          <w:sz w:val="22"/>
          <w:szCs w:val="22"/>
          <w:color w:val="auto"/>
        </w:rPr>
      </w:pPr>
    </w:p>
    <w:p>
      <w:pPr>
        <w:jc w:val="both"/>
        <w:ind w:left="800" w:right="1640" w:hanging="731"/>
        <w:spacing w:after="0" w:line="297" w:lineRule="auto"/>
        <w:tabs>
          <w:tab w:leader="none" w:pos="1475" w:val="left"/>
        </w:tabs>
        <w:numPr>
          <w:ilvl w:val="0"/>
          <w:numId w:val="51"/>
        </w:numPr>
        <w:rPr>
          <w:rFonts w:ascii="Arial" w:cs="Arial" w:eastAsia="Arial" w:hAnsi="Arial"/>
          <w:sz w:val="18"/>
          <w:szCs w:val="18"/>
          <w:color w:val="auto"/>
        </w:rPr>
      </w:pPr>
      <w:r>
        <w:rPr>
          <w:rFonts w:ascii="Arial" w:cs="Arial" w:eastAsia="Arial" w:hAnsi="Arial"/>
          <w:sz w:val="19"/>
          <w:szCs w:val="19"/>
          <w:color w:val="auto"/>
        </w:rPr>
        <w:t>The Loan Parties shall timely submit all applications and required documentation necessary or desirable for the lender of the CARES Debt and/or the Small Business Administration to make a determination regarding the amount of the CARES Debt that is eligible to be forgiven.</w:t>
      </w:r>
    </w:p>
    <w:p>
      <w:pPr>
        <w:spacing w:after="0" w:line="133" w:lineRule="exact"/>
        <w:rPr>
          <w:rFonts w:ascii="Arial" w:cs="Arial" w:eastAsia="Arial" w:hAnsi="Arial"/>
          <w:sz w:val="18"/>
          <w:szCs w:val="18"/>
          <w:color w:val="auto"/>
        </w:rPr>
      </w:pPr>
    </w:p>
    <w:p>
      <w:pPr>
        <w:jc w:val="both"/>
        <w:ind w:left="800" w:right="1640" w:hanging="731"/>
        <w:spacing w:after="0" w:line="287" w:lineRule="auto"/>
        <w:tabs>
          <w:tab w:leader="none" w:pos="1475"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Loan Parties shall provide to Agent copies of any amendments, modifications, waivers, supplements or consents executed and delivered with respect to CARES Debt promptly (and in any event within three (3) Business Days) upon execution and delivery thereof, and copies of any notices of default received by any Loan Party with respect to the CARES Debt.</w:t>
      </w:r>
    </w:p>
    <w:p>
      <w:pPr>
        <w:spacing w:after="0" w:line="142" w:lineRule="exact"/>
        <w:rPr>
          <w:rFonts w:ascii="Arial" w:cs="Arial" w:eastAsia="Arial" w:hAnsi="Arial"/>
          <w:sz w:val="19"/>
          <w:szCs w:val="19"/>
          <w:color w:val="auto"/>
        </w:rPr>
      </w:pPr>
    </w:p>
    <w:p>
      <w:pPr>
        <w:ind w:left="1480" w:hanging="1411"/>
        <w:spacing w:after="0"/>
        <w:tabs>
          <w:tab w:leader="none" w:pos="14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800" w:right="1640" w:hanging="731"/>
        <w:spacing w:after="0" w:line="250" w:lineRule="auto"/>
        <w:tabs>
          <w:tab w:leader="none" w:pos="1475"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Loan Parties shall apply the proceeds of the CARES Debt for CARES Act Permitted Purposes before using any other cash on hand to pay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9" w:name="page60"/>
    <w:bookmarkEnd w:id="59"/>
    <w:p>
      <w:pPr>
        <w:jc w:val="both"/>
        <w:ind w:left="800" w:right="1680" w:firstLine="675"/>
        <w:spacing w:after="0"/>
        <w:rPr>
          <w:sz w:val="20"/>
          <w:szCs w:val="20"/>
          <w:color w:val="auto"/>
        </w:rPr>
      </w:pPr>
      <w:r>
        <w:rPr>
          <w:rFonts w:ascii="Arial" w:cs="Arial" w:eastAsia="Arial" w:hAnsi="Arial"/>
          <w:sz w:val="22"/>
          <w:szCs w:val="22"/>
          <w:color w:val="auto"/>
        </w:rPr>
        <w:t>expenses that are CARES Act Permitted Purposes. The Loan Parties shall cause the proceeds of the CARES Debt to be deposited in a Deposit Account that is not subject to the cash dominion of Agent.</w:t>
      </w:r>
    </w:p>
    <w:p>
      <w:pPr>
        <w:spacing w:after="0" w:line="186" w:lineRule="exact"/>
        <w:rPr>
          <w:sz w:val="20"/>
          <w:szCs w:val="20"/>
          <w:color w:val="auto"/>
        </w:rPr>
      </w:pPr>
    </w:p>
    <w:p>
      <w:pPr>
        <w:jc w:val="both"/>
        <w:ind w:left="800" w:right="1680" w:hanging="731"/>
        <w:spacing w:after="0"/>
        <w:tabs>
          <w:tab w:leader="none" w:pos="1475" w:val="left"/>
        </w:tabs>
        <w:numPr>
          <w:ilvl w:val="0"/>
          <w:numId w:val="52"/>
        </w:numPr>
        <w:rPr>
          <w:rFonts w:ascii="Arial" w:cs="Arial" w:eastAsia="Arial" w:hAnsi="Arial"/>
          <w:sz w:val="22"/>
          <w:szCs w:val="22"/>
          <w:color w:val="auto"/>
        </w:rPr>
      </w:pPr>
      <w:r>
        <w:rPr>
          <w:rFonts w:ascii="Arial" w:cs="Arial" w:eastAsia="Arial" w:hAnsi="Arial"/>
          <w:sz w:val="22"/>
          <w:szCs w:val="22"/>
          <w:color w:val="auto"/>
        </w:rPr>
        <w:t>On or prior to the CARES Forgiveness Date, the Loan Parties shall deliver to Agent a written notice of the CARES Debt that will be forgiven pursuant to the provisions of the CARES Act - Title I, together with supporting documentation in respect thereof.</w:t>
      </w:r>
    </w:p>
    <w:p>
      <w:pPr>
        <w:spacing w:after="0" w:line="186" w:lineRule="exact"/>
        <w:rPr>
          <w:sz w:val="20"/>
          <w:szCs w:val="20"/>
          <w:color w:val="auto"/>
        </w:rPr>
      </w:pPr>
    </w:p>
    <w:p>
      <w:pPr>
        <w:ind w:left="1740"/>
        <w:spacing w:after="0"/>
        <w:tabs>
          <w:tab w:leader="none" w:pos="322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Section 7.1 of the Credit Agreement is hereby amended by amending and restating clause</w:t>
      </w:r>
    </w:p>
    <w:p>
      <w:pPr>
        <w:spacing w:after="0" w:line="43" w:lineRule="exact"/>
        <w:rPr>
          <w:sz w:val="20"/>
          <w:szCs w:val="20"/>
          <w:color w:val="auto"/>
        </w:rPr>
      </w:pPr>
    </w:p>
    <w:p>
      <w:pPr>
        <w:ind w:left="300" w:hanging="292"/>
        <w:spacing w:after="0"/>
        <w:tabs>
          <w:tab w:leader="none" w:pos="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thereof in its entirety as follows:</w:t>
      </w:r>
    </w:p>
    <w:p>
      <w:pPr>
        <w:spacing w:after="0" w:line="188" w:lineRule="exact"/>
        <w:rPr>
          <w:rFonts w:ascii="Arial" w:cs="Arial" w:eastAsia="Arial" w:hAnsi="Arial"/>
          <w:sz w:val="22"/>
          <w:szCs w:val="22"/>
          <w:color w:val="auto"/>
        </w:rPr>
      </w:pPr>
    </w:p>
    <w:p>
      <w:pPr>
        <w:jc w:val="both"/>
        <w:ind w:left="800" w:right="1680" w:hanging="731"/>
        <w:spacing w:after="0" w:line="272" w:lineRule="auto"/>
        <w:tabs>
          <w:tab w:leader="none" w:pos="1475" w:val="left"/>
        </w:tabs>
        <w:numPr>
          <w:ilvl w:val="1"/>
          <w:numId w:val="53"/>
        </w:numPr>
        <w:rPr>
          <w:rFonts w:ascii="Arial" w:cs="Arial" w:eastAsia="Arial" w:hAnsi="Arial"/>
          <w:sz w:val="19"/>
          <w:szCs w:val="19"/>
          <w:color w:val="auto"/>
        </w:rPr>
      </w:pPr>
      <w:r>
        <w:rPr>
          <w:rFonts w:ascii="Arial" w:cs="Arial" w:eastAsia="Arial" w:hAnsi="Arial"/>
          <w:sz w:val="19"/>
          <w:szCs w:val="19"/>
          <w:color w:val="auto"/>
        </w:rPr>
        <w:t>unsecured Indebtedness advanced in an aggregate amount not to exceed $10,000,000 by (i) any Governmental Authority (including the Small Business Administration) or any other Person acting as a financial agent of a Governmental Authority or (ii) any other Person to the extent such Indebtedness under this clause (ii) is guaranteed by a Governmental Authority (including the Small Business Administration), in each case under this clause (e), pursuant to the CARES Act - Title I (such unsecured Indebtedness, "</w:t>
      </w:r>
      <w:r>
        <w:rPr>
          <w:rFonts w:ascii="Arial" w:cs="Arial" w:eastAsia="Arial" w:hAnsi="Arial"/>
          <w:sz w:val="19"/>
          <w:szCs w:val="19"/>
          <w:u w:val="single" w:color="auto"/>
          <w:color w:val="auto"/>
        </w:rPr>
        <w:t>CARES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approved by Agent (such approval not to be unreasonably withheld, conditioned and delayed, and which shall be granted to the extent in accordance with any amendments or modifications of the CARES Act or any acts of any Governmental Authority in connection therewith), CARES Debt shall (1) have a maturity date not less than two (2) years after the date of incurrence of the CARES Debt and (2) bear interest at a non-default rate not greater than one percent (1%) per annum (subject to any provisions of such CARES Act Debt that expressly permit any Governmental Authority to modify such rate in accordance with the CARES Act);</w:t>
      </w:r>
    </w:p>
    <w:p>
      <w:pPr>
        <w:sectPr>
          <w:pgSz w:w="11900" w:h="16838" w:orient="portrait"/>
          <w:cols w:equalWidth="0" w:num="1">
            <w:col w:w="11260"/>
          </w:cols>
          <w:pgMar w:left="320" w:top="334" w:right="3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right"/>
        <w:ind w:right="580"/>
        <w:spacing w:after="0"/>
        <w:rPr>
          <w:sz w:val="20"/>
          <w:szCs w:val="20"/>
          <w:color w:val="auto"/>
        </w:rPr>
      </w:pPr>
      <w:r>
        <w:rPr>
          <w:rFonts w:ascii="Arial" w:cs="Arial" w:eastAsia="Arial" w:hAnsi="Arial"/>
          <w:sz w:val="22"/>
          <w:szCs w:val="22"/>
          <w:color w:val="auto"/>
        </w:rPr>
        <w:t>(g)</w:t>
      </w:r>
    </w:p>
    <w:p>
      <w:pPr>
        <w:spacing w:after="0" w:line="8" w:lineRule="exact"/>
        <w:rPr>
          <w:sz w:val="20"/>
          <w:szCs w:val="20"/>
          <w:color w:val="auto"/>
        </w:rPr>
      </w:pPr>
    </w:p>
    <w:p>
      <w:pPr>
        <w:jc w:val="right"/>
        <w:ind w:right="580"/>
        <w:spacing w:after="0"/>
        <w:rPr>
          <w:sz w:val="20"/>
          <w:szCs w:val="20"/>
          <w:color w:val="auto"/>
        </w:rPr>
      </w:pPr>
      <w:r>
        <w:rPr>
          <w:rFonts w:ascii="Arial" w:cs="Arial" w:eastAsia="Arial" w:hAnsi="Arial"/>
          <w:sz w:val="19"/>
          <w:szCs w:val="19"/>
          <w:color w:val="auto"/>
        </w:rPr>
        <w:t>end thereof as follows: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auto"/>
        </w:rPr>
        <w:t>Section 7.8 of the Credit Agreement is hereby amended by inserting a new sentence at the</w:t>
      </w:r>
    </w:p>
    <w:p>
      <w:pPr>
        <w:spacing w:after="0" w:line="461" w:lineRule="exact"/>
        <w:rPr>
          <w:sz w:val="20"/>
          <w:szCs w:val="20"/>
          <w:color w:val="auto"/>
        </w:rPr>
      </w:pPr>
    </w:p>
    <w:p>
      <w:pPr>
        <w:sectPr>
          <w:pgSz w:w="11900" w:h="16838" w:orient="portrait"/>
          <w:cols w:equalWidth="0" w:num="2">
            <w:col w:w="2560" w:space="720"/>
            <w:col w:w="7980"/>
          </w:cols>
          <w:pgMar w:left="320" w:top="334" w:right="319" w:bottom="1440" w:gutter="0" w:footer="0" w:header="0"/>
          <w:type w:val="continuous"/>
        </w:sectPr>
      </w:pPr>
    </w:p>
    <w:p>
      <w:pPr>
        <w:spacing w:after="0" w:line="23" w:lineRule="exact"/>
        <w:rPr>
          <w:sz w:val="20"/>
          <w:szCs w:val="20"/>
          <w:color w:val="auto"/>
        </w:rPr>
      </w:pPr>
    </w:p>
    <w:p>
      <w:pPr>
        <w:ind w:left="880" w:right="880"/>
        <w:spacing w:after="0" w:line="274" w:lineRule="auto"/>
        <w:rPr>
          <w:sz w:val="20"/>
          <w:szCs w:val="20"/>
          <w:color w:val="auto"/>
        </w:rPr>
      </w:pPr>
      <w:r>
        <w:rPr>
          <w:rFonts w:ascii="Arial" w:cs="Arial" w:eastAsia="Arial" w:hAnsi="Arial"/>
          <w:sz w:val="21"/>
          <w:szCs w:val="21"/>
          <w:color w:val="auto"/>
        </w:rPr>
        <w:t>For the avoidance of doubt, nothing in this Section 7.8 shall restrict or prohibit the forgiveness of any CARES Debt or the payment thereof (to the extent unable to be forgiven) in accordance with its terms.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ind w:left="1740"/>
              <w:spacing w:after="0"/>
              <w:rPr>
                <w:sz w:val="20"/>
                <w:szCs w:val="20"/>
                <w:color w:val="auto"/>
              </w:rPr>
            </w:pPr>
            <w:r>
              <w:rPr>
                <w:rFonts w:ascii="Arial" w:cs="Arial" w:eastAsia="Arial" w:hAnsi="Arial"/>
                <w:sz w:val="22"/>
                <w:szCs w:val="22"/>
                <w:color w:val="auto"/>
              </w:rPr>
              <w:t>(h)</w:t>
            </w:r>
          </w:p>
        </w:tc>
        <w:tc>
          <w:tcPr>
            <w:tcW w:w="8380" w:type="dxa"/>
            <w:vAlign w:val="bottom"/>
          </w:tcPr>
          <w:p>
            <w:pPr>
              <w:ind w:left="400"/>
              <w:spacing w:after="0"/>
              <w:rPr>
                <w:sz w:val="20"/>
                <w:szCs w:val="20"/>
                <w:color w:val="auto"/>
              </w:rPr>
            </w:pPr>
            <w:r>
              <w:rPr>
                <w:rFonts w:ascii="Arial" w:cs="Arial" w:eastAsia="Arial" w:hAnsi="Arial"/>
                <w:sz w:val="22"/>
                <w:szCs w:val="22"/>
                <w:color w:val="auto"/>
                <w:w w:val="96"/>
              </w:rPr>
              <w:t>Section 12 of the Credit Agreement is hereby amended to amend and restate in their</w:t>
            </w:r>
          </w:p>
        </w:tc>
      </w:tr>
      <w:tr>
        <w:trPr>
          <w:trHeight w:val="274"/>
        </w:trPr>
        <w:tc>
          <w:tcPr>
            <w:tcW w:w="11260" w:type="dxa"/>
            <w:vAlign w:val="bottom"/>
            <w:gridSpan w:val="2"/>
          </w:tcPr>
          <w:p>
            <w:pPr>
              <w:spacing w:after="0"/>
              <w:rPr>
                <w:sz w:val="20"/>
                <w:szCs w:val="20"/>
                <w:color w:val="auto"/>
              </w:rPr>
            </w:pPr>
            <w:r>
              <w:rPr>
                <w:rFonts w:ascii="Arial" w:cs="Arial" w:eastAsia="Arial" w:hAnsi="Arial"/>
                <w:sz w:val="22"/>
                <w:szCs w:val="22"/>
                <w:color w:val="auto"/>
              </w:rPr>
              <w:t>entirety the notice addresses for Administrative Borrower as set forth below:</w:t>
            </w:r>
          </w:p>
        </w:tc>
      </w:tr>
      <w:tr>
        <w:trPr>
          <w:trHeight w:val="428"/>
        </w:trPr>
        <w:tc>
          <w:tcPr>
            <w:tcW w:w="2880" w:type="dxa"/>
            <w:vAlign w:val="bottom"/>
          </w:tcPr>
          <w:p>
            <w:pPr>
              <w:ind w:left="760"/>
              <w:spacing w:after="0"/>
              <w:rPr>
                <w:sz w:val="20"/>
                <w:szCs w:val="20"/>
                <w:color w:val="auto"/>
              </w:rPr>
            </w:pPr>
            <w:r>
              <w:rPr>
                <w:rFonts w:ascii="Arial" w:cs="Arial" w:eastAsia="Arial" w:hAnsi="Arial"/>
                <w:sz w:val="22"/>
                <w:szCs w:val="22"/>
                <w:color w:val="auto"/>
              </w:rPr>
              <w:t>If to Administrative</w:t>
            </w:r>
          </w:p>
        </w:tc>
        <w:tc>
          <w:tcPr>
            <w:tcW w:w="8380" w:type="dxa"/>
            <w:vAlign w:val="bottom"/>
          </w:tcPr>
          <w:p>
            <w:pPr>
              <w:ind w:left="2300"/>
              <w:spacing w:after="0"/>
              <w:rPr>
                <w:sz w:val="20"/>
                <w:szCs w:val="20"/>
                <w:color w:val="auto"/>
              </w:rPr>
            </w:pPr>
            <w:r>
              <w:rPr>
                <w:rFonts w:ascii="Arial" w:cs="Arial" w:eastAsia="Arial" w:hAnsi="Arial"/>
                <w:sz w:val="22"/>
                <w:szCs w:val="22"/>
                <w:b w:val="1"/>
                <w:bCs w:val="1"/>
                <w:color w:val="auto"/>
              </w:rPr>
              <w:t>LSB INDUSTRIES, INC.</w:t>
            </w:r>
          </w:p>
        </w:tc>
      </w:tr>
      <w:tr>
        <w:trPr>
          <w:trHeight w:val="243"/>
        </w:trPr>
        <w:tc>
          <w:tcPr>
            <w:tcW w:w="2880" w:type="dxa"/>
            <w:vAlign w:val="bottom"/>
          </w:tcPr>
          <w:p>
            <w:pPr>
              <w:ind w:left="760"/>
              <w:spacing w:after="0" w:line="243" w:lineRule="exact"/>
              <w:rPr>
                <w:sz w:val="20"/>
                <w:szCs w:val="20"/>
                <w:color w:val="auto"/>
              </w:rPr>
            </w:pPr>
            <w:r>
              <w:rPr>
                <w:rFonts w:ascii="Arial" w:cs="Arial" w:eastAsia="Arial" w:hAnsi="Arial"/>
                <w:sz w:val="22"/>
                <w:szCs w:val="22"/>
                <w:color w:val="auto"/>
              </w:rPr>
              <w:t>Borrower:</w:t>
            </w:r>
          </w:p>
        </w:tc>
        <w:tc>
          <w:tcPr>
            <w:tcW w:w="8380" w:type="dxa"/>
            <w:vAlign w:val="bottom"/>
          </w:tcPr>
          <w:p>
            <w:pPr>
              <w:ind w:left="2300"/>
              <w:spacing w:after="0" w:line="243" w:lineRule="exact"/>
              <w:rPr>
                <w:sz w:val="20"/>
                <w:szCs w:val="20"/>
                <w:color w:val="auto"/>
              </w:rPr>
            </w:pPr>
            <w:r>
              <w:rPr>
                <w:rFonts w:ascii="Arial" w:cs="Arial" w:eastAsia="Arial" w:hAnsi="Arial"/>
                <w:sz w:val="22"/>
                <w:szCs w:val="22"/>
                <w:color w:val="auto"/>
              </w:rPr>
              <w:t>3503 NW 63rd Street, Suite 500</w:t>
            </w:r>
          </w:p>
        </w:tc>
      </w:tr>
      <w:tr>
        <w:trPr>
          <w:trHeight w:val="243"/>
        </w:trPr>
        <w:tc>
          <w:tcPr>
            <w:tcW w:w="2880" w:type="dxa"/>
            <w:vAlign w:val="bottom"/>
          </w:tcPr>
          <w:p>
            <w:pPr>
              <w:spacing w:after="0"/>
              <w:rPr>
                <w:sz w:val="21"/>
                <w:szCs w:val="21"/>
                <w:color w:val="auto"/>
              </w:rPr>
            </w:pPr>
          </w:p>
        </w:tc>
        <w:tc>
          <w:tcPr>
            <w:tcW w:w="8380" w:type="dxa"/>
            <w:vAlign w:val="bottom"/>
          </w:tcPr>
          <w:p>
            <w:pPr>
              <w:ind w:left="2300"/>
              <w:spacing w:after="0" w:line="243" w:lineRule="exact"/>
              <w:rPr>
                <w:sz w:val="20"/>
                <w:szCs w:val="20"/>
                <w:color w:val="auto"/>
              </w:rPr>
            </w:pPr>
            <w:r>
              <w:rPr>
                <w:rFonts w:ascii="Arial" w:cs="Arial" w:eastAsia="Arial" w:hAnsi="Arial"/>
                <w:sz w:val="22"/>
                <w:szCs w:val="22"/>
                <w:color w:val="auto"/>
              </w:rPr>
              <w:t>Oklahoma City, Oklahoma 73116</w:t>
            </w:r>
          </w:p>
        </w:tc>
      </w:tr>
      <w:tr>
        <w:trPr>
          <w:trHeight w:val="243"/>
        </w:trPr>
        <w:tc>
          <w:tcPr>
            <w:tcW w:w="2880" w:type="dxa"/>
            <w:vAlign w:val="bottom"/>
          </w:tcPr>
          <w:p>
            <w:pPr>
              <w:spacing w:after="0"/>
              <w:rPr>
                <w:sz w:val="21"/>
                <w:szCs w:val="21"/>
                <w:color w:val="auto"/>
              </w:rPr>
            </w:pPr>
          </w:p>
        </w:tc>
        <w:tc>
          <w:tcPr>
            <w:tcW w:w="8380" w:type="dxa"/>
            <w:vAlign w:val="bottom"/>
          </w:tcPr>
          <w:p>
            <w:pPr>
              <w:ind w:left="2300"/>
              <w:spacing w:after="0" w:line="243" w:lineRule="exact"/>
              <w:rPr>
                <w:sz w:val="20"/>
                <w:szCs w:val="20"/>
                <w:color w:val="auto"/>
              </w:rPr>
            </w:pPr>
            <w:r>
              <w:rPr>
                <w:rFonts w:ascii="Arial" w:cs="Arial" w:eastAsia="Arial" w:hAnsi="Arial"/>
                <w:sz w:val="22"/>
                <w:szCs w:val="22"/>
                <w:color w:val="auto"/>
              </w:rPr>
              <w:t>Attn:Cheryl Maguire</w:t>
            </w:r>
          </w:p>
        </w:tc>
      </w:tr>
      <w:tr>
        <w:trPr>
          <w:trHeight w:val="243"/>
        </w:trPr>
        <w:tc>
          <w:tcPr>
            <w:tcW w:w="2880" w:type="dxa"/>
            <w:vAlign w:val="bottom"/>
          </w:tcPr>
          <w:p>
            <w:pPr>
              <w:spacing w:after="0"/>
              <w:rPr>
                <w:sz w:val="21"/>
                <w:szCs w:val="21"/>
                <w:color w:val="auto"/>
              </w:rPr>
            </w:pPr>
          </w:p>
        </w:tc>
        <w:tc>
          <w:tcPr>
            <w:tcW w:w="8380" w:type="dxa"/>
            <w:vAlign w:val="bottom"/>
          </w:tcPr>
          <w:p>
            <w:pPr>
              <w:ind w:left="2300"/>
              <w:spacing w:after="0" w:line="243" w:lineRule="exact"/>
              <w:rPr>
                <w:sz w:val="20"/>
                <w:szCs w:val="20"/>
                <w:color w:val="auto"/>
              </w:rPr>
            </w:pPr>
            <w:r>
              <w:rPr>
                <w:rFonts w:ascii="Arial" w:cs="Arial" w:eastAsia="Arial" w:hAnsi="Arial"/>
                <w:sz w:val="22"/>
                <w:szCs w:val="22"/>
                <w:color w:val="auto"/>
              </w:rPr>
              <w:t>Kristy Carver</w:t>
            </w:r>
          </w:p>
        </w:tc>
      </w:tr>
      <w:tr>
        <w:trPr>
          <w:trHeight w:val="274"/>
        </w:trPr>
        <w:tc>
          <w:tcPr>
            <w:tcW w:w="2880" w:type="dxa"/>
            <w:vAlign w:val="bottom"/>
          </w:tcPr>
          <w:p>
            <w:pPr>
              <w:spacing w:after="0"/>
              <w:rPr>
                <w:sz w:val="23"/>
                <w:szCs w:val="23"/>
                <w:color w:val="auto"/>
              </w:rPr>
            </w:pPr>
          </w:p>
        </w:tc>
        <w:tc>
          <w:tcPr>
            <w:tcW w:w="8380" w:type="dxa"/>
            <w:vAlign w:val="bottom"/>
          </w:tcPr>
          <w:p>
            <w:pPr>
              <w:ind w:left="2300"/>
              <w:spacing w:after="0"/>
              <w:rPr>
                <w:sz w:val="20"/>
                <w:szCs w:val="20"/>
                <w:color w:val="auto"/>
              </w:rPr>
            </w:pPr>
            <w:r>
              <w:rPr>
                <w:rFonts w:ascii="Arial" w:cs="Arial" w:eastAsia="Arial" w:hAnsi="Arial"/>
                <w:sz w:val="22"/>
                <w:szCs w:val="22"/>
                <w:color w:val="auto"/>
              </w:rPr>
              <w:t>Fax No. (405) 235-5067</w:t>
            </w:r>
          </w:p>
        </w:tc>
      </w:tr>
      <w:tr>
        <w:trPr>
          <w:trHeight w:val="675"/>
        </w:trPr>
        <w:tc>
          <w:tcPr>
            <w:tcW w:w="2880" w:type="dxa"/>
            <w:vAlign w:val="bottom"/>
          </w:tcPr>
          <w:p>
            <w:pPr>
              <w:spacing w:after="0"/>
              <w:rPr>
                <w:sz w:val="24"/>
                <w:szCs w:val="24"/>
                <w:color w:val="auto"/>
              </w:rPr>
            </w:pPr>
          </w:p>
        </w:tc>
        <w:tc>
          <w:tcPr>
            <w:tcW w:w="8380" w:type="dxa"/>
            <w:vAlign w:val="bottom"/>
          </w:tcPr>
          <w:p>
            <w:pPr>
              <w:ind w:left="2620"/>
              <w:spacing w:after="0"/>
              <w:rPr>
                <w:sz w:val="20"/>
                <w:szCs w:val="20"/>
                <w:color w:val="auto"/>
              </w:rPr>
            </w:pPr>
            <w:r>
              <w:rPr>
                <w:rFonts w:ascii="Arial" w:cs="Arial" w:eastAsia="Arial" w:hAnsi="Arial"/>
                <w:sz w:val="22"/>
                <w:szCs w:val="22"/>
                <w:color w:val="auto"/>
              </w:rPr>
              <w:t>-5-</w:t>
            </w:r>
          </w:p>
        </w:tc>
      </w:tr>
      <w:tr>
        <w:trPr>
          <w:trHeight w:val="105"/>
        </w:trPr>
        <w:tc>
          <w:tcPr>
            <w:tcW w:w="2880" w:type="dxa"/>
            <w:vAlign w:val="bottom"/>
            <w:tcBorders>
              <w:bottom w:val="single" w:sz="8" w:color="9A9A9A"/>
            </w:tcBorders>
          </w:tcPr>
          <w:p>
            <w:pPr>
              <w:spacing w:after="0"/>
              <w:rPr>
                <w:sz w:val="9"/>
                <w:szCs w:val="9"/>
                <w:color w:val="auto"/>
              </w:rPr>
            </w:pPr>
          </w:p>
        </w:tc>
        <w:tc>
          <w:tcPr>
            <w:tcW w:w="8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type w:val="continuous"/>
        </w:sectPr>
      </w:pPr>
    </w:p>
    <w:bookmarkStart w:id="60" w:name="page61"/>
    <w:bookmarkEnd w:id="60"/>
    <w:p>
      <w:pPr>
        <w:spacing w:after="0" w:line="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LSB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3503 NW 63rd Street, Suite 500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Oklahoma City, Oklahoma 73116</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Attn:Michael J. Foster, Esq.</w:t>
      </w:r>
    </w:p>
    <w:p>
      <w:pPr>
        <w:spacing w:after="0"/>
        <w:rPr>
          <w:sz w:val="20"/>
          <w:szCs w:val="20"/>
          <w:color w:val="auto"/>
        </w:rPr>
      </w:pPr>
      <w:r>
        <w:rPr>
          <w:rFonts w:ascii="Arial" w:cs="Arial" w:eastAsia="Arial" w:hAnsi="Arial"/>
          <w:sz w:val="22"/>
          <w:szCs w:val="22"/>
          <w:color w:val="auto"/>
        </w:rPr>
        <w:t>Fax No. (405) 235-5067</w:t>
      </w:r>
    </w:p>
    <w:p>
      <w:pPr>
        <w:spacing w:after="0" w:line="182" w:lineRule="exact"/>
        <w:rPr>
          <w:sz w:val="20"/>
          <w:szCs w:val="20"/>
          <w:color w:val="auto"/>
        </w:rPr>
      </w:pPr>
    </w:p>
    <w:p>
      <w:pPr>
        <w:sectPr>
          <w:pgSz w:w="11900" w:h="16838" w:orient="portrait"/>
          <w:cols w:equalWidth="0" w:num="2">
            <w:col w:w="4460" w:space="720"/>
            <w:col w:w="6060"/>
          </w:cols>
          <w:pgMar w:left="320" w:top="328" w:right="339" w:bottom="1440" w:gutter="0" w:footer="0" w:header="0"/>
        </w:sectPr>
      </w:pPr>
    </w:p>
    <w:p>
      <w:pPr>
        <w:spacing w:after="0" w:line="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(not constituting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ROPES &amp; GRAY LLP</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1211 Avenue of the Americas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10036</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Attn:Leonard Klingbaum</w:t>
      </w:r>
    </w:p>
    <w:p>
      <w:pPr>
        <w:spacing w:after="0" w:line="230" w:lineRule="auto"/>
        <w:rPr>
          <w:sz w:val="20"/>
          <w:szCs w:val="20"/>
          <w:color w:val="auto"/>
        </w:rPr>
      </w:pPr>
      <w:r>
        <w:rPr>
          <w:rFonts w:ascii="Arial" w:cs="Arial" w:eastAsia="Arial" w:hAnsi="Arial"/>
          <w:sz w:val="22"/>
          <w:szCs w:val="22"/>
          <w:color w:val="auto"/>
        </w:rPr>
        <w:t>Andrea Hwang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No. (646) 728-2694</w:t>
      </w:r>
    </w:p>
    <w:p>
      <w:pPr>
        <w:spacing w:after="0" w:line="1" w:lineRule="exact"/>
        <w:rPr>
          <w:sz w:val="20"/>
          <w:szCs w:val="20"/>
          <w:color w:val="auto"/>
        </w:rPr>
      </w:pPr>
    </w:p>
    <w:p>
      <w:pPr>
        <w:sectPr>
          <w:pgSz w:w="11900" w:h="16838" w:orient="portrait"/>
          <w:cols w:equalWidth="0" w:num="2">
            <w:col w:w="4460" w:space="720"/>
            <w:col w:w="6060"/>
          </w:cols>
          <w:pgMar w:left="320" w:top="328" w:right="339" w:bottom="1440" w:gutter="0" w:footer="0" w:header="0"/>
          <w:type w:val="continuous"/>
        </w:sectPr>
      </w:pPr>
    </w:p>
    <w:p>
      <w:pPr>
        <w:ind w:left="5800" w:hanging="514"/>
        <w:spacing w:after="0" w:line="233" w:lineRule="auto"/>
        <w:tabs>
          <w:tab w:leader="none" w:pos="58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728-2695</w:t>
      </w:r>
    </w:p>
    <w:p>
      <w:pPr>
        <w:spacing w:after="0" w:line="185" w:lineRule="exact"/>
        <w:rPr>
          <w:rFonts w:ascii="Arial" w:cs="Arial" w:eastAsia="Arial" w:hAnsi="Arial"/>
          <w:sz w:val="22"/>
          <w:szCs w:val="22"/>
          <w:color w:val="auto"/>
        </w:rPr>
      </w:pPr>
    </w:p>
    <w:p>
      <w:pPr>
        <w:jc w:val="both"/>
        <w:ind w:firstLine="1735"/>
        <w:spacing w:after="0" w:line="287" w:lineRule="auto"/>
        <w:tabs>
          <w:tab w:leader="none" w:pos="2537"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Continuing Effect</w:t>
      </w:r>
      <w:r>
        <w:rPr>
          <w:rFonts w:ascii="Arial" w:cs="Arial" w:eastAsia="Arial" w:hAnsi="Arial"/>
          <w:sz w:val="19"/>
          <w:szCs w:val="19"/>
          <w:color w:val="auto"/>
        </w:rPr>
        <w:t>. Except as expressly set forth in Section 2 of this Amendment, nothing in this Amendment shall constitute a modification or alteration of the terms, conditions or covenants of the Credit Agreement or any other Loan Document, or a waiver of any other terms or provisions thereof, and the Credit Agreement and the other Loan Documents shall remain unchanged and shall continue in full force and effect, in each case as amended hereby.</w:t>
      </w:r>
    </w:p>
    <w:p>
      <w:pPr>
        <w:spacing w:after="0" w:line="142" w:lineRule="exact"/>
        <w:rPr>
          <w:rFonts w:ascii="Arial" w:cs="Arial" w:eastAsia="Arial" w:hAnsi="Arial"/>
          <w:sz w:val="19"/>
          <w:szCs w:val="19"/>
          <w:color w:val="auto"/>
        </w:rPr>
      </w:pPr>
    </w:p>
    <w:p>
      <w:pPr>
        <w:jc w:val="both"/>
        <w:ind w:firstLine="1735"/>
        <w:spacing w:after="0" w:line="279" w:lineRule="auto"/>
        <w:tabs>
          <w:tab w:leader="none" w:pos="2537"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Reaffirmation and Confirmation</w:t>
      </w:r>
      <w:r>
        <w:rPr>
          <w:rFonts w:ascii="Arial" w:cs="Arial" w:eastAsia="Arial" w:hAnsi="Arial"/>
          <w:sz w:val="19"/>
          <w:szCs w:val="19"/>
          <w:color w:val="auto"/>
        </w:rPr>
        <w:t>. Each Loan Party hereby ratifies, affirms, acknowledges and agrees that the Credit Agreement and the other Loan Documents to which it is a party represent the valid, enforceable and collectible obligations of such Loan Party, and further acknowledges that there are no existing claims, defenses, personal or otherwise, or rights of setoff whatsoever with respect to the Credit Agreement or any other Loan Document. Each Loan Party hereby agrees that this Amendment in no way acts as a release or relinquishment of the Liens and rights securing payments of the Obligations. The Liens and rights securing payment of the Obligations are hereby ratified and confirmed by each Loan Party in all respects.</w:t>
      </w:r>
    </w:p>
    <w:p>
      <w:pPr>
        <w:spacing w:after="0" w:line="150" w:lineRule="exact"/>
        <w:rPr>
          <w:rFonts w:ascii="Arial" w:cs="Arial" w:eastAsia="Arial" w:hAnsi="Arial"/>
          <w:sz w:val="19"/>
          <w:szCs w:val="19"/>
          <w:color w:val="auto"/>
        </w:rPr>
      </w:pPr>
    </w:p>
    <w:p>
      <w:pPr>
        <w:jc w:val="both"/>
        <w:ind w:firstLine="1735"/>
        <w:spacing w:after="0" w:line="257" w:lineRule="auto"/>
        <w:tabs>
          <w:tab w:leader="none" w:pos="2537"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This Amendment shall become effective, and the amendments to the Credit Agreement set forth in Section 2 above shall become operative, as of the date hereof upon Agent's receipt of a copy of this Amendment executed and delivered by Agent, the Lenders and the Loan Parties.</w:t>
      </w:r>
    </w:p>
    <w:p>
      <w:pPr>
        <w:spacing w:after="0" w:line="169" w:lineRule="exact"/>
        <w:rPr>
          <w:rFonts w:ascii="Arial" w:cs="Arial" w:eastAsia="Arial" w:hAnsi="Arial"/>
          <w:sz w:val="21"/>
          <w:szCs w:val="21"/>
          <w:color w:val="auto"/>
        </w:rPr>
      </w:pPr>
    </w:p>
    <w:p>
      <w:pPr>
        <w:ind w:right="20" w:firstLine="1735"/>
        <w:spacing w:after="0" w:line="250" w:lineRule="auto"/>
        <w:tabs>
          <w:tab w:leader="none" w:pos="2537"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In order to induce Agent and the Lenders to enter into this Amendment, each Loan Party hereby represents and warrants to Agent and the Lenders that:</w:t>
      </w:r>
    </w:p>
    <w:p>
      <w:pPr>
        <w:spacing w:after="0" w:line="175"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(a) after giving effect to this Amendment, all representations and warranties contained in the Loan Documents to which such Loan Party is a party are true, correct and complete in all material respects (except that such materiality qualifier shall not be applicable to any representations and warranties that already are qualified or modified by materiality in the text thereof) on and as of the date of this Amendment, as though made on and as of such date (except to the extent that such representations and warranties relate solely to an earlier date, in which case such representations and warranties shall be true, correct and complete in all material respects (except that such materiality qualifier shall not be applicable to any representations and warranties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9"/>
          <w:szCs w:val="19"/>
          <w:color w:val="auto"/>
        </w:rPr>
        <w:t>that already are qualified or modified by materiality in the text thereof) on and as of such earlier date);</w:t>
      </w:r>
    </w:p>
    <w:p>
      <w:pPr>
        <w:sectPr>
          <w:pgSz w:w="11900" w:h="16838" w:orient="portrait"/>
          <w:cols w:equalWidth="0" w:num="1">
            <w:col w:w="11240"/>
          </w:cols>
          <w:pgMar w:left="320" w:top="334" w:right="339" w:bottom="1440" w:gutter="0" w:footer="0" w:header="0"/>
        </w:sect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(b)</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Amendment becomes effective; and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no Default or Event of Default has occurred and is continuing or will exist after this</w:t>
      </w:r>
    </w:p>
    <w:p>
      <w:pPr>
        <w:spacing w:after="0" w:line="438" w:lineRule="exact"/>
        <w:rPr>
          <w:sz w:val="20"/>
          <w:szCs w:val="20"/>
          <w:color w:val="auto"/>
        </w:rPr>
      </w:pPr>
    </w:p>
    <w:p>
      <w:pPr>
        <w:sectPr>
          <w:pgSz w:w="11900" w:h="16838" w:orient="portrait"/>
          <w:cols w:equalWidth="0" w:num="2">
            <w:col w:w="3120" w:space="160"/>
            <w:col w:w="7960"/>
          </w:cols>
          <w:pgMar w:left="320" w:top="334" w:right="339" w:bottom="1440" w:gutter="0" w:footer="0" w:header="0"/>
          <w:type w:val="continuous"/>
        </w:sectPr>
      </w:pPr>
    </w:p>
    <w:p>
      <w:pPr>
        <w:spacing w:after="0" w:line="23" w:lineRule="exact"/>
        <w:rPr>
          <w:sz w:val="20"/>
          <w:szCs w:val="20"/>
          <w:color w:val="auto"/>
        </w:rPr>
      </w:pPr>
    </w:p>
    <w:p>
      <w:pPr>
        <w:ind w:left="1740"/>
        <w:spacing w:after="0"/>
        <w:tabs>
          <w:tab w:leader="none" w:pos="326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this Amendment and the Loan Documents, as amended hereby, constitute legal, valid and</w:t>
      </w:r>
    </w:p>
    <w:p>
      <w:pPr>
        <w:sectPr>
          <w:pgSz w:w="11900" w:h="16838" w:orient="portrait"/>
          <w:cols w:equalWidth="0" w:num="1">
            <w:col w:w="11240"/>
          </w:cols>
          <w:pgMar w:left="320" w:top="334"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binding obligations of such Loan Party and are enforceable against such Loan Party in accordance with their respective terms, except as enforcement may be limited by equitable principles or by bankruptcy, insolvency, reorganization, moratorium or similar laws relating to or limiting creditors' rights generally.</w:t>
      </w:r>
    </w:p>
    <w:p>
      <w:pPr>
        <w:spacing w:after="0" w:line="186" w:lineRule="exact"/>
        <w:rPr>
          <w:sz w:val="20"/>
          <w:szCs w:val="20"/>
          <w:color w:val="auto"/>
        </w:rPr>
      </w:pPr>
    </w:p>
    <w:p>
      <w:pPr>
        <w:ind w:left="2540" w:hanging="805"/>
        <w:spacing w:after="0"/>
        <w:tabs>
          <w:tab w:leader="none" w:pos="25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Expenses</w:t>
      </w:r>
      <w:r>
        <w:rPr>
          <w:rFonts w:ascii="Arial" w:cs="Arial" w:eastAsia="Arial" w:hAnsi="Arial"/>
          <w:sz w:val="22"/>
          <w:szCs w:val="22"/>
          <w:color w:val="auto"/>
        </w:rPr>
        <w:t>. The Borrowers jointly and severally agree to pay, promptly after demand therefor is made by Agent, all reasonable and documented out-of-pocket costs and expenses of Agent (including reasonable attorneys' fees of a single firm of counsel to Agent) incurred in connection with the preparation, negotiation, execution, delivery and administration of this Amendment and all other instruments or documents provided for herein or delivered or to be delivered hereunder or in connection herewith. All obligations provided herein shall survive any termination of this Amendment and the Credit Agreement as amended hereby.</w:t>
      </w:r>
    </w:p>
    <w:p>
      <w:pPr>
        <w:spacing w:after="0" w:line="188" w:lineRule="exact"/>
        <w:rPr>
          <w:sz w:val="20"/>
          <w:szCs w:val="20"/>
          <w:color w:val="auto"/>
        </w:rPr>
      </w:pPr>
    </w:p>
    <w:p>
      <w:pPr>
        <w:ind w:left="1740"/>
        <w:spacing w:after="0"/>
        <w:tabs>
          <w:tab w:leader="none" w:pos="32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Choice of Law and Venue; Jury Trial Waiver; Reference Provision</w:t>
      </w:r>
      <w:r>
        <w:rPr>
          <w:rFonts w:ascii="Arial" w:cs="Arial" w:eastAsia="Arial" w:hAnsi="Arial"/>
          <w:sz w:val="19"/>
          <w:szCs w:val="19"/>
          <w:color w:val="auto"/>
        </w:rPr>
        <w:t>. Without limiting the</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applicability of any other provision of the Credit Agreement or any other Loan Document, the terms and provisions set forth in Section 13 of the Credit Agreement are expressly incorporated herein by reference.</w:t>
      </w:r>
    </w:p>
    <w:p>
      <w:pPr>
        <w:spacing w:after="0" w:line="187"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counterparts, and by the parties hereto on the same or separate counterparts, and each such counterpart, when executed and delivered, shall be deemed to be an original, but all such counterparts shall together constitute but one and the same Amendment.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62" w:name="page63"/>
    <w:bookmarkEnd w:id="62"/>
    <w:p>
      <w:pPr>
        <w:ind w:firstLine="1727"/>
        <w:spacing w:after="0" w:line="250" w:lineRule="auto"/>
        <w:rPr>
          <w:sz w:val="20"/>
          <w:szCs w:val="20"/>
          <w:color w:val="auto"/>
        </w:rPr>
      </w:pPr>
      <w:r>
        <w:rPr>
          <w:rFonts w:ascii="Arial" w:cs="Arial" w:eastAsia="Arial" w:hAnsi="Arial"/>
          <w:sz w:val="22"/>
          <w:szCs w:val="22"/>
          <w:color w:val="auto"/>
        </w:rPr>
        <w:t>IN WITNESS WHEREOF, the parties hereto have caused this Amendment to be executed by their respective officers thereunto duly authorized and delivered as of the date first above written.</w:t>
      </w: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BORROWERS:</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LSB INDUSTRIES, INC.</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CHEMEX I CORP.</w:t>
      </w:r>
    </w:p>
    <w:p>
      <w:pPr>
        <w:ind w:left="5200"/>
        <w:spacing w:after="0" w:line="230" w:lineRule="auto"/>
        <w:rPr>
          <w:sz w:val="20"/>
          <w:szCs w:val="20"/>
          <w:color w:val="auto"/>
        </w:rPr>
      </w:pPr>
      <w:r>
        <w:rPr>
          <w:rFonts w:ascii="Arial" w:cs="Arial" w:eastAsia="Arial" w:hAnsi="Arial"/>
          <w:sz w:val="22"/>
          <w:szCs w:val="22"/>
          <w:b w:val="1"/>
          <w:bCs w:val="1"/>
          <w:color w:val="auto"/>
        </w:rPr>
        <w:t>CHEROKEE NITROGEN LLC</w:t>
      </w:r>
    </w:p>
    <w:p>
      <w:pPr>
        <w:ind w:left="5200"/>
        <w:spacing w:after="0" w:line="231" w:lineRule="auto"/>
        <w:rPr>
          <w:sz w:val="20"/>
          <w:szCs w:val="20"/>
          <w:color w:val="auto"/>
        </w:rPr>
      </w:pPr>
      <w:r>
        <w:rPr>
          <w:rFonts w:ascii="Arial" w:cs="Arial" w:eastAsia="Arial" w:hAnsi="Arial"/>
          <w:sz w:val="22"/>
          <w:szCs w:val="22"/>
          <w:b w:val="1"/>
          <w:bCs w:val="1"/>
          <w:color w:val="auto"/>
        </w:rPr>
        <w:t>EDC AG PRODUCTS COMPANY L.L.C.</w:t>
      </w:r>
    </w:p>
    <w:p>
      <w:pPr>
        <w:ind w:left="5200"/>
        <w:spacing w:after="0" w:line="230" w:lineRule="auto"/>
        <w:rPr>
          <w:sz w:val="20"/>
          <w:szCs w:val="20"/>
          <w:color w:val="auto"/>
        </w:rPr>
      </w:pPr>
      <w:r>
        <w:rPr>
          <w:rFonts w:ascii="Arial" w:cs="Arial" w:eastAsia="Arial" w:hAnsi="Arial"/>
          <w:sz w:val="22"/>
          <w:szCs w:val="22"/>
          <w:b w:val="1"/>
          <w:bCs w:val="1"/>
          <w:color w:val="auto"/>
        </w:rPr>
        <w:t>EL DORADO AMMONIA L.L.C.</w:t>
      </w:r>
    </w:p>
    <w:p>
      <w:pPr>
        <w:ind w:left="5200"/>
        <w:spacing w:after="0" w:line="231" w:lineRule="auto"/>
        <w:rPr>
          <w:sz w:val="20"/>
          <w:szCs w:val="20"/>
          <w:color w:val="auto"/>
        </w:rPr>
      </w:pPr>
      <w:r>
        <w:rPr>
          <w:rFonts w:ascii="Arial" w:cs="Arial" w:eastAsia="Arial" w:hAnsi="Arial"/>
          <w:sz w:val="22"/>
          <w:szCs w:val="22"/>
          <w:b w:val="1"/>
          <w:bCs w:val="1"/>
          <w:color w:val="auto"/>
        </w:rPr>
        <w:t>EL DORADO CHEMICAL COMPANY</w:t>
      </w:r>
    </w:p>
    <w:p>
      <w:pPr>
        <w:ind w:left="5200"/>
        <w:spacing w:after="0" w:line="230" w:lineRule="auto"/>
        <w:rPr>
          <w:sz w:val="20"/>
          <w:szCs w:val="20"/>
          <w:color w:val="auto"/>
        </w:rPr>
      </w:pPr>
      <w:r>
        <w:rPr>
          <w:rFonts w:ascii="Arial" w:cs="Arial" w:eastAsia="Arial" w:hAnsi="Arial"/>
          <w:sz w:val="22"/>
          <w:szCs w:val="22"/>
          <w:b w:val="1"/>
          <w:bCs w:val="1"/>
          <w:color w:val="auto"/>
        </w:rPr>
        <w:t>EL DORADO NITROGEN, L.L.C.</w:t>
      </w:r>
    </w:p>
    <w:p>
      <w:pPr>
        <w:ind w:left="5200"/>
        <w:spacing w:after="0" w:line="231" w:lineRule="auto"/>
        <w:rPr>
          <w:sz w:val="20"/>
          <w:szCs w:val="20"/>
          <w:color w:val="auto"/>
        </w:rPr>
      </w:pPr>
      <w:r>
        <w:rPr>
          <w:rFonts w:ascii="Arial" w:cs="Arial" w:eastAsia="Arial" w:hAnsi="Arial"/>
          <w:sz w:val="22"/>
          <w:szCs w:val="22"/>
          <w:b w:val="1"/>
          <w:bCs w:val="1"/>
          <w:color w:val="auto"/>
        </w:rPr>
        <w:t>LSB CHEMICAL L.L.C.</w:t>
      </w:r>
    </w:p>
    <w:p>
      <w:pPr>
        <w:ind w:left="5200"/>
        <w:spacing w:after="0" w:line="230" w:lineRule="auto"/>
        <w:rPr>
          <w:sz w:val="20"/>
          <w:szCs w:val="20"/>
          <w:color w:val="auto"/>
        </w:rPr>
      </w:pPr>
      <w:r>
        <w:rPr>
          <w:rFonts w:ascii="Arial" w:cs="Arial" w:eastAsia="Arial" w:hAnsi="Arial"/>
          <w:sz w:val="22"/>
          <w:szCs w:val="22"/>
          <w:b w:val="1"/>
          <w:bCs w:val="1"/>
          <w:color w:val="auto"/>
        </w:rPr>
        <w:t>PRYOR CHEMICAL COMPANY</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TRISON CONSTRUCTION, INC.</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K Carver</w:t>
      </w:r>
    </w:p>
    <w:p>
      <w:pPr>
        <w:ind w:left="5200"/>
        <w:spacing w:after="0" w:line="238" w:lineRule="auto"/>
        <w:rPr>
          <w:sz w:val="20"/>
          <w:szCs w:val="20"/>
          <w:color w:val="auto"/>
        </w:rPr>
      </w:pPr>
      <w:r>
        <w:rPr>
          <w:rFonts w:ascii="Arial" w:cs="Arial" w:eastAsia="Arial" w:hAnsi="Arial"/>
          <w:sz w:val="22"/>
          <w:szCs w:val="22"/>
          <w:color w:val="auto"/>
        </w:rPr>
        <w:t>Name:Kristy Carver</w:t>
      </w:r>
    </w:p>
    <w:p>
      <w:pPr>
        <w:ind w:left="5200"/>
        <w:spacing w:after="0" w:line="230" w:lineRule="auto"/>
        <w:rPr>
          <w:sz w:val="20"/>
          <w:szCs w:val="20"/>
          <w:color w:val="auto"/>
        </w:rPr>
      </w:pPr>
      <w:r>
        <w:rPr>
          <w:rFonts w:ascii="Arial" w:cs="Arial" w:eastAsia="Arial" w:hAnsi="Arial"/>
          <w:sz w:val="22"/>
          <w:szCs w:val="22"/>
          <w:color w:val="auto"/>
        </w:rPr>
        <w:t>Title:Senior Vice President, Treasurer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Second Amendment to Third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3" w:name="page64"/>
    <w:bookmarkEnd w:id="63"/>
    <w:p>
      <w:pPr>
        <w:ind w:left="4020"/>
        <w:spacing w:after="0"/>
        <w:rPr>
          <w:sz w:val="20"/>
          <w:szCs w:val="20"/>
          <w:color w:val="auto"/>
        </w:rPr>
      </w:pPr>
      <w:r>
        <w:rPr>
          <w:rFonts w:ascii="Arial" w:cs="Arial" w:eastAsia="Arial" w:hAnsi="Arial"/>
          <w:sz w:val="22"/>
          <w:szCs w:val="22"/>
          <w:b w:val="1"/>
          <w:bCs w:val="1"/>
          <w:color w:val="auto"/>
        </w:rPr>
        <w:t>AGENT AND LENDERS:</w:t>
      </w:r>
    </w:p>
    <w:p>
      <w:pPr>
        <w:spacing w:after="0" w:line="23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WELLS FARGO CAPITAL FINANCE, LLC</w:t>
      </w:r>
      <w:r>
        <w:rPr>
          <w:rFonts w:ascii="Arial" w:cs="Arial" w:eastAsia="Arial" w:hAnsi="Arial"/>
          <w:sz w:val="22"/>
          <w:szCs w:val="22"/>
          <w:color w:val="auto"/>
        </w:rPr>
        <w:t>, as Agent</w:t>
      </w:r>
    </w:p>
    <w:p>
      <w:pPr>
        <w:spacing w:after="0" w:line="200" w:lineRule="exact"/>
        <w:rPr>
          <w:sz w:val="20"/>
          <w:szCs w:val="20"/>
          <w:color w:val="auto"/>
        </w:rPr>
      </w:pPr>
    </w:p>
    <w:p>
      <w:pPr>
        <w:spacing w:after="0" w:line="28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Mark Bradford</w:t>
      </w:r>
    </w:p>
    <w:p>
      <w:pPr>
        <w:ind w:left="4020"/>
        <w:spacing w:after="0" w:line="238" w:lineRule="auto"/>
        <w:rPr>
          <w:sz w:val="20"/>
          <w:szCs w:val="20"/>
          <w:color w:val="auto"/>
        </w:rPr>
      </w:pPr>
      <w:r>
        <w:rPr>
          <w:rFonts w:ascii="Arial" w:cs="Arial" w:eastAsia="Arial" w:hAnsi="Arial"/>
          <w:sz w:val="22"/>
          <w:szCs w:val="22"/>
          <w:color w:val="auto"/>
        </w:rPr>
        <w:t>Name:Mark A. Bradford</w:t>
      </w:r>
    </w:p>
    <w:p>
      <w:pPr>
        <w:ind w:left="4020"/>
        <w:spacing w:after="0"/>
        <w:rPr>
          <w:sz w:val="20"/>
          <w:szCs w:val="20"/>
          <w:color w:val="auto"/>
        </w:rPr>
      </w:pPr>
      <w:r>
        <w:rPr>
          <w:rFonts w:ascii="Arial" w:cs="Arial" w:eastAsia="Arial" w:hAnsi="Arial"/>
          <w:sz w:val="22"/>
          <w:szCs w:val="22"/>
          <w:color w:val="auto"/>
        </w:rPr>
        <w:t>Title:Senior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40"/>
        <w:spacing w:after="0" w:line="256" w:lineRule="auto"/>
        <w:rPr>
          <w:sz w:val="20"/>
          <w:szCs w:val="20"/>
          <w:color w:val="auto"/>
        </w:rPr>
      </w:pP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200" w:lineRule="exact"/>
        <w:rPr>
          <w:sz w:val="20"/>
          <w:szCs w:val="20"/>
          <w:color w:val="auto"/>
        </w:rPr>
      </w:pPr>
    </w:p>
    <w:p>
      <w:pPr>
        <w:spacing w:after="0" w:line="23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Mark Bradford</w:t>
      </w:r>
    </w:p>
    <w:p>
      <w:pPr>
        <w:ind w:left="4040"/>
        <w:spacing w:after="0" w:line="238" w:lineRule="auto"/>
        <w:rPr>
          <w:sz w:val="20"/>
          <w:szCs w:val="20"/>
          <w:color w:val="auto"/>
        </w:rPr>
      </w:pPr>
      <w:r>
        <w:rPr>
          <w:rFonts w:ascii="Arial" w:cs="Arial" w:eastAsia="Arial" w:hAnsi="Arial"/>
          <w:sz w:val="22"/>
          <w:szCs w:val="22"/>
          <w:color w:val="auto"/>
        </w:rPr>
        <w:t>Name:Mark A. Bradford</w:t>
      </w:r>
    </w:p>
    <w:p>
      <w:pPr>
        <w:ind w:left="4040"/>
        <w:spacing w:after="0"/>
        <w:rPr>
          <w:sz w:val="20"/>
          <w:szCs w:val="20"/>
          <w:color w:val="auto"/>
        </w:rPr>
      </w:pPr>
      <w:r>
        <w:rPr>
          <w:rFonts w:ascii="Arial" w:cs="Arial" w:eastAsia="Arial" w:hAnsi="Arial"/>
          <w:sz w:val="22"/>
          <w:szCs w:val="22"/>
          <w:color w:val="auto"/>
        </w:rPr>
        <w:t>Title:Senior Vice President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Signature Page to Second Amendment to Third Amended and Restated Loan and Security Agreement</w:t>
      </w:r>
    </w:p>
    <w:p>
      <w:pPr>
        <w:sectPr>
          <w:pgSz w:w="11900" w:h="16838" w:orient="portrait"/>
          <w:cols w:equalWidth="0" w:num="1">
            <w:col w:w="9540"/>
          </w:cols>
          <w:pgMar w:left="1440" w:top="544" w:right="9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240"/>
          </w:cols>
          <w:pgMar w:left="320" w:top="33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33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2020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33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2020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upperLetter"/>
      <w:start w:val="1"/>
    </w:lvl>
  </w:abstractNum>
  <w:abstractNum w:abstractNumId="7">
    <w:nsid w:val="614FD4A1"/>
    <w:multiLevelType w:val="hybridMultilevel"/>
    <w:lvl w:ilvl="0">
      <w:lvlJc w:val="left"/>
      <w:lvlText w:val="(%1)"/>
      <w:numFmt w:val="upperLetter"/>
      <w:start w:val="3"/>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6"/>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lvl w:ilvl="1">
      <w:lvlJc w:val="left"/>
      <w:lvlText w:val="o"/>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decimal"/>
      <w:start w:val="1"/>
    </w:lvl>
    <w:lvl w:ilvl="1">
      <w:lvlJc w:val="left"/>
      <w:lvlText w:val="%2."/>
      <w:numFmt w:val="decimal"/>
      <w:start w:val="1"/>
    </w:lvl>
  </w:abstractNum>
  <w:abstractNum w:abstractNumId="24">
    <w:nsid w:val="6A2342EC"/>
    <w:multiLevelType w:val="hybridMultilevel"/>
    <w:lvl w:ilvl="0">
      <w:lvlJc w:val="left"/>
      <w:lvlText w:val="(%1)"/>
      <w:numFmt w:val="decimal"/>
      <w:start w:val="12"/>
    </w:lvl>
    <w:lvl w:ilvl="1">
      <w:lvlJc w:val="left"/>
      <w:lvlText w:val="%2."/>
      <w:numFmt w:val="decimal"/>
      <w:start w:val="2"/>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Letter"/>
      <w:start w:val="2"/>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2"/>
    </w:lvl>
  </w:abstractNum>
  <w:abstractNum w:abstractNumId="29">
    <w:nsid w:val="57E4CCAF"/>
    <w:multiLevelType w:val="hybridMultilevel"/>
    <w:lvl w:ilvl="0">
      <w:lvlJc w:val="left"/>
      <w:lvlText w:val="%1."/>
      <w:numFmt w:val="decimal"/>
      <w:start w:val="3"/>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upperLetter"/>
      <w:start w:val="2"/>
    </w:lvl>
  </w:abstractNum>
  <w:abstractNum w:abstractNumId="33">
    <w:nsid w:val="6DE91B18"/>
    <w:multiLevelType w:val="hybridMultilevel"/>
    <w:lvl w:ilvl="0">
      <w:lvlJc w:val="left"/>
      <w:lvlText w:val="%1."/>
      <w:numFmt w:val="decimal"/>
      <w:start w:val="4"/>
    </w:lvl>
  </w:abstractNum>
  <w:abstractNum w:abstractNumId="34">
    <w:nsid w:val="38437FDB"/>
    <w:multiLevelType w:val="hybridMultilevel"/>
    <w:lvl w:ilvl="0">
      <w:lvlJc w:val="left"/>
      <w:lvlText w:val="%1."/>
      <w:numFmt w:val="decimal"/>
      <w:start w:val="12"/>
    </w:lvl>
    <w:lvl w:ilvl="1">
      <w:lvlJc w:val="left"/>
      <w:lvlText w:val="(%2)"/>
      <w:numFmt w:val="lowerLetter"/>
      <w:start w:val="1"/>
    </w:lvl>
  </w:abstractNum>
  <w:abstractNum w:abstractNumId="35">
    <w:nsid w:val="7644A45C"/>
    <w:multiLevelType w:val="hybridMultilevel"/>
    <w:lvl w:ilvl="0">
      <w:lvlJc w:val="left"/>
      <w:lvlText w:val="%1"/>
      <w:numFmt w:val="decimal"/>
      <w:start w:val="1"/>
    </w:lvl>
    <w:lvl w:ilvl="1">
      <w:lvlJc w:val="left"/>
      <w:lvlText w:val="(%2)"/>
      <w:numFmt w:val="lowerLetter"/>
      <w:start w:val="4"/>
    </w:lvl>
  </w:abstractNum>
  <w:abstractNum w:abstractNumId="36">
    <w:nsid w:val="32FFF902"/>
    <w:multiLevelType w:val="hybridMultilevel"/>
    <w:lvl w:ilvl="0">
      <w:lvlJc w:val="left"/>
      <w:lvlText w:val="%1."/>
      <w:numFmt w:val="decimal"/>
      <w:start w:val="13"/>
    </w:lvl>
    <w:lvl w:ilvl="1">
      <w:lvlJc w:val="left"/>
      <w:lvlText w:val="%2"/>
      <w:numFmt w:val="lowerLetter"/>
      <w:start w:val="1"/>
    </w:lvl>
  </w:abstractNum>
  <w:abstractNum w:abstractNumId="37">
    <w:nsid w:val="684A481A"/>
    <w:multiLevelType w:val="hybridMultilevel"/>
    <w:lvl w:ilvl="0">
      <w:lvlJc w:val="left"/>
      <w:lvlText w:val="%1."/>
      <w:numFmt w:val="decimal"/>
      <w:start w:val="16"/>
    </w:lvl>
  </w:abstractNum>
  <w:abstractNum w:abstractNumId="38">
    <w:nsid w:val="579478FE"/>
    <w:multiLevelType w:val="hybridMultilevel"/>
    <w:lvl w:ilvl="0">
      <w:lvlJc w:val="left"/>
      <w:lvlText w:val="%1."/>
      <w:numFmt w:val="decimal"/>
      <w:start w:val="17"/>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2">
    <w:nsid w:val="79A1DEA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43">
    <w:nsid w:val="75C6C33A"/>
    <w:multiLevelType w:val="hybridMultilevel"/>
    <w:lvl w:ilvl="0">
      <w:lvlJc w:val="left"/>
      <w:lvlText w:val="%1"/>
      <w:numFmt w:val="lowerLetter"/>
      <w:start w:val="4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lowerRoman"/>
      <w:start w:val="1"/>
    </w:lvl>
    <w:lvl w:ilvl="1">
      <w:lvlJc w:val="left"/>
      <w:lvlText w:val="(%2)"/>
      <w:numFmt w:val="lowerRoman"/>
      <w:start w:val="1"/>
    </w:lvl>
  </w:abstractNum>
  <w:abstractNum w:abstractNumId="46">
    <w:nsid w:val="520EEDD1"/>
    <w:multiLevelType w:val="hybridMultilevel"/>
    <w:lvl w:ilvl="0">
      <w:lvlJc w:val="left"/>
      <w:lvlText w:val="(%1)"/>
      <w:numFmt w:val="lowerRoman"/>
      <w:start w:val="1"/>
    </w:lvl>
  </w:abstractNum>
  <w:abstractNum w:abstractNumId="47">
    <w:nsid w:val="374A3FE6"/>
    <w:multiLevelType w:val="hybridMultilevel"/>
    <w:lvl w:ilvl="0">
      <w:lvlJc w:val="left"/>
      <w:lvlText w:val="(%1)"/>
      <w:numFmt w:val="upperLetter"/>
      <w:start w:val="1"/>
    </w:lvl>
  </w:abstractNum>
  <w:abstractNum w:abstractNumId="48">
    <w:nsid w:val="4F4EF005"/>
    <w:multiLevelType w:val="hybridMultilevel"/>
    <w:lvl w:ilvl="0">
      <w:lvlJc w:val="left"/>
      <w:lvlText w:val="(%1)"/>
      <w:numFmt w:val="upperLetter"/>
      <w:start w:val="3"/>
    </w:lvl>
  </w:abstractNum>
  <w:abstractNum w:abstractNumId="49">
    <w:nsid w:val="23F9C13C"/>
    <w:multiLevelType w:val="hybridMultilevel"/>
    <w:lvl w:ilvl="0">
      <w:lvlJc w:val="left"/>
      <w:lvlText w:val="(%1)"/>
      <w:numFmt w:val="lowerRoman"/>
      <w:start w:val="3"/>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6"/>
    </w:lvl>
  </w:abstractNum>
  <w:abstractNum w:abstractNumId="52">
    <w:nsid w:val="39386575"/>
    <w:multiLevelType w:val="hybridMultilevel"/>
    <w:lvl w:ilvl="0">
      <w:lvlJc w:val="left"/>
      <w:lvlText w:val="(%1)"/>
      <w:numFmt w:val="lowerLetter"/>
      <w:start w:val="5"/>
    </w:lvl>
    <w:lvl w:ilvl="1">
      <w:lvlJc w:val="left"/>
      <w:lvlText w:val="(%2)"/>
      <w:numFmt w:val="lowerLetter"/>
      <w:start w:val="5"/>
    </w:lvl>
  </w:abstractNum>
  <w:abstractNum w:abstractNumId="53">
    <w:nsid w:val="1CF10FD8"/>
    <w:multiLevelType w:val="hybridMultilevel"/>
    <w:lvl w:ilvl="0">
      <w:lvlJc w:val="left"/>
      <w:lvlText w:val="%1"/>
      <w:numFmt w:val="decimal"/>
      <w:start w:val="1"/>
    </w:lvl>
    <w:lvl w:ilvl="1">
      <w:lvlJc w:val="left"/>
      <w:lvlText w:val="(%2)"/>
      <w:numFmt w:val="decimal"/>
      <w:start w:val="646"/>
    </w:lvl>
  </w:abstractNum>
  <w:abstractNum w:abstractNumId="54">
    <w:nsid w:val="180115BE"/>
    <w:multiLevelType w:val="hybridMultilevel"/>
    <w:lvl w:ilvl="0">
      <w:lvlJc w:val="left"/>
      <w:lvlText w:val="%1."/>
      <w:numFmt w:val="decimal"/>
      <w:start w:val="3"/>
    </w:lvl>
    <w:lvl w:ilvl="1">
      <w:lvlJc w:val="left"/>
      <w:lvlText w:val="%2"/>
      <w:numFmt w:val="decimal"/>
      <w:start w:val="1"/>
    </w:lvl>
  </w:abstractNum>
  <w:abstractNum w:abstractNumId="55">
    <w:nsid w:val="235BA861"/>
    <w:multiLevelType w:val="hybridMultilevel"/>
    <w:lvl w:ilvl="0">
      <w:lvlJc w:val="left"/>
      <w:lvlText w:val="%1."/>
      <w:numFmt w:val="decimal"/>
      <w:start w:val="7"/>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61" Type="http://schemas.openxmlformats.org/officeDocument/2006/relationships/hyperlink" Target="http://www.sec.gov/Archives/edgar/data/60714/000119312513084410/d447083dex3i1.htm" TargetMode="External"/><Relationship Id="rId62" Type="http://schemas.openxmlformats.org/officeDocument/2006/relationships/hyperlink" Target="http://www.sec.gov/Archives/edgar/data/60714/000119312514323405/d781455dex3ii.htm" TargetMode="External"/><Relationship Id="rId63" Type="http://schemas.openxmlformats.org/officeDocument/2006/relationships/hyperlink" Target="http://www.sec.gov/Archives/edgar/data/60714/000119312515161375/d918969dex3ii.htm" TargetMode="External"/><Relationship Id="rId64" Type="http://schemas.openxmlformats.org/officeDocument/2006/relationships/hyperlink" Target="http://www.sec.gov/Archives/edgar/data/60714/000119312515397856/d22963dex3ii.htm" TargetMode="External"/><Relationship Id="rId65" Type="http://schemas.openxmlformats.org/officeDocument/2006/relationships/hyperlink" Target="http://www.sec.gov/Archives/edgar/data/60714/000119312515415325/d102136dex3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2020-05-07T15:23:03Z</dcterms:created>
  <dcterms:modified xsi:type="dcterms:W3CDTF">2020-05-07T15:23:03Z</dcterms:modified>
</cp:coreProperties>
</file>