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8"/>
                <w:szCs w:val="18"/>
                <w:b w:val="1"/>
                <w:bCs w:val="1"/>
                <w:color w:val="auto"/>
                <w:w w:val="70"/>
              </w:rPr>
              <w:t>to</w:t>
            </w:r>
          </w:p>
        </w:tc>
      </w:tr>
      <w:tr>
        <w:trPr>
          <w:trHeight w:val="397"/>
        </w:trPr>
        <w:tc>
          <w:tcPr>
            <w:tcW w:w="3380" w:type="dxa"/>
            <w:vAlign w:val="bottom"/>
            <w:gridSpan w:val="3"/>
          </w:tcPr>
          <w:p>
            <w:pPr>
              <w:ind w:left="960"/>
              <w:spacing w:after="0"/>
              <w:rPr>
                <w:sz w:val="20"/>
                <w:szCs w:val="20"/>
                <w:color w:val="auto"/>
              </w:rPr>
            </w:pPr>
            <w:r>
              <w:rPr>
                <w:rFonts w:ascii="Arial" w:cs="Arial" w:eastAsia="Arial" w:hAnsi="Arial"/>
                <w:sz w:val="18"/>
                <w:szCs w:val="18"/>
                <w:b w:val="1"/>
                <w:bCs w:val="1"/>
                <w:color w:val="auto"/>
                <w:w w:val="88"/>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-264160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680" w:type="dxa"/>
        <w:tblCellMar>
          <w:top w:w="0" w:type="dxa"/>
          <w:left w:w="0" w:type="dxa"/>
          <w:bottom w:w="0" w:type="dxa"/>
          <w:right w:w="0" w:type="dxa"/>
        </w:tblCellMar>
      </w:tblPr>
      <w:tr>
        <w:trPr>
          <w:trHeight w:val="218"/>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Delaware</w:t>
            </w:r>
          </w:p>
        </w:tc>
        <w:tc>
          <w:tcPr>
            <w:tcW w:w="1500" w:type="dxa"/>
            <w:vAlign w:val="bottom"/>
          </w:tcPr>
          <w:p>
            <w:pPr>
              <w:jc w:val="right"/>
              <w:ind w:right="4"/>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6980" w:type="dxa"/>
            <w:vAlign w:val="bottom"/>
          </w:tcPr>
          <w:p>
            <w:pPr>
              <w:jc w:val="center"/>
              <w:ind w:right="24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0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80" w:type="dxa"/>
            <w:vAlign w:val="bottom"/>
          </w:tcPr>
          <w:p>
            <w:pPr>
              <w:jc w:val="center"/>
              <w:ind w:right="2464"/>
              <w:spacing w:after="0"/>
              <w:rPr>
                <w:sz w:val="20"/>
                <w:szCs w:val="20"/>
                <w:color w:val="auto"/>
              </w:rPr>
            </w:pPr>
            <w:r>
              <w:rPr>
                <w:rFonts w:ascii="Arial" w:cs="Arial" w:eastAsia="Arial" w:hAnsi="Arial"/>
                <w:sz w:val="14"/>
                <w:szCs w:val="14"/>
                <w:b w:val="1"/>
                <w:bCs w:val="1"/>
                <w:color w:val="auto"/>
                <w:w w:val="88"/>
              </w:rPr>
              <w:t>incorporation or organization</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80" w:type="dxa"/>
            <w:vAlign w:val="bottom"/>
          </w:tcPr>
          <w:p>
            <w:pPr>
              <w:jc w:val="center"/>
              <w:ind w:right="2484"/>
              <w:spacing w:after="0"/>
              <w:rPr>
                <w:sz w:val="20"/>
                <w:szCs w:val="20"/>
                <w:color w:val="auto"/>
              </w:rPr>
            </w:pPr>
            <w:r>
              <w:rPr>
                <w:rFonts w:ascii="Arial" w:cs="Arial" w:eastAsia="Arial" w:hAnsi="Arial"/>
                <w:sz w:val="18"/>
                <w:szCs w:val="18"/>
                <w:b w:val="1"/>
                <w:bCs w:val="1"/>
                <w:color w:val="auto"/>
                <w:w w:val="88"/>
              </w:rPr>
              <w:t>16 South Pennsylvania Avenue, Oklahoma City, Oklahoma</w:t>
            </w:r>
          </w:p>
        </w:tc>
        <w:tc>
          <w:tcPr>
            <w:tcW w:w="1500" w:type="dxa"/>
            <w:vAlign w:val="bottom"/>
          </w:tcPr>
          <w:p>
            <w:pPr>
              <w:jc w:val="right"/>
              <w:ind w:right="204"/>
              <w:spacing w:after="0"/>
              <w:rPr>
                <w:sz w:val="20"/>
                <w:szCs w:val="20"/>
                <w:color w:val="auto"/>
              </w:rPr>
            </w:pPr>
            <w:r>
              <w:rPr>
                <w:rFonts w:ascii="Arial" w:cs="Arial" w:eastAsia="Arial" w:hAnsi="Arial"/>
                <w:sz w:val="18"/>
                <w:szCs w:val="18"/>
                <w:b w:val="1"/>
                <w:bCs w:val="1"/>
                <w:color w:val="auto"/>
              </w:rPr>
              <w:t>73107</w:t>
            </w:r>
          </w:p>
        </w:tc>
      </w:tr>
      <w:tr>
        <w:trPr>
          <w:trHeight w:val="174"/>
        </w:trPr>
        <w:tc>
          <w:tcPr>
            <w:tcW w:w="6980" w:type="dxa"/>
            <w:vAlign w:val="bottom"/>
          </w:tcPr>
          <w:p>
            <w:pPr>
              <w:jc w:val="center"/>
              <w:ind w:right="2484"/>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1500" w:type="dxa"/>
            <w:vAlign w:val="bottom"/>
          </w:tcPr>
          <w:p>
            <w:pPr>
              <w:jc w:val="center"/>
              <w:ind w:left="404"/>
              <w:spacing w:after="0"/>
              <w:rPr>
                <w:sz w:val="20"/>
                <w:szCs w:val="20"/>
                <w:color w:val="auto"/>
              </w:rPr>
            </w:pPr>
            <w:r>
              <w:rPr>
                <w:rFonts w:ascii="Arial" w:cs="Arial" w:eastAsia="Arial" w:hAnsi="Arial"/>
                <w:sz w:val="14"/>
                <w:szCs w:val="14"/>
                <w:b w:val="1"/>
                <w:bCs w:val="1"/>
                <w:color w:val="auto"/>
                <w:w w:val="90"/>
              </w:rPr>
              <w:t>Zip Code</w:t>
            </w:r>
          </w:p>
        </w:tc>
      </w:tr>
      <w:tr>
        <w:trPr>
          <w:trHeight w:val="352"/>
        </w:trPr>
        <w:tc>
          <w:tcPr>
            <w:tcW w:w="6980" w:type="dxa"/>
            <w:vAlign w:val="bottom"/>
          </w:tcPr>
          <w:p>
            <w:pPr>
              <w:jc w:val="right"/>
              <w:ind w:right="1324"/>
              <w:spacing w:after="0"/>
              <w:rPr>
                <w:sz w:val="20"/>
                <w:szCs w:val="20"/>
                <w:color w:val="auto"/>
              </w:rPr>
            </w:pPr>
            <w:r>
              <w:rPr>
                <w:rFonts w:ascii="Arial" w:cs="Arial" w:eastAsia="Arial" w:hAnsi="Arial"/>
                <w:sz w:val="18"/>
                <w:szCs w:val="18"/>
                <w:b w:val="1"/>
                <w:bCs w:val="1"/>
                <w:color w:val="auto"/>
              </w:rPr>
              <w:t>(405) 235-4546</w:t>
            </w:r>
          </w:p>
        </w:tc>
        <w:tc>
          <w:tcPr>
            <w:tcW w:w="1500" w:type="dxa"/>
            <w:vAlign w:val="bottom"/>
          </w:tcPr>
          <w:p>
            <w:pPr>
              <w:spacing w:after="0"/>
              <w:rPr>
                <w:sz w:val="24"/>
                <w:szCs w:val="24"/>
                <w:color w:val="auto"/>
              </w:rPr>
            </w:pPr>
          </w:p>
        </w:tc>
      </w:tr>
      <w:tr>
        <w:trPr>
          <w:trHeight w:val="174"/>
        </w:trPr>
        <w:tc>
          <w:tcPr>
            <w:tcW w:w="6980" w:type="dxa"/>
            <w:vAlign w:val="bottom"/>
          </w:tcPr>
          <w:p>
            <w:pPr>
              <w:jc w:val="center"/>
              <w:ind w:left="3024"/>
              <w:spacing w:after="0"/>
              <w:rPr>
                <w:sz w:val="20"/>
                <w:szCs w:val="20"/>
                <w:color w:val="auto"/>
              </w:rPr>
            </w:pPr>
            <w:r>
              <w:rPr>
                <w:rFonts w:ascii="Arial" w:cs="Arial" w:eastAsia="Arial" w:hAnsi="Arial"/>
                <w:sz w:val="14"/>
                <w:szCs w:val="14"/>
                <w:b w:val="1"/>
                <w:bCs w:val="1"/>
                <w:color w:val="auto"/>
                <w:w w:val="85"/>
              </w:rPr>
              <w:t>Registrant’s telephone number, including area code</w:t>
            </w:r>
          </w:p>
        </w:tc>
        <w:tc>
          <w:tcPr>
            <w:tcW w:w="1500" w:type="dxa"/>
            <w:vAlign w:val="bottom"/>
          </w:tcPr>
          <w:p>
            <w:pPr>
              <w:spacing w:after="0"/>
              <w:rPr>
                <w:sz w:val="15"/>
                <w:szCs w:val="15"/>
                <w:color w:val="auto"/>
              </w:rPr>
            </w:pPr>
          </w:p>
        </w:tc>
      </w:tr>
    </w:tbl>
    <w:p>
      <w:pPr>
        <w:spacing w:after="0" w:line="1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7" w:lineRule="exact"/>
        <w:rPr>
          <w:sz w:val="24"/>
          <w:szCs w:val="24"/>
          <w:color w:val="auto"/>
        </w:rPr>
      </w:pPr>
    </w:p>
    <w:p>
      <w:pPr>
        <w:ind w:right="8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7" w:lineRule="exact"/>
        <w:rPr>
          <w:sz w:val="24"/>
          <w:szCs w:val="24"/>
          <w:color w:val="auto"/>
        </w:rPr>
      </w:pPr>
    </w:p>
    <w:p>
      <w:pPr>
        <w:ind w:right="6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194" w:lineRule="exact"/>
        <w:rPr>
          <w:sz w:val="24"/>
          <w:szCs w:val="24"/>
          <w:color w:val="auto"/>
        </w:rPr>
      </w:pPr>
    </w:p>
    <w:p>
      <w:pPr>
        <w:sectPr>
          <w:pgSz w:w="11900" w:h="16838" w:orient="portrait"/>
          <w:cols w:equalWidth="0" w:num="5">
            <w:col w:w="7300" w:space="180"/>
            <w:col w:w="140" w:space="100"/>
            <w:col w:w="260" w:space="160"/>
            <w:col w:w="160" w:space="100"/>
            <w:col w:w="3020"/>
          </w:cols>
          <w:pgMar w:left="240" w:top="230" w:right="239" w:bottom="1440" w:gutter="0" w:footer="0" w:header="0"/>
          <w:type w:val="continuous"/>
        </w:sectPr>
      </w:pPr>
    </w:p>
    <w:p>
      <w:pPr>
        <w:ind w:right="520"/>
        <w:spacing w:after="0" w:line="268" w:lineRule="auto"/>
        <w:rPr>
          <w:sz w:val="20"/>
          <w:szCs w:val="20"/>
          <w:color w:val="auto"/>
        </w:rPr>
      </w:pPr>
      <w:r>
        <w:rPr>
          <w:rFonts w:ascii="Arial" w:cs="Arial" w:eastAsia="Arial" w:hAnsi="Arial"/>
          <w:sz w:val="18"/>
          <w:szCs w:val="18"/>
          <w:color w:val="auto"/>
        </w:rPr>
        <w:t>The number of shares outstanding of the Registrant’s voting common stock, as of July 31, 2013 was 22,441,528 shares, excluding 4,320,462 shares held as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 OF LSB INDUSTRIES,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480" w:type="dxa"/>
            <w:vAlign w:val="bottom"/>
            <w:gridSpan w:val="8"/>
            <w:vMerge w:val="restart"/>
          </w:tcPr>
          <w:p>
            <w:pPr>
              <w:jc w:val="center"/>
              <w:ind w:right="3980"/>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PART I – Financial Information</w:t>
              </w:r>
            </w:hyperlink>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6480" w:type="dxa"/>
            <w:vAlign w:val="bottom"/>
            <w:gridSpan w:val="8"/>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2440" w:type="dxa"/>
            <w:vAlign w:val="bottom"/>
            <w:gridSpan w:val="5"/>
          </w:tcPr>
          <w:p>
            <w:pPr>
              <w:spacing w:after="0"/>
              <w:rPr>
                <w:sz w:val="24"/>
                <w:szCs w:val="24"/>
                <w:color w:val="auto"/>
              </w:rPr>
            </w:pPr>
          </w:p>
        </w:tc>
        <w:tc>
          <w:tcPr>
            <w:tcW w:w="2220" w:type="dxa"/>
            <w:vAlign w:val="bottom"/>
            <w:tcBorders>
              <w:top w:val="single" w:sz="8" w:color="0000EE"/>
            </w:tcBorders>
            <w:gridSpan w:val="5"/>
          </w:tcPr>
          <w:p>
            <w:pPr>
              <w:spacing w:after="0"/>
              <w:rPr>
                <w:sz w:val="24"/>
                <w:szCs w:val="24"/>
                <w:color w:val="auto"/>
              </w:rPr>
            </w:pPr>
          </w:p>
        </w:tc>
        <w:tc>
          <w:tcPr>
            <w:tcW w:w="4120" w:type="dxa"/>
            <w:vAlign w:val="bottom"/>
            <w:gridSpan w:val="2"/>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2">
              <w:r>
                <w:rPr>
                  <w:rFonts w:ascii="Arial" w:cs="Arial" w:eastAsia="Arial" w:hAnsi="Arial"/>
                  <w:sz w:val="18"/>
                  <w:szCs w:val="18"/>
                  <w:color w:val="0000EE"/>
                  <w:w w:val="86"/>
                </w:rPr>
                <w:t>Controls and Procedures</w:t>
              </w:r>
            </w:hyperlink>
          </w:p>
        </w:tc>
        <w:tc>
          <w:tcPr>
            <w:tcW w:w="8520" w:type="dxa"/>
            <w:vAlign w:val="bottom"/>
            <w:gridSpan w:val="11"/>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17"/>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Special Note Regarding Forward-Looking Statements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Borders>
              <w:bottom w:val="single" w:sz="8" w:color="0000EE"/>
            </w:tcBorders>
            <w:gridSpan w:val="3"/>
          </w:tcPr>
          <w:p>
            <w:pPr>
              <w:jc w:val="cente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PART II – Other Information</w:t>
              </w:r>
            </w:hyperlink>
          </w:p>
        </w:tc>
        <w:tc>
          <w:tcPr>
            <w:tcW w:w="420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10260" w:type="dxa"/>
            <w:vAlign w:val="bottom"/>
            <w:gridSpan w:val="1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8960" w:type="dxa"/>
            <w:vAlign w:val="bottom"/>
            <w:gridSpan w:val="13"/>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60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1026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57">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gridSpan w:val="4"/>
          </w:tcPr>
          <w:p>
            <w:pPr>
              <w:spacing w:after="0"/>
              <w:rPr>
                <w:sz w:val="24"/>
                <w:szCs w:val="24"/>
                <w:color w:val="auto"/>
              </w:rPr>
            </w:pPr>
          </w:p>
        </w:tc>
        <w:tc>
          <w:tcPr>
            <w:tcW w:w="6020" w:type="dxa"/>
            <w:vAlign w:val="bottom"/>
            <w:gridSpan w:val="5"/>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88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Mining Safety Disclosures</w:t>
              </w:r>
            </w:hyperlink>
          </w:p>
        </w:tc>
        <w:tc>
          <w:tcPr>
            <w:tcW w:w="8380" w:type="dxa"/>
            <w:vAlign w:val="bottom"/>
            <w:gridSpan w:val="10"/>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0260" w:type="dxa"/>
            <w:vAlign w:val="bottom"/>
            <w:gridSpan w:val="1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Other Information</w:t>
              </w:r>
            </w:hyperlink>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Exhibits</w:t>
              </w:r>
            </w:hyperlink>
          </w:p>
        </w:tc>
        <w:tc>
          <w:tcPr>
            <w:tcW w:w="680" w:type="dxa"/>
            <w:vAlign w:val="bottom"/>
            <w:tcBorders>
              <w:top w:val="single" w:sz="8" w:color="0000EE"/>
            </w:tcBorders>
            <w:gridSpan w:val="2"/>
          </w:tcPr>
          <w:p>
            <w:pPr>
              <w:spacing w:after="0"/>
              <w:rPr>
                <w:sz w:val="24"/>
                <w:szCs w:val="24"/>
                <w:color w:val="auto"/>
              </w:rPr>
            </w:pPr>
          </w:p>
        </w:tc>
        <w:tc>
          <w:tcPr>
            <w:tcW w:w="8980" w:type="dxa"/>
            <w:vAlign w:val="bottom"/>
            <w:gridSpan w:val="14"/>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6060" w:type="dxa"/>
            <w:vAlign w:val="bottom"/>
            <w:gridSpan w:val="14"/>
          </w:tcPr>
          <w:p>
            <w:pPr>
              <w:ind w:left="48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2013 is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w w:val="85"/>
              </w:rPr>
              <w:t>June 30,</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9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65,572</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82,801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Finished goods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Work in progress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Raw materials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25,003</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24,546</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ind w:left="1300"/>
              <w:spacing w:after="0"/>
              <w:rPr>
                <w:sz w:val="20"/>
                <w:szCs w:val="20"/>
                <w:color w:val="auto"/>
              </w:rPr>
            </w:pPr>
            <w:r>
              <w:rPr>
                <w:rFonts w:ascii="Arial" w:cs="Arial" w:eastAsia="Arial" w:hAnsi="Arial"/>
                <w:sz w:val="18"/>
                <w:szCs w:val="18"/>
                <w:color w:val="auto"/>
              </w:rPr>
              <w:t>Total inventories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58,723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64,973</w:t>
            </w:r>
          </w:p>
        </w:tc>
        <w:tc>
          <w:tcPr>
            <w:tcW w:w="100" w:type="dxa"/>
            <w:vAlign w:val="bottom"/>
          </w:tcPr>
          <w:p>
            <w:pPr>
              <w:spacing w:after="0"/>
              <w:rPr>
                <w:sz w:val="19"/>
                <w:szCs w:val="19"/>
                <w:color w:val="auto"/>
              </w:rPr>
            </w:pPr>
          </w:p>
        </w:tc>
      </w:tr>
      <w:tr>
        <w:trPr>
          <w:trHeight w:val="217"/>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Supplies, prepaid items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10,049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Precious metals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Supplies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Fair value of derivatives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88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r>
      <w:tr>
        <w:trPr>
          <w:trHeight w:val="222"/>
        </w:trPr>
        <w:tc>
          <w:tcPr>
            <w:tcW w:w="9560" w:type="dxa"/>
            <w:vAlign w:val="bottom"/>
          </w:tcPr>
          <w:p>
            <w:pPr>
              <w:ind w:left="1300"/>
              <w:spacing w:after="0"/>
              <w:rPr>
                <w:sz w:val="20"/>
                <w:szCs w:val="20"/>
                <w:color w:val="auto"/>
              </w:rPr>
            </w:pPr>
            <w:r>
              <w:rPr>
                <w:rFonts w:ascii="Arial" w:cs="Arial" w:eastAsia="Arial" w:hAnsi="Arial"/>
                <w:sz w:val="18"/>
                <w:szCs w:val="18"/>
                <w:color w:val="auto"/>
              </w:rPr>
              <w:t>Total supplies, prepaid items and other</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40,706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35,698</w:t>
            </w:r>
          </w:p>
        </w:tc>
        <w:tc>
          <w:tcPr>
            <w:tcW w:w="100" w:type="dxa"/>
            <w:vAlign w:val="bottom"/>
          </w:tcPr>
          <w:p>
            <w:pPr>
              <w:spacing w:after="0"/>
              <w:rPr>
                <w:sz w:val="19"/>
                <w:szCs w:val="19"/>
                <w:color w:val="auto"/>
              </w:rPr>
            </w:pPr>
          </w:p>
        </w:tc>
      </w:tr>
      <w:tr>
        <w:trPr>
          <w:trHeight w:val="217"/>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3,224</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265,657</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284,747</w:t>
            </w:r>
          </w:p>
        </w:tc>
        <w:tc>
          <w:tcPr>
            <w:tcW w:w="100" w:type="dxa"/>
            <w:vAlign w:val="bottom"/>
          </w:tcPr>
          <w:p>
            <w:pPr>
              <w:spacing w:after="0"/>
              <w:rPr>
                <w:sz w:val="19"/>
                <w:szCs w:val="19"/>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346,328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281,871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in affiliate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7,286</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tcPr>
          <w:p>
            <w:pPr>
              <w:ind w:left="880"/>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10,304</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9,994</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622,289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576,612</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June 30, 2013 is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5"/>
              <w:spacing w:after="0"/>
              <w:rPr>
                <w:sz w:val="20"/>
                <w:szCs w:val="20"/>
                <w:color w:val="auto"/>
              </w:rPr>
            </w:pPr>
            <w:r>
              <w:rPr>
                <w:rFonts w:ascii="Arial" w:cs="Arial" w:eastAsia="Arial" w:hAnsi="Arial"/>
                <w:sz w:val="14"/>
                <w:szCs w:val="14"/>
                <w:color w:val="auto"/>
                <w:w w:val="85"/>
              </w:rPr>
              <w:t>June 30,</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59"/>
        </w:trPr>
        <w:tc>
          <w:tcPr>
            <w:tcW w:w="95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3"/>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9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4"/>
          </w:tcPr>
          <w:p>
            <w:pPr>
              <w:jc w:val="right"/>
              <w:ind w:right="37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68,333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Short-term financing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3,677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34,698</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Deferred gain on insurance recoveries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00" w:type="dxa"/>
            <w:vAlign w:val="bottom"/>
            <w:shd w:val="clear" w:color="auto" w:fill="CCEEFF"/>
          </w:tcPr>
          <w:p>
            <w:pPr>
              <w:spacing w:after="0"/>
              <w:rPr>
                <w:sz w:val="18"/>
                <w:szCs w:val="18"/>
                <w:color w:val="auto"/>
              </w:rPr>
            </w:pPr>
          </w:p>
        </w:tc>
      </w:tr>
      <w:tr>
        <w:trPr>
          <w:trHeight w:val="221"/>
        </w:trPr>
        <w:tc>
          <w:tcPr>
            <w:tcW w:w="9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123,293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117,083</w:t>
            </w:r>
          </w:p>
        </w:tc>
        <w:tc>
          <w:tcPr>
            <w:tcW w:w="100" w:type="dxa"/>
            <w:vAlign w:val="bottom"/>
          </w:tcPr>
          <w:p>
            <w:pPr>
              <w:spacing w:after="0"/>
              <w:rPr>
                <w:sz w:val="19"/>
                <w:szCs w:val="19"/>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67,643</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Noncurrent accrued and other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16,369</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Series B 12% cumulative, convertible preferred stock, $100 par value; 20,000 shares issued and outstanding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7"/>
              </w:rPr>
              <w:t>Series D 6% cumulative, convertible Class C preferred stock, no par value; 1,000,000 shares issued and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w w:val="91"/>
              </w:rPr>
              <w:t>Common stock, $.10 par value; 75,000,000 shares authorized, 26,761,990 shares issued (26,731,360 at December 31, 2012)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2,676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166,204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165,006</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tcPr>
          <w:p>
            <w:pPr>
              <w:ind w:left="44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219,251</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212,192</w:t>
            </w:r>
          </w:p>
        </w:tc>
        <w:tc>
          <w:tcPr>
            <w:tcW w:w="100" w:type="dxa"/>
            <w:vAlign w:val="bottom"/>
          </w:tcPr>
          <w:p>
            <w:pPr>
              <w:spacing w:after="0"/>
              <w:rPr>
                <w:sz w:val="19"/>
                <w:szCs w:val="19"/>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391,131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382,871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Less treasury stock, at cost:</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Common stock, 4,320,462 shares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28,374</w:t>
            </w:r>
          </w:p>
        </w:tc>
        <w:tc>
          <w:tcPr>
            <w:tcW w:w="10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362,757</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354,497</w:t>
            </w:r>
          </w:p>
        </w:tc>
        <w:tc>
          <w:tcPr>
            <w:tcW w:w="100" w:type="dxa"/>
            <w:vAlign w:val="bottom"/>
          </w:tcPr>
          <w:p>
            <w:pPr>
              <w:spacing w:after="0"/>
              <w:rPr>
                <w:sz w:val="20"/>
                <w:szCs w:val="20"/>
                <w:color w:val="auto"/>
              </w:rPr>
            </w:pPr>
          </w:p>
        </w:tc>
      </w:tr>
      <w:tr>
        <w:trPr>
          <w:trHeight w:val="216"/>
        </w:trPr>
        <w:tc>
          <w:tcPr>
            <w:tcW w:w="9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622,289</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576,612</w:t>
            </w:r>
          </w:p>
        </w:tc>
        <w:tc>
          <w:tcPr>
            <w:tcW w:w="100" w:type="dxa"/>
            <w:vAlign w:val="bottom"/>
            <w:shd w:val="clear" w:color="auto" w:fill="CCEEFF"/>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and Three Months Ended June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720"/>
              <w:spacing w:after="0"/>
              <w:rPr>
                <w:sz w:val="20"/>
                <w:szCs w:val="20"/>
                <w:color w:val="auto"/>
              </w:rPr>
            </w:pPr>
            <w:r>
              <w:rPr>
                <w:rFonts w:ascii="Arial" w:cs="Arial" w:eastAsia="Arial" w:hAnsi="Arial"/>
                <w:sz w:val="14"/>
                <w:szCs w:val="14"/>
                <w:color w:val="auto"/>
              </w:rPr>
              <w:t>Six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2012</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2013</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12"/>
          </w:tcPr>
          <w:p>
            <w:pPr>
              <w:jc w:val="right"/>
              <w:ind w:right="100"/>
              <w:spacing w:after="0" w:line="142" w:lineRule="exact"/>
              <w:rPr>
                <w:sz w:val="20"/>
                <w:szCs w:val="20"/>
                <w:color w:val="auto"/>
              </w:rPr>
            </w:pPr>
            <w:r>
              <w:rPr>
                <w:rFonts w:ascii="Arial" w:cs="Arial" w:eastAsia="Arial" w:hAnsi="Arial"/>
                <w:sz w:val="14"/>
                <w:szCs w:val="14"/>
                <w:color w:val="auto"/>
              </w:rPr>
              <w:t>(In Thousands, Except Per Share Amounts)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352,902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399,520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202,223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288,821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289,341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163,564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143,540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110,179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38,659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44,277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losses on accounts receivable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w w:val="92"/>
              </w:rPr>
              <w:t>Income from continuing operations before provisions for income taxes and equity in earnings of affiliate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Provisions for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23,253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of affiliate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7,486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40,336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7,427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color w:val="auto"/>
              </w:rPr>
              <w:t>Net income applicable to common stock</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7,059</w:t>
            </w:r>
          </w:p>
        </w:tc>
        <w:tc>
          <w:tcPr>
            <w:tcW w:w="1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40,036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7,427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22,332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22,437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23,509</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24"/>
              <w:spacing w:after="0"/>
              <w:rPr>
                <w:sz w:val="20"/>
                <w:szCs w:val="20"/>
                <w:color w:val="auto"/>
              </w:rPr>
            </w:pPr>
            <w:r>
              <w:rPr>
                <w:rFonts w:ascii="Arial" w:cs="Arial" w:eastAsia="Arial" w:hAnsi="Arial"/>
                <w:sz w:val="14"/>
                <w:szCs w:val="14"/>
                <w:color w:val="auto"/>
                <w:w w:val="92"/>
              </w:rPr>
              <w:t>Non-</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3"/>
              </w:rPr>
              <w:t>Redeemable</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Capital in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Treasury</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Stock</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4"/>
              <w:spacing w:after="0" w:line="149" w:lineRule="exact"/>
              <w:rPr>
                <w:sz w:val="20"/>
                <w:szCs w:val="20"/>
                <w:color w:val="auto"/>
              </w:rPr>
            </w:pPr>
            <w:r>
              <w:rPr>
                <w:rFonts w:ascii="Arial" w:cs="Arial" w:eastAsia="Arial" w:hAnsi="Arial"/>
                <w:sz w:val="14"/>
                <w:szCs w:val="14"/>
                <w:color w:val="auto"/>
                <w:w w:val="85"/>
              </w:rPr>
              <w:t>Preferred</w:t>
            </w:r>
          </w:p>
        </w:tc>
        <w:tc>
          <w:tcPr>
            <w:tcW w:w="3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85"/>
              </w:rPr>
              <w:t>Stock Par</w:t>
            </w:r>
          </w:p>
        </w:tc>
        <w:tc>
          <w:tcPr>
            <w:tcW w:w="300" w:type="dxa"/>
            <w:vAlign w:val="bottom"/>
          </w:tcPr>
          <w:p>
            <w:pPr>
              <w:spacing w:after="0"/>
              <w:rPr>
                <w:sz w:val="12"/>
                <w:szCs w:val="12"/>
                <w:color w:val="auto"/>
              </w:rPr>
            </w:pPr>
          </w:p>
        </w:tc>
        <w:tc>
          <w:tcPr>
            <w:tcW w:w="9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Excess of</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Retained</w:t>
            </w:r>
          </w:p>
        </w:tc>
        <w:tc>
          <w:tcPr>
            <w:tcW w:w="12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Stock-</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540" w:type="dxa"/>
            <w:vAlign w:val="bottom"/>
          </w:tcPr>
          <w:p>
            <w:pPr>
              <w:jc w:val="center"/>
              <w:spacing w:after="0" w:line="159" w:lineRule="exact"/>
              <w:rPr>
                <w:sz w:val="20"/>
                <w:szCs w:val="20"/>
                <w:color w:val="auto"/>
              </w:rPr>
            </w:pPr>
            <w:r>
              <w:rPr>
                <w:rFonts w:ascii="Arial" w:cs="Arial" w:eastAsia="Arial" w:hAnsi="Arial"/>
                <w:sz w:val="14"/>
                <w:szCs w:val="14"/>
                <w:color w:val="auto"/>
                <w:w w:val="81"/>
              </w:rPr>
              <w:t>Shares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4"/>
              <w:spacing w:after="0" w:line="159" w:lineRule="exact"/>
              <w:rPr>
                <w:sz w:val="20"/>
                <w:szCs w:val="20"/>
                <w:color w:val="auto"/>
              </w:rPr>
            </w:pPr>
            <w:r>
              <w:rPr>
                <w:rFonts w:ascii="Arial" w:cs="Arial" w:eastAsia="Arial" w:hAnsi="Arial"/>
                <w:sz w:val="14"/>
                <w:szCs w:val="14"/>
                <w:color w:val="auto"/>
                <w:w w:val="85"/>
              </w:rPr>
              <w:t>Stock</w:t>
            </w:r>
          </w:p>
        </w:tc>
        <w:tc>
          <w:tcPr>
            <w:tcW w:w="300" w:type="dxa"/>
            <w:vAlign w:val="bottom"/>
          </w:tcPr>
          <w:p>
            <w:pPr>
              <w:spacing w:after="0"/>
              <w:rPr>
                <w:sz w:val="13"/>
                <w:szCs w:val="13"/>
                <w:color w:val="auto"/>
              </w:rPr>
            </w:pPr>
          </w:p>
        </w:tc>
        <w:tc>
          <w:tcPr>
            <w:tcW w:w="520" w:type="dxa"/>
            <w:vAlign w:val="bottom"/>
          </w:tcPr>
          <w:p>
            <w:pPr>
              <w:jc w:val="center"/>
              <w:spacing w:after="0" w:line="159" w:lineRule="exact"/>
              <w:rPr>
                <w:sz w:val="20"/>
                <w:szCs w:val="20"/>
                <w:color w:val="auto"/>
              </w:rPr>
            </w:pPr>
            <w:r>
              <w:rPr>
                <w:rFonts w:ascii="Arial" w:cs="Arial" w:eastAsia="Arial" w:hAnsi="Arial"/>
                <w:sz w:val="14"/>
                <w:szCs w:val="14"/>
                <w:color w:val="auto"/>
                <w:w w:val="83"/>
              </w:rPr>
              <w:t>Value</w:t>
            </w:r>
          </w:p>
        </w:tc>
        <w:tc>
          <w:tcPr>
            <w:tcW w:w="300" w:type="dxa"/>
            <w:vAlign w:val="bottom"/>
          </w:tcPr>
          <w:p>
            <w:pPr>
              <w:spacing w:after="0"/>
              <w:rPr>
                <w:sz w:val="13"/>
                <w:szCs w:val="13"/>
                <w:color w:val="auto"/>
              </w:rPr>
            </w:pPr>
          </w:p>
        </w:tc>
        <w:tc>
          <w:tcPr>
            <w:tcW w:w="98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Par Value</w:t>
            </w:r>
          </w:p>
        </w:tc>
        <w:tc>
          <w:tcPr>
            <w:tcW w:w="86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Earnings</w:t>
            </w:r>
          </w:p>
        </w:tc>
        <w:tc>
          <w:tcPr>
            <w:tcW w:w="120" w:type="dxa"/>
            <w:vAlign w:val="bottom"/>
          </w:tcPr>
          <w:p>
            <w:pPr>
              <w:spacing w:after="0"/>
              <w:rPr>
                <w:sz w:val="13"/>
                <w:szCs w:val="13"/>
                <w:color w:val="auto"/>
              </w:rPr>
            </w:pPr>
          </w:p>
        </w:tc>
        <w:tc>
          <w:tcPr>
            <w:tcW w:w="82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7"/>
              </w:rPr>
              <w:t>Common</w:t>
            </w:r>
          </w:p>
        </w:tc>
        <w:tc>
          <w:tcPr>
            <w:tcW w:w="1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color w:val="auto"/>
                <w:w w:val="95"/>
              </w:rPr>
              <w:t>(In Thousands)</w:t>
            </w:r>
          </w:p>
        </w:tc>
        <w:tc>
          <w:tcPr>
            <w:tcW w:w="6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$165,006</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$212,192</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7"/>
              </w:rPr>
              <w:t>$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7,359</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on preferred stocks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787</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1"/>
              </w:rPr>
              <w:t>Excess income tax benefit associated with stock-based compensation</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26,762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$ 2,676</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166,204</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219,251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(28,374)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362,757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740" w:type="dxa"/>
            <w:vAlign w:val="bottom"/>
            <w:gridSpan w:val="2"/>
          </w:tcPr>
          <w:p>
            <w:pPr>
              <w:jc w:val="right"/>
              <w:ind w:right="115"/>
              <w:spacing w:after="0"/>
              <w:rPr>
                <w:sz w:val="20"/>
                <w:szCs w:val="20"/>
                <w:color w:val="auto"/>
              </w:rPr>
            </w:pPr>
            <w:r>
              <w:rPr>
                <w:rFonts w:ascii="Arial" w:cs="Arial" w:eastAsia="Arial" w:hAnsi="Arial"/>
                <w:sz w:val="14"/>
                <w:szCs w:val="14"/>
                <w:color w:val="auto"/>
              </w:rPr>
              <w:t>2013</w:t>
            </w:r>
          </w:p>
        </w:tc>
        <w:tc>
          <w:tcPr>
            <w:tcW w:w="240" w:type="dxa"/>
            <w:vAlign w:val="bottom"/>
          </w:tcPr>
          <w:p>
            <w:pPr>
              <w:spacing w:after="0"/>
              <w:rPr>
                <w:sz w:val="14"/>
                <w:szCs w:val="14"/>
                <w:color w:val="auto"/>
              </w:rPr>
            </w:pPr>
          </w:p>
        </w:tc>
        <w:tc>
          <w:tcPr>
            <w:tcW w:w="840" w:type="dxa"/>
            <w:vAlign w:val="bottom"/>
            <w:gridSpan w:val="2"/>
          </w:tcPr>
          <w:p>
            <w:pPr>
              <w:jc w:val="right"/>
              <w:ind w:right="112"/>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40" w:type="dxa"/>
            <w:vAlign w:val="bottom"/>
            <w:tcBorders>
              <w:top w:val="single" w:sz="8" w:color="auto"/>
            </w:tcBorders>
            <w:gridSpan w:val="4"/>
          </w:tcPr>
          <w:p>
            <w:pPr>
              <w:jc w:val="right"/>
              <w:ind w:right="372"/>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  7,359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$ 40,336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continuing operating activities:</w:t>
            </w: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Net loss from discontinued operations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Depreciation, depletion and amortization of property, plant and equipment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13,060</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Cash provided (used) by changes in assets and liabilities (net of effects of discontinued operations):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(13,696)</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6,015</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and accrued income taxes</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(10,853)</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Other supplies, prepaid items and other</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(5,393)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Customer deposits</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(6,529)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and noncurrent liabilities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Pr>
          <w:p>
            <w:pPr>
              <w:ind w:left="860"/>
              <w:spacing w:after="0"/>
              <w:rPr>
                <w:sz w:val="20"/>
                <w:szCs w:val="20"/>
                <w:color w:val="auto"/>
              </w:rPr>
            </w:pPr>
            <w:r>
              <w:rPr>
                <w:rFonts w:ascii="Arial" w:cs="Arial" w:eastAsia="Arial" w:hAnsi="Arial"/>
                <w:sz w:val="18"/>
                <w:szCs w:val="18"/>
                <w:color w:val="auto"/>
              </w:rPr>
              <w:t>Deferred gain on insurance recoveries</w:t>
            </w:r>
          </w:p>
        </w:tc>
        <w:tc>
          <w:tcPr>
            <w:tcW w:w="10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continuing operating activities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6,878</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b w:val="1"/>
                <w:bCs w:val="1"/>
                <w:color w:val="auto"/>
              </w:rPr>
              <w:t>Cash flows from continuing investing activities</w:t>
            </w: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w:t>
            </w:r>
          </w:p>
        </w:tc>
        <w:tc>
          <w:tcPr>
            <w:tcW w:w="1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(82,608)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Proceeds from property insurance recovery associated with property, plant and equipment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14,022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Proceeds from short-term investments</w:t>
            </w:r>
          </w:p>
        </w:tc>
        <w:tc>
          <w:tcPr>
            <w:tcW w:w="10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short-term investments</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Deposits of restricted cash</w:t>
            </w:r>
          </w:p>
        </w:tc>
        <w:tc>
          <w:tcPr>
            <w:tcW w:w="1980" w:type="dxa"/>
            <w:vAlign w:val="bottom"/>
            <w:gridSpan w:val="3"/>
          </w:tcPr>
          <w:p>
            <w:pPr>
              <w:jc w:val="right"/>
              <w:ind w:right="180"/>
              <w:spacing w:after="0"/>
              <w:rPr>
                <w:sz w:val="20"/>
                <w:szCs w:val="20"/>
                <w:color w:val="auto"/>
              </w:rPr>
            </w:pPr>
            <w:r>
              <w:rPr>
                <w:rFonts w:ascii="Arial" w:cs="Arial" w:eastAsia="Arial" w:hAnsi="Arial"/>
                <w:sz w:val="18"/>
                <w:szCs w:val="18"/>
                <w:color w:val="auto"/>
              </w:rPr>
              <w:t>(749)</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contractual obligations—carbon credits</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0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by continuing investing activities</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(68,923)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(32,860)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2013 and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5"/>
          </w:tcPr>
          <w:p>
            <w:pPr>
              <w:jc w:val="right"/>
              <w:ind w:right="353"/>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continuing financing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other long-term debt, net of fees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39,825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other long-term debt</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Payments of debt issuance costs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short-term financing</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Proceeds from revolving debt facility</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on revolving debt facility</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(209,238)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Payments on loans secured by cash value of life insurance policies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Excess income tax benefit associated with stock-based compensation</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redeemable preferred stock</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Dividends paid on preferred stocks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continuing financing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29,701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flows of discontinued operations: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cash flows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60" w:type="dxa"/>
            <w:vAlign w:val="bottom"/>
            <w:gridSpan w:val="2"/>
            <w:vMerge w:val="continue"/>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(32,448)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13,770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98,020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124,929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65,572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138,699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payments for income taxes, net of refunds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11,865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20"/>
              <w:spacing w:after="0"/>
              <w:rPr>
                <w:sz w:val="20"/>
                <w:szCs w:val="20"/>
                <w:color w:val="auto"/>
              </w:rPr>
            </w:pPr>
            <w:r>
              <w:rPr>
                <w:rFonts w:ascii="Arial" w:cs="Arial" w:eastAsia="Arial" w:hAnsi="Arial"/>
                <w:sz w:val="18"/>
                <w:szCs w:val="18"/>
                <w:color w:val="auto"/>
              </w:rPr>
              <w:t>Insurance claims receivable associated with property, plant and equipment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Other assets, accounts payable and long-term debt associated with additions of property, plant and equipment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11,486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9,418</w:t>
            </w:r>
          </w:p>
        </w:tc>
        <w:tc>
          <w:tcPr>
            <w:tcW w:w="0" w:type="dxa"/>
            <w:vAlign w:val="bottom"/>
          </w:tcPr>
          <w:p>
            <w:pPr>
              <w:spacing w:after="0"/>
              <w:rPr>
                <w:sz w:val="1"/>
                <w:szCs w:val="1"/>
                <w:color w:val="auto"/>
              </w:rPr>
            </w:pPr>
          </w:p>
        </w:tc>
      </w:tr>
      <w:tr>
        <w:trPr>
          <w:trHeight w:val="363"/>
        </w:trPr>
        <w:tc>
          <w:tcPr>
            <w:tcW w:w="8860" w:type="dxa"/>
            <w:vAlign w:val="bottom"/>
            <w:gridSpan w:val="2"/>
          </w:tcPr>
          <w:p>
            <w:pPr>
              <w:jc w:val="right"/>
              <w:ind w:right="3012"/>
              <w:spacing w:after="0"/>
              <w:rPr>
                <w:sz w:val="20"/>
                <w:szCs w:val="20"/>
                <w:color w:val="auto"/>
              </w:rPr>
            </w:pPr>
            <w:r>
              <w:rPr>
                <w:rFonts w:ascii="Arial" w:cs="Arial" w:eastAsia="Arial" w:hAnsi="Arial"/>
                <w:sz w:val="18"/>
                <w:szCs w:val="18"/>
                <w:color w:val="auto"/>
              </w:rPr>
              <w:t>8</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For a complete discussion of our significant accounting policies, refer to the notes to our audited consolidated financial statements included in our Form 10-K for the year ended December 31, 2012 (“2012 Form 10-K”), filed with the Securities and Exchange Commission (“SEC”) on February 28, 2013.</w:t>
      </w:r>
    </w:p>
    <w:p>
      <w:pPr>
        <w:spacing w:after="0" w:line="7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b w:val="1"/>
          <w:bCs w:val="1"/>
          <w:color w:val="auto"/>
        </w:rPr>
        <w:t>Basis of Consolidation and Presentation—</w:t>
      </w:r>
      <w:r>
        <w:rPr>
          <w:rFonts w:ascii="Arial" w:cs="Arial" w:eastAsia="Arial" w:hAnsi="Arial"/>
          <w:sz w:val="16"/>
          <w:szCs w:val="16"/>
          <w:color w:val="auto"/>
        </w:rPr>
        <w:t>LSB Industries, Inc. (“LSB”) and its subsidiaries (the “Company”, “We”, “Us”, or “Our”) are consolidated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accompanying condensed consolidated financial statements. We are involved in manufacturing and marketing operations. We are primarily engaged in the manufacture and sale of chemical products (the “Chemical Business”) and the manufacture and sale of geothermal and water source heat pumps and air handling products (the “Climate Control Business”). LSB is a holding company with no significant operations or assets other than cash, cash equivalents, and investments in its subsidiaries. Our Chemical Business’ ownership of working interests in natural gas properties is accounted for as an undivided interest, whereby we reflect our proportionate share of the underlying assets, liabilities, revenues and expenses. Entities that are 20% to 50% owned and for which we have significant influence are accounted for on the equity method. All material intercompany accounts and transactions have been eliminated.</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the opinion of management, the unaudited condensed consolidated financial statements of the Company as of June 30, 2013 and for the six and three-month periods ended June 30, 2013 and 2012 include all adjustments and accruals, consisting of normal, recurring accrual adjustments which are necessary for a fair presentation of the results for the interim periods. These interim results are not necessarily indicative of results for a full year due, in part, to the seasonality of our sales of agricultural products, certain downtime events associated with our chemical facilities,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2012 Form 10-K.</w:t>
      </w:r>
    </w:p>
    <w:p>
      <w:pPr>
        <w:spacing w:after="0" w:line="137" w:lineRule="exact"/>
        <w:rPr>
          <w:sz w:val="20"/>
          <w:szCs w:val="20"/>
          <w:color w:val="auto"/>
        </w:rPr>
      </w:pPr>
    </w:p>
    <w:p>
      <w:pPr>
        <w:jc w:val="both"/>
        <w:ind w:right="100"/>
        <w:spacing w:after="0" w:line="339" w:lineRule="auto"/>
        <w:rPr>
          <w:sz w:val="20"/>
          <w:szCs w:val="20"/>
          <w:color w:val="auto"/>
        </w:rPr>
      </w:pPr>
      <w:r>
        <w:rPr>
          <w:rFonts w:ascii="Arial" w:cs="Arial" w:eastAsia="Arial" w:hAnsi="Arial"/>
          <w:sz w:val="15"/>
          <w:szCs w:val="15"/>
          <w:b w:val="1"/>
          <w:bCs w:val="1"/>
          <w:color w:val="auto"/>
        </w:rPr>
        <w:t>Reclassifications—</w:t>
      </w:r>
      <w:r>
        <w:rPr>
          <w:rFonts w:ascii="Arial" w:cs="Arial" w:eastAsia="Arial" w:hAnsi="Arial"/>
          <w:sz w:val="15"/>
          <w:szCs w:val="15"/>
          <w:color w:val="auto"/>
        </w:rPr>
        <w:t>Reclassifications have been made in our condensed consolidated statement of cash flows for the six months ended June 30, 2012 to conform</w:t>
      </w:r>
      <w:r>
        <w:rPr>
          <w:rFonts w:ascii="Arial" w:cs="Arial" w:eastAsia="Arial" w:hAnsi="Arial"/>
          <w:sz w:val="15"/>
          <w:szCs w:val="15"/>
          <w:b w:val="1"/>
          <w:bCs w:val="1"/>
          <w:color w:val="auto"/>
        </w:rPr>
        <w:t xml:space="preserve"> </w:t>
      </w:r>
      <w:r>
        <w:rPr>
          <w:rFonts w:ascii="Arial" w:cs="Arial" w:eastAsia="Arial" w:hAnsi="Arial"/>
          <w:sz w:val="15"/>
          <w:szCs w:val="15"/>
          <w:color w:val="auto"/>
        </w:rPr>
        <w:t>to our condensed consolidated statement of cash flows for the six months ended June 30, 2013, which reclassifications combined various operating activities line items. These reclassifications did not impact the total amount of net cash provided by continuing operating activities for the six months ended June 30, 2012.</w:t>
      </w:r>
    </w:p>
    <w:p>
      <w:pPr>
        <w:spacing w:after="0" w:line="79"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Use of Estimates—</w:t>
      </w:r>
      <w:r>
        <w:rPr>
          <w:rFonts w:ascii="Arial" w:cs="Arial" w:eastAsia="Arial" w:hAnsi="Arial"/>
          <w:sz w:val="16"/>
          <w:szCs w:val="16"/>
          <w:color w:val="auto"/>
        </w:rPr>
        <w:t>The preparation of condensed consolidated financial statements in conformity with GAAP requires management to make estimates and</w:t>
      </w:r>
      <w:r>
        <w:rPr>
          <w:rFonts w:ascii="Arial" w:cs="Arial" w:eastAsia="Arial" w:hAnsi="Arial"/>
          <w:sz w:val="16"/>
          <w:szCs w:val="16"/>
          <w:b w:val="1"/>
          <w:bCs w:val="1"/>
          <w:color w:val="auto"/>
        </w:rPr>
        <w:t xml:space="preserve"> </w:t>
      </w:r>
      <w:r>
        <w:rPr>
          <w:rFonts w:ascii="Arial" w:cs="Arial" w:eastAsia="Arial" w:hAnsi="Arial"/>
          <w:sz w:val="16"/>
          <w:szCs w:val="16"/>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consists of cash balances that are legally restricted or designated by us for specific purposes.</w:t>
      </w:r>
    </w:p>
    <w:p>
      <w:pPr>
        <w:spacing w:after="0" w:line="171" w:lineRule="exact"/>
        <w:rPr>
          <w:sz w:val="20"/>
          <w:szCs w:val="20"/>
          <w:color w:val="auto"/>
        </w:rPr>
      </w:pPr>
    </w:p>
    <w:p>
      <w:pPr>
        <w:jc w:val="both"/>
        <w:ind w:right="200"/>
        <w:spacing w:after="0" w:line="262" w:lineRule="auto"/>
        <w:rPr>
          <w:sz w:val="20"/>
          <w:szCs w:val="20"/>
          <w:color w:val="auto"/>
        </w:rPr>
      </w:pPr>
      <w:r>
        <w:rPr>
          <w:rFonts w:ascii="Arial" w:cs="Arial" w:eastAsia="Arial" w:hAnsi="Arial"/>
          <w:sz w:val="18"/>
          <w:szCs w:val="18"/>
          <w:b w:val="1"/>
          <w:bCs w:val="1"/>
          <w:color w:val="auto"/>
        </w:rPr>
        <w:t>Recognition of Insurance Recoveries—</w:t>
      </w:r>
      <w:r>
        <w:rPr>
          <w:rFonts w:ascii="Arial" w:cs="Arial" w:eastAsia="Arial" w:hAnsi="Arial"/>
          <w:sz w:val="18"/>
          <w:szCs w:val="18"/>
          <w:color w:val="auto"/>
        </w:rPr>
        <w:t>If an insurance claim relates to a recovery of our losses, we recognize the recovery when it is probable and reasonably</w:t>
      </w:r>
      <w:r>
        <w:rPr>
          <w:rFonts w:ascii="Arial" w:cs="Arial" w:eastAsia="Arial" w:hAnsi="Arial"/>
          <w:sz w:val="18"/>
          <w:szCs w:val="18"/>
          <w:b w:val="1"/>
          <w:bCs w:val="1"/>
          <w:color w:val="auto"/>
        </w:rPr>
        <w:t xml:space="preserve"> </w:t>
      </w:r>
      <w:r>
        <w:rPr>
          <w:rFonts w:ascii="Arial" w:cs="Arial" w:eastAsia="Arial" w:hAnsi="Arial"/>
          <w:sz w:val="18"/>
          <w:szCs w:val="18"/>
          <w:color w:val="auto"/>
        </w:rPr>
        <w:t>estimable. If our insurance claim relates to a contingent gain, we recognize the recovery when it is realized or realizable and earned. Amounts recoverable from our insurance carriers, if any, are included in accounts receivable.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Income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common share:</w:t>
      </w:r>
    </w:p>
    <w:p>
      <w:pPr>
        <w:spacing w:after="0" w:line="17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(Dollars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gridSpan w:val="6"/>
          </w:tcPr>
          <w:p>
            <w:pPr>
              <w:jc w:val="right"/>
              <w:ind w:right="128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2380" w:type="dxa"/>
            <w:vAlign w:val="bottom"/>
            <w:gridSpan w:val="5"/>
          </w:tcPr>
          <w:p>
            <w:pPr>
              <w:ind w:left="5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215"/>
              <w:spacing w:after="0"/>
              <w:rPr>
                <w:sz w:val="20"/>
                <w:szCs w:val="20"/>
                <w:color w:val="auto"/>
              </w:rPr>
            </w:pPr>
            <w:r>
              <w:rPr>
                <w:rFonts w:ascii="Arial" w:cs="Arial" w:eastAsia="Arial" w:hAnsi="Arial"/>
                <w:sz w:val="14"/>
                <w:szCs w:val="14"/>
                <w:color w:val="auto"/>
              </w:rPr>
              <w:t>2013</w:t>
            </w:r>
          </w:p>
        </w:tc>
        <w:tc>
          <w:tcPr>
            <w:tcW w:w="8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w w:val="81"/>
              </w:rPr>
              <w:t>June 30,</w:t>
            </w:r>
          </w:p>
        </w:tc>
        <w:tc>
          <w:tcPr>
            <w:tcW w:w="800" w:type="dxa"/>
            <w:vAlign w:val="bottom"/>
            <w:vMerge w:val="restart"/>
          </w:tcPr>
          <w:p>
            <w:pPr>
              <w:jc w:val="right"/>
              <w:ind w:right="234"/>
              <w:spacing w:after="0"/>
              <w:rPr>
                <w:sz w:val="20"/>
                <w:szCs w:val="20"/>
                <w:color w:val="auto"/>
              </w:rPr>
            </w:pPr>
            <w:r>
              <w:rPr>
                <w:rFonts w:ascii="Arial" w:cs="Arial" w:eastAsia="Arial" w:hAnsi="Arial"/>
                <w:sz w:val="14"/>
                <w:szCs w:val="14"/>
                <w:color w:val="auto"/>
              </w:rPr>
              <w:t>2012</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4"/>
                <w:szCs w:val="14"/>
                <w:color w:val="auto"/>
              </w:rPr>
              <w:t>2013</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June 30,</w:t>
            </w: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7,359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40,336</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Series B Preferred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880"/>
              <w:spacing w:after="0"/>
              <w:rPr>
                <w:sz w:val="20"/>
                <w:szCs w:val="20"/>
                <w:color w:val="auto"/>
              </w:rPr>
            </w:pPr>
            <w:r>
              <w:rPr>
                <w:rFonts w:ascii="Arial" w:cs="Arial" w:eastAsia="Arial" w:hAnsi="Arial"/>
                <w:sz w:val="18"/>
                <w:szCs w:val="18"/>
                <w:color w:val="auto"/>
              </w:rPr>
              <w:t>Dividends on Series D Preferred</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Total dividends on preferred stocks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060" w:type="dxa"/>
            <w:vAlign w:val="bottom"/>
          </w:tcPr>
          <w:p>
            <w:pPr>
              <w:ind w:left="440"/>
              <w:spacing w:after="0"/>
              <w:rPr>
                <w:sz w:val="20"/>
                <w:szCs w:val="20"/>
                <w:color w:val="auto"/>
              </w:rPr>
            </w:pPr>
            <w:r>
              <w:rPr>
                <w:rFonts w:ascii="Arial" w:cs="Arial" w:eastAsia="Arial" w:hAnsi="Arial"/>
                <w:sz w:val="18"/>
                <w:szCs w:val="18"/>
                <w:color w:val="auto"/>
              </w:rPr>
              <w:t>Numerator for basic net income per common share—net</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income applicable to common stock</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7,059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40,036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Dividends on preferred stocks assumed to be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converted, if dilutive</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60" w:type="dxa"/>
            <w:vAlign w:val="bottom"/>
            <w:vMerge w:val="restart"/>
          </w:tcPr>
          <w:p>
            <w:pPr>
              <w:ind w:left="440"/>
              <w:spacing w:after="0"/>
              <w:rPr>
                <w:sz w:val="20"/>
                <w:szCs w:val="20"/>
                <w:color w:val="auto"/>
              </w:rPr>
            </w:pPr>
            <w:r>
              <w:rPr>
                <w:rFonts w:ascii="Arial" w:cs="Arial" w:eastAsia="Arial" w:hAnsi="Arial"/>
                <w:sz w:val="18"/>
                <w:szCs w:val="18"/>
                <w:color w:val="auto"/>
              </w:rPr>
              <w:t>Numerator for diluted net income per common share</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7,119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40,336</w:t>
            </w:r>
          </w:p>
        </w:tc>
        <w:tc>
          <w:tcPr>
            <w:tcW w:w="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7,427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060" w:type="dxa"/>
            <w:vAlign w:val="bottom"/>
          </w:tcPr>
          <w:p>
            <w:pPr>
              <w:ind w:left="440"/>
              <w:spacing w:after="0"/>
              <w:rPr>
                <w:sz w:val="20"/>
                <w:szCs w:val="20"/>
                <w:color w:val="auto"/>
              </w:rPr>
            </w:pPr>
            <w:r>
              <w:rPr>
                <w:rFonts w:ascii="Arial" w:cs="Arial" w:eastAsia="Arial" w:hAnsi="Arial"/>
                <w:sz w:val="18"/>
                <w:szCs w:val="18"/>
                <w:color w:val="auto"/>
              </w:rPr>
              <w:t>Denominator for basic net income per common share—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60" w:type="dxa"/>
            <w:vAlign w:val="bottom"/>
          </w:tcPr>
          <w:p>
            <w:pPr>
              <w:ind w:left="660"/>
              <w:spacing w:after="0"/>
              <w:rPr>
                <w:sz w:val="20"/>
                <w:szCs w:val="20"/>
                <w:color w:val="auto"/>
              </w:rPr>
            </w:pPr>
            <w:r>
              <w:rPr>
                <w:rFonts w:ascii="Arial" w:cs="Arial" w:eastAsia="Arial" w:hAnsi="Arial"/>
                <w:sz w:val="18"/>
                <w:szCs w:val="18"/>
                <w:color w:val="auto"/>
              </w:rPr>
              <w:t>weighted-average shares</w:t>
            </w: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22,430,589</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22,332,303</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22,437,485</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22,340,826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300"/>
              <w:spacing w:after="0"/>
              <w:rPr>
                <w:sz w:val="20"/>
                <w:szCs w:val="20"/>
                <w:color w:val="auto"/>
              </w:rPr>
            </w:pPr>
            <w:r>
              <w:rPr>
                <w:rFonts w:ascii="Arial" w:cs="Arial" w:eastAsia="Arial" w:hAnsi="Arial"/>
                <w:sz w:val="18"/>
                <w:szCs w:val="18"/>
                <w:color w:val="auto"/>
              </w:rPr>
              <w:t>Convertible preferred stocks</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917,346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Stock options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234,071</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266,776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223,232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ind w:left="1740"/>
              <w:spacing w:after="0"/>
              <w:rPr>
                <w:sz w:val="20"/>
                <w:szCs w:val="20"/>
                <w:color w:val="auto"/>
              </w:rPr>
            </w:pPr>
            <w:r>
              <w:rPr>
                <w:rFonts w:ascii="Arial" w:cs="Arial" w:eastAsia="Arial" w:hAnsi="Arial"/>
                <w:sz w:val="18"/>
                <w:szCs w:val="18"/>
                <w:color w:val="auto"/>
              </w:rPr>
              <w:t>Dilutive potential common shares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484,071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1,184,122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1,139,898</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1,168,504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Denominator for diluted net income per common share—</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adjusted weighted-average shares and assumed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conversions</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22,914,660</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23,516,425</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23,577,383</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23,509,330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Arial" w:cs="Arial" w:eastAsia="Arial" w:hAnsi="Arial"/>
                <w:sz w:val="18"/>
                <w:szCs w:val="18"/>
                <w:color w:val="auto"/>
              </w:rPr>
              <w:t>Basic net income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1.79</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per common share as their effect would have been antidilutive:</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color w:val="auto"/>
              </w:rPr>
              <w:t>Six Months Ended</w:t>
            </w:r>
          </w:p>
        </w:tc>
        <w:tc>
          <w:tcPr>
            <w:tcW w:w="1660" w:type="dxa"/>
            <w:vAlign w:val="bottom"/>
            <w:gridSpan w:val="4"/>
          </w:tcPr>
          <w:p>
            <w:pPr>
              <w:jc w:val="center"/>
              <w:ind w:right="8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60" w:type="dxa"/>
            <w:vAlign w:val="bottom"/>
            <w:gridSpan w:val="4"/>
          </w:tcPr>
          <w:p>
            <w:pPr>
              <w:jc w:val="right"/>
              <w:ind w:right="860"/>
              <w:spacing w:after="0" w:line="149" w:lineRule="exact"/>
              <w:rPr>
                <w:sz w:val="20"/>
                <w:szCs w:val="20"/>
                <w:color w:val="auto"/>
              </w:rPr>
            </w:pPr>
            <w:r>
              <w:rPr>
                <w:rFonts w:ascii="Arial" w:cs="Arial" w:eastAsia="Arial" w:hAnsi="Arial"/>
                <w:sz w:val="14"/>
                <w:szCs w:val="14"/>
                <w:color w:val="auto"/>
              </w:rPr>
              <w:t>June 30,</w:t>
            </w:r>
          </w:p>
        </w:tc>
        <w:tc>
          <w:tcPr>
            <w:tcW w:w="166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81"/>
              </w:rPr>
              <w:t>June 30,</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40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2013</w:t>
            </w:r>
          </w:p>
        </w:tc>
        <w:tc>
          <w:tcPr>
            <w:tcW w:w="920" w:type="dxa"/>
            <w:vAlign w:val="bottom"/>
            <w:gridSpan w:val="2"/>
          </w:tcPr>
          <w:p>
            <w:pPr>
              <w:jc w:val="right"/>
              <w:ind w:right="92"/>
              <w:spacing w:after="0" w:line="159" w:lineRule="exact"/>
              <w:rPr>
                <w:sz w:val="20"/>
                <w:szCs w:val="20"/>
                <w:color w:val="auto"/>
              </w:rPr>
            </w:pPr>
            <w:r>
              <w:rPr>
                <w:rFonts w:ascii="Arial" w:cs="Arial" w:eastAsia="Arial" w:hAnsi="Arial"/>
                <w:sz w:val="14"/>
                <w:szCs w:val="14"/>
                <w:color w:val="auto"/>
              </w:rPr>
              <w:t>2012</w:t>
            </w:r>
          </w:p>
        </w:tc>
        <w:tc>
          <w:tcPr>
            <w:tcW w:w="300" w:type="dxa"/>
            <w:vAlign w:val="bottom"/>
          </w:tcPr>
          <w:p>
            <w:pPr>
              <w:spacing w:after="0"/>
              <w:rPr>
                <w:sz w:val="13"/>
                <w:szCs w:val="13"/>
                <w:color w:val="auto"/>
              </w:rPr>
            </w:pPr>
          </w:p>
        </w:tc>
        <w:tc>
          <w:tcPr>
            <w:tcW w:w="640" w:type="dxa"/>
            <w:vAlign w:val="bottom"/>
          </w:tcPr>
          <w:p>
            <w:pPr>
              <w:jc w:val="right"/>
              <w:ind w:right="102"/>
              <w:spacing w:after="0" w:line="15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3"/>
                <w:szCs w:val="13"/>
                <w:color w:val="auto"/>
              </w:rPr>
            </w:pPr>
          </w:p>
        </w:tc>
        <w:tc>
          <w:tcPr>
            <w:tcW w:w="620" w:type="dxa"/>
            <w:vAlign w:val="bottom"/>
          </w:tcPr>
          <w:p>
            <w:pPr>
              <w:jc w:val="right"/>
              <w:ind w:right="97"/>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stocks</w:t>
            </w:r>
          </w:p>
        </w:tc>
        <w:tc>
          <w:tcPr>
            <w:tcW w:w="3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666,666</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Stock options</w:t>
            </w:r>
          </w:p>
        </w:tc>
        <w:tc>
          <w:tcPr>
            <w:tcW w:w="34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251,683</w:t>
            </w:r>
          </w:p>
        </w:tc>
        <w:tc>
          <w:tcPr>
            <w:tcW w:w="2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254,000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250,016</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918,349</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254,000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250,016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400" w:type="dxa"/>
            <w:vAlign w:val="bottom"/>
            <w:vMerge w:val="restart"/>
          </w:tcPr>
          <w:p>
            <w:pPr>
              <w:jc w:val="right"/>
              <w:ind w:right="1562"/>
              <w:spacing w:after="0"/>
              <w:rPr>
                <w:sz w:val="20"/>
                <w:szCs w:val="20"/>
                <w:color w:val="auto"/>
              </w:rPr>
            </w:pPr>
            <w:r>
              <w:rPr>
                <w:rFonts w:ascii="Arial" w:cs="Arial" w:eastAsia="Arial" w:hAnsi="Arial"/>
                <w:sz w:val="18"/>
                <w:szCs w:val="18"/>
                <w:color w:val="auto"/>
              </w:rPr>
              <w:t>10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8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459" w:right="5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Accounts Receivable, net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accounts receivables, net, consists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940" w:type="dxa"/>
            <w:vAlign w:val="bottom"/>
            <w:gridSpan w:val="2"/>
          </w:tcPr>
          <w:p>
            <w:pPr>
              <w:jc w:val="right"/>
              <w:ind w:right="352"/>
              <w:spacing w:after="0"/>
              <w:rPr>
                <w:sz w:val="20"/>
                <w:szCs w:val="20"/>
                <w:color w:val="auto"/>
              </w:rPr>
            </w:pPr>
            <w:r>
              <w:rPr>
                <w:rFonts w:ascii="Arial" w:cs="Arial" w:eastAsia="Arial" w:hAnsi="Arial"/>
                <w:sz w:val="14"/>
                <w:szCs w:val="14"/>
                <w:color w:val="auto"/>
                <w:w w:val="93"/>
              </w:rPr>
              <w:t>June 30,</w:t>
            </w:r>
          </w:p>
        </w:tc>
        <w:tc>
          <w:tcPr>
            <w:tcW w:w="1180" w:type="dxa"/>
            <w:vAlign w:val="bottom"/>
            <w:gridSpan w:val="4"/>
          </w:tcPr>
          <w:p>
            <w:pPr>
              <w:ind w:left="300"/>
              <w:spacing w:after="0"/>
              <w:rPr>
                <w:sz w:val="20"/>
                <w:szCs w:val="20"/>
                <w:color w:val="auto"/>
              </w:rPr>
            </w:pPr>
            <w:r>
              <w:rPr>
                <w:rFonts w:ascii="Arial" w:cs="Arial" w:eastAsia="Arial" w:hAnsi="Arial"/>
                <w:sz w:val="14"/>
                <w:szCs w:val="14"/>
                <w:color w:val="auto"/>
                <w:w w:val="97"/>
              </w:rPr>
              <w:t>December 31,</w:t>
            </w:r>
          </w:p>
        </w:tc>
      </w:tr>
      <w:tr>
        <w:trPr>
          <w:trHeight w:val="159"/>
        </w:trPr>
        <w:tc>
          <w:tcPr>
            <w:tcW w:w="6560" w:type="dxa"/>
            <w:vAlign w:val="bottom"/>
          </w:tcPr>
          <w:p>
            <w:pPr>
              <w:spacing w:after="0"/>
              <w:rPr>
                <w:sz w:val="13"/>
                <w:szCs w:val="13"/>
                <w:color w:val="auto"/>
              </w:rPr>
            </w:pPr>
          </w:p>
        </w:tc>
        <w:tc>
          <w:tcPr>
            <w:tcW w:w="580" w:type="dxa"/>
            <w:vAlign w:val="bottom"/>
            <w:tcBorders>
              <w:bottom w:val="single" w:sz="8" w:color="auto"/>
            </w:tcBorders>
          </w:tcPr>
          <w:p>
            <w:pPr>
              <w:jc w:val="right"/>
              <w:ind w:right="77"/>
              <w:spacing w:after="0" w:line="159" w:lineRule="exact"/>
              <w:rPr>
                <w:sz w:val="20"/>
                <w:szCs w:val="20"/>
                <w:color w:val="auto"/>
              </w:rPr>
            </w:pPr>
            <w:r>
              <w:rPr>
                <w:rFonts w:ascii="Arial" w:cs="Arial" w:eastAsia="Arial" w:hAnsi="Arial"/>
                <w:sz w:val="14"/>
                <w:szCs w:val="14"/>
                <w:color w:val="auto"/>
              </w:rPr>
              <w:t>2013</w:t>
            </w:r>
          </w:p>
        </w:tc>
        <w:tc>
          <w:tcPr>
            <w:tcW w:w="3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9" w:lineRule="exact"/>
              <w:rPr>
                <w:sz w:val="20"/>
                <w:szCs w:val="20"/>
                <w:color w:val="auto"/>
              </w:rPr>
            </w:pPr>
            <w:r>
              <w:rPr>
                <w:rFonts w:ascii="Arial" w:cs="Arial" w:eastAsia="Arial" w:hAnsi="Arial"/>
                <w:sz w:val="14"/>
                <w:szCs w:val="14"/>
                <w:color w:val="auto"/>
                <w:w w:val="96"/>
              </w:rPr>
              <w:t>2012</w:t>
            </w:r>
          </w:p>
        </w:tc>
        <w:tc>
          <w:tcPr>
            <w:tcW w:w="120" w:type="dxa"/>
            <w:vAlign w:val="bottom"/>
          </w:tcPr>
          <w:p>
            <w:pPr>
              <w:spacing w:after="0"/>
              <w:rPr>
                <w:sz w:val="13"/>
                <w:szCs w:val="13"/>
                <w:color w:val="auto"/>
              </w:rPr>
            </w:pPr>
          </w:p>
        </w:tc>
      </w:tr>
      <w:tr>
        <w:trPr>
          <w:trHeight w:val="142"/>
        </w:trPr>
        <w:tc>
          <w:tcPr>
            <w:tcW w:w="6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gridSpan w:val="3"/>
          </w:tcPr>
          <w:p>
            <w:pPr>
              <w:ind w:left="20"/>
              <w:spacing w:after="0" w:line="142" w:lineRule="exact"/>
              <w:rPr>
                <w:sz w:val="20"/>
                <w:szCs w:val="20"/>
                <w:color w:val="auto"/>
              </w:rPr>
            </w:pPr>
            <w:r>
              <w:rPr>
                <w:rFonts w:ascii="Arial" w:cs="Arial" w:eastAsia="Arial" w:hAnsi="Arial"/>
                <w:sz w:val="14"/>
                <w:szCs w:val="14"/>
                <w:color w:val="auto"/>
                <w:w w:val="87"/>
              </w:rPr>
              <w:t>(In Thousands)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$94,200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72,505</w:t>
            </w:r>
          </w:p>
        </w:tc>
        <w:tc>
          <w:tcPr>
            <w:tcW w:w="12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Insurance claims</w:t>
            </w:r>
          </w:p>
        </w:tc>
        <w:tc>
          <w:tcPr>
            <w:tcW w:w="580" w:type="dxa"/>
            <w:vAlign w:val="bottom"/>
          </w:tcPr>
          <w:p>
            <w:pPr>
              <w:jc w:val="right"/>
              <w:spacing w:after="0"/>
              <w:rPr>
                <w:sz w:val="20"/>
                <w:szCs w:val="20"/>
                <w:color w:val="auto"/>
              </w:rPr>
            </w:pPr>
            <w:r>
              <w:rPr>
                <w:rFonts w:ascii="Arial" w:cs="Arial" w:eastAsia="Arial" w:hAnsi="Arial"/>
                <w:sz w:val="18"/>
                <w:szCs w:val="18"/>
                <w:color w:val="auto"/>
              </w:rPr>
              <w:t>1,907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10,059</w:t>
            </w:r>
          </w:p>
        </w:tc>
        <w:tc>
          <w:tcPr>
            <w:tcW w:w="12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shd w:val="clear" w:color="auto" w:fill="CCEEFF"/>
          </w:tcPr>
          <w:p>
            <w:pPr>
              <w:spacing w:after="0"/>
              <w:rPr>
                <w:sz w:val="18"/>
                <w:szCs w:val="18"/>
                <w:color w:val="auto"/>
              </w:rPr>
            </w:pPr>
          </w:p>
        </w:tc>
      </w:tr>
      <w:tr>
        <w:trPr>
          <w:trHeight w:val="221"/>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97,153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83,437</w:t>
            </w:r>
          </w:p>
        </w:tc>
        <w:tc>
          <w:tcPr>
            <w:tcW w:w="120" w:type="dxa"/>
            <w:vAlign w:val="bottom"/>
          </w:tcPr>
          <w:p>
            <w:pPr>
              <w:spacing w:after="0"/>
              <w:rPr>
                <w:sz w:val="19"/>
                <w:szCs w:val="19"/>
                <w:color w:val="auto"/>
              </w:rPr>
            </w:pPr>
          </w:p>
        </w:tc>
      </w:tr>
      <w:tr>
        <w:trPr>
          <w:trHeight w:val="218"/>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94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(673)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w:t>
            </w:r>
          </w:p>
        </w:tc>
      </w:tr>
      <w:tr>
        <w:trPr>
          <w:trHeight w:val="20"/>
        </w:trPr>
        <w:tc>
          <w:tcPr>
            <w:tcW w:w="6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96,480</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82,801</w:t>
            </w:r>
          </w:p>
        </w:tc>
        <w:tc>
          <w:tcPr>
            <w:tcW w:w="12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August 2012, El Dorado Chemical Company (“EDC”) entered into an agreement with Bank of America, N.A. (the “Bank”) to sell our accounts receivables generated from product sales to a certain customer. We agreed to enter into this agreement as a courtesy to this customer. The initial term of this agreement is for one year, with renewal options, but either party has an option to terminate the agreement pursuant to the terms of the agreement. In addition, we amended our sales agreement with the customer to offer extended payment terms under the condition that they pay an extended payment terms premium equal to the discount taken by the Bank when the accounts receivables are sold. Thus, there is no gain or loss from the sale of these receivables to the Bank. We have no continuing involvement or risks associated with the transferred accounts receivable. Pursuant to the terms of the agreement, EDC is to receive payment from the Bank no later than one business day after the Bank’s acceptance of EDC’s offer to sell the accounts receivables. As of June 30, 2013, EDC has been paid by the Bank for the accounts receivables sold to the Bank. We account for these transfers as sales under ASC 860 – Transfers and Servicing.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June 30, 2013 and December 31, 2012, inventory reserves for certain slow-moving inventory items (Climate Control products) were $1,453,000 and</w:t>
      </w:r>
    </w:p>
    <w:p>
      <w:pPr>
        <w:spacing w:after="0" w:line="3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$1,818,000, respectively. In addition, because cost exceeded the net realizable value, inventory reserves for certain nitrogen-based inventories provided by our Chemical Business were $1,056,000 and $975,000 at June 30, 2013 and December 31, 2012,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inventory reserves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0" w:type="dxa"/>
            <w:vAlign w:val="bottom"/>
            <w:gridSpan w:val="4"/>
          </w:tcPr>
          <w:p>
            <w:pPr>
              <w:jc w:val="right"/>
              <w:ind w:right="600"/>
              <w:spacing w:after="0"/>
              <w:rPr>
                <w:sz w:val="20"/>
                <w:szCs w:val="20"/>
                <w:color w:val="auto"/>
              </w:rPr>
            </w:pPr>
            <w:r>
              <w:rPr>
                <w:rFonts w:ascii="Arial" w:cs="Arial" w:eastAsia="Arial" w:hAnsi="Arial"/>
                <w:sz w:val="14"/>
                <w:szCs w:val="14"/>
                <w:color w:val="auto"/>
              </w:rPr>
              <w:t>Six Months Ended</w:t>
            </w:r>
          </w:p>
        </w:tc>
        <w:tc>
          <w:tcPr>
            <w:tcW w:w="1520" w:type="dxa"/>
            <w:vAlign w:val="bottom"/>
            <w:gridSpan w:val="5"/>
          </w:tcPr>
          <w:p>
            <w:pPr>
              <w:jc w:val="right"/>
              <w:ind w:right="240"/>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49"/>
        </w:trPr>
        <w:tc>
          <w:tcPr>
            <w:tcW w:w="7180" w:type="dxa"/>
            <w:vAlign w:val="bottom"/>
          </w:tcPr>
          <w:p>
            <w:pPr>
              <w:spacing w:after="0"/>
              <w:rPr>
                <w:sz w:val="12"/>
                <w:szCs w:val="12"/>
                <w:color w:val="auto"/>
              </w:rPr>
            </w:pPr>
          </w:p>
        </w:tc>
        <w:tc>
          <w:tcPr>
            <w:tcW w:w="1800" w:type="dxa"/>
            <w:vAlign w:val="bottom"/>
            <w:gridSpan w:val="4"/>
          </w:tcPr>
          <w:p>
            <w:pPr>
              <w:jc w:val="right"/>
              <w:ind w:right="880"/>
              <w:spacing w:after="0" w:line="149" w:lineRule="exact"/>
              <w:rPr>
                <w:sz w:val="20"/>
                <w:szCs w:val="20"/>
                <w:color w:val="auto"/>
              </w:rPr>
            </w:pPr>
            <w:r>
              <w:rPr>
                <w:rFonts w:ascii="Arial" w:cs="Arial" w:eastAsia="Arial" w:hAnsi="Arial"/>
                <w:sz w:val="14"/>
                <w:szCs w:val="14"/>
                <w:color w:val="auto"/>
              </w:rPr>
              <w:t>June 30,</w:t>
            </w:r>
          </w:p>
        </w:tc>
        <w:tc>
          <w:tcPr>
            <w:tcW w:w="1520" w:type="dxa"/>
            <w:vAlign w:val="bottom"/>
            <w:gridSpan w:val="5"/>
          </w:tcPr>
          <w:p>
            <w:pPr>
              <w:jc w:val="right"/>
              <w:ind w:right="58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7180" w:type="dxa"/>
            <w:vAlign w:val="bottom"/>
          </w:tcPr>
          <w:p>
            <w:pPr>
              <w:spacing w:after="0"/>
              <w:rPr>
                <w:sz w:val="13"/>
                <w:szCs w:val="13"/>
                <w:color w:val="auto"/>
              </w:rPr>
            </w:pPr>
          </w:p>
        </w:tc>
        <w:tc>
          <w:tcPr>
            <w:tcW w:w="500" w:type="dxa"/>
            <w:vAlign w:val="bottom"/>
          </w:tcPr>
          <w:p>
            <w:pPr>
              <w:jc w:val="right"/>
              <w:ind w:right="41"/>
              <w:spacing w:after="0" w:line="159" w:lineRule="exact"/>
              <w:rPr>
                <w:sz w:val="20"/>
                <w:szCs w:val="20"/>
                <w:color w:val="auto"/>
              </w:rPr>
            </w:pPr>
            <w:r>
              <w:rPr>
                <w:rFonts w:ascii="Arial" w:cs="Arial" w:eastAsia="Arial" w:hAnsi="Arial"/>
                <w:sz w:val="14"/>
                <w:szCs w:val="14"/>
                <w:color w:val="auto"/>
              </w:rPr>
              <w:t>2013</w:t>
            </w:r>
          </w:p>
        </w:tc>
        <w:tc>
          <w:tcPr>
            <w:tcW w:w="400" w:type="dxa"/>
            <w:vAlign w:val="bottom"/>
          </w:tcPr>
          <w:p>
            <w:pPr>
              <w:spacing w:after="0"/>
              <w:rPr>
                <w:sz w:val="13"/>
                <w:szCs w:val="13"/>
                <w:color w:val="auto"/>
              </w:rPr>
            </w:pPr>
          </w:p>
        </w:tc>
        <w:tc>
          <w:tcPr>
            <w:tcW w:w="500" w:type="dxa"/>
            <w:vAlign w:val="bottom"/>
          </w:tcPr>
          <w:p>
            <w:pPr>
              <w:jc w:val="right"/>
              <w:ind w:right="39"/>
              <w:spacing w:after="0" w:line="159" w:lineRule="exact"/>
              <w:rPr>
                <w:sz w:val="20"/>
                <w:szCs w:val="20"/>
                <w:color w:val="auto"/>
              </w:rPr>
            </w:pPr>
            <w:r>
              <w:rPr>
                <w:rFonts w:ascii="Arial" w:cs="Arial" w:eastAsia="Arial" w:hAnsi="Arial"/>
                <w:sz w:val="14"/>
                <w:szCs w:val="14"/>
                <w:color w:val="auto"/>
              </w:rPr>
              <w:t>2012</w:t>
            </w:r>
          </w:p>
        </w:tc>
        <w:tc>
          <w:tcPr>
            <w:tcW w:w="400" w:type="dxa"/>
            <w:vAlign w:val="bottom"/>
          </w:tcPr>
          <w:p>
            <w:pPr>
              <w:spacing w:after="0"/>
              <w:rPr>
                <w:sz w:val="13"/>
                <w:szCs w:val="13"/>
                <w:color w:val="auto"/>
              </w:rPr>
            </w:pPr>
          </w:p>
        </w:tc>
        <w:tc>
          <w:tcPr>
            <w:tcW w:w="500" w:type="dxa"/>
            <w:vAlign w:val="bottom"/>
          </w:tcPr>
          <w:p>
            <w:pPr>
              <w:jc w:val="right"/>
              <w:ind w:right="21"/>
              <w:spacing w:after="0" w:line="15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3"/>
                <w:szCs w:val="13"/>
                <w:color w:val="auto"/>
              </w:rPr>
            </w:pPr>
          </w:p>
        </w:tc>
        <w:tc>
          <w:tcPr>
            <w:tcW w:w="6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tcBorders>
              <w:top w:val="single" w:sz="8" w:color="auto"/>
            </w:tcBorders>
            <w:gridSpan w:val="3"/>
          </w:tcPr>
          <w:p>
            <w:pPr>
              <w:jc w:val="right"/>
              <w:ind w:right="201"/>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$2,793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$1,783</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$2,506</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Provisions for losses</w:t>
            </w: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519</w:t>
            </w: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Write-offs and disposals</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(519)</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2,509</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1,737</w:t>
            </w:r>
          </w:p>
        </w:tc>
        <w:tc>
          <w:tcPr>
            <w:tcW w:w="4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2,509</w:t>
            </w:r>
          </w:p>
        </w:tc>
        <w:tc>
          <w:tcPr>
            <w:tcW w:w="240" w:type="dxa"/>
            <w:vAlign w:val="bottom"/>
          </w:tcPr>
          <w:p>
            <w:pPr>
              <w:spacing w:after="0"/>
              <w:rPr>
                <w:sz w:val="19"/>
                <w:szCs w:val="19"/>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losses is included in cost of sales in the accompanying condensed consolidated statements of income.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20"/>
          </w:cols>
          <w:pgMar w:left="24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Current and Noncurrent Accrued and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noncurrent accrued and other liabilities consist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89"/>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6"/>
              <w:spacing w:after="0" w:line="159" w:lineRule="exact"/>
              <w:rPr>
                <w:sz w:val="20"/>
                <w:szCs w:val="20"/>
                <w:color w:val="auto"/>
              </w:rPr>
            </w:pPr>
            <w:r>
              <w:rPr>
                <w:rFonts w:ascii="Arial" w:cs="Arial" w:eastAsia="Arial" w:hAnsi="Arial"/>
                <w:sz w:val="14"/>
                <w:szCs w:val="14"/>
                <w:color w:val="auto"/>
                <w:w w:val="96"/>
              </w:rPr>
              <w:t>2013</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74"/>
              <w:spacing w:after="0" w:line="159"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3"/>
                <w:szCs w:val="13"/>
                <w:color w:val="auto"/>
              </w:rPr>
            </w:pPr>
          </w:p>
        </w:tc>
      </w:tr>
      <w:tr>
        <w:trPr>
          <w:trHeight w:val="142"/>
        </w:trPr>
        <w:tc>
          <w:tcPr>
            <w:tcW w:w="6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ind w:left="460"/>
              <w:spacing w:after="0" w:line="142" w:lineRule="exact"/>
              <w:rPr>
                <w:sz w:val="20"/>
                <w:szCs w:val="20"/>
                <w:color w:val="auto"/>
              </w:rPr>
            </w:pPr>
            <w:r>
              <w:rPr>
                <w:rFonts w:ascii="Arial" w:cs="Arial" w:eastAsia="Arial" w:hAnsi="Arial"/>
                <w:sz w:val="14"/>
                <w:szCs w:val="14"/>
                <w:color w:val="auto"/>
                <w:w w:val="87"/>
              </w:rPr>
              <w:t>(In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on extended warranty contracts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7,007</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Accrued warranty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6,944</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6,842</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Customer deposits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1,660</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8,189</w:t>
            </w:r>
          </w:p>
        </w:tc>
        <w:tc>
          <w:tcPr>
            <w:tcW w:w="10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21,648</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23,087</w:t>
            </w:r>
          </w:p>
        </w:tc>
        <w:tc>
          <w:tcPr>
            <w:tcW w:w="100" w:type="dxa"/>
            <w:vAlign w:val="bottom"/>
            <w:shd w:val="clear" w:color="auto" w:fill="CCEEFF"/>
          </w:tcPr>
          <w:p>
            <w:pPr>
              <w:spacing w:after="0"/>
              <w:rPr>
                <w:sz w:val="18"/>
                <w:szCs w:val="18"/>
                <w:color w:val="auto"/>
              </w:rPr>
            </w:pPr>
          </w:p>
        </w:tc>
      </w:tr>
      <w:tr>
        <w:trPr>
          <w:trHeight w:val="221"/>
        </w:trPr>
        <w:tc>
          <w:tcPr>
            <w:tcW w:w="6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44,271</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51,067</w:t>
            </w:r>
          </w:p>
        </w:tc>
        <w:tc>
          <w:tcPr>
            <w:tcW w:w="100" w:type="dxa"/>
            <w:vAlign w:val="bottom"/>
          </w:tcPr>
          <w:p>
            <w:pPr>
              <w:spacing w:after="0"/>
              <w:rPr>
                <w:sz w:val="19"/>
                <w:szCs w:val="19"/>
                <w:color w:val="auto"/>
              </w:rPr>
            </w:pPr>
          </w:p>
        </w:tc>
      </w:tr>
      <w:tr>
        <w:trPr>
          <w:trHeight w:val="218"/>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Less noncurrent portion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16,359</w:t>
            </w:r>
          </w:p>
        </w:tc>
        <w:tc>
          <w:tcPr>
            <w:tcW w:w="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16,369</w:t>
            </w:r>
          </w:p>
        </w:tc>
        <w:tc>
          <w:tcPr>
            <w:tcW w:w="100" w:type="dxa"/>
            <w:vAlign w:val="bottom"/>
            <w:shd w:val="clear" w:color="auto" w:fill="CCEEFF"/>
          </w:tcPr>
          <w:p>
            <w:pPr>
              <w:spacing w:after="0"/>
              <w:rPr>
                <w:sz w:val="18"/>
                <w:szCs w:val="18"/>
                <w:color w:val="auto"/>
              </w:rPr>
            </w:pPr>
          </w:p>
        </w:tc>
      </w:tr>
      <w:tr>
        <w:trPr>
          <w:trHeight w:val="222"/>
        </w:trPr>
        <w:tc>
          <w:tcPr>
            <w:tcW w:w="6640" w:type="dxa"/>
            <w:vAlign w:val="bottom"/>
          </w:tcPr>
          <w:p>
            <w:pPr>
              <w:spacing w:after="0"/>
              <w:rPr>
                <w:sz w:val="20"/>
                <w:szCs w:val="20"/>
                <w:color w:val="auto"/>
              </w:rPr>
            </w:pPr>
            <w:r>
              <w:rPr>
                <w:rFonts w:ascii="Arial" w:cs="Arial" w:eastAsia="Arial" w:hAnsi="Arial"/>
                <w:sz w:val="18"/>
                <w:szCs w:val="18"/>
                <w:color w:val="auto"/>
              </w:rPr>
              <w:t>Current portion of accrued and other liabilities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27,912</w:t>
            </w:r>
          </w:p>
        </w:tc>
        <w:tc>
          <w:tcPr>
            <w:tcW w:w="8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34,698</w:t>
            </w:r>
          </w:p>
        </w:tc>
        <w:tc>
          <w:tcPr>
            <w:tcW w:w="1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Accrued Warranty Costs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Climate Control Business sells equipment that has an expected life, under normal circumstances and use, that extends over several years. As such, we provide warranties after equipment shipment/start-up covering defects in materials and workmanship. Generally for commercial/institutional products, the base warranty coverage for most of the manufactured equipment in the Climate Control Business is limited to eighteen months from the date of shipment or twelve months from the date of start-up, whichever is shorter, and to ninety days for spare parts. For residential products, the base warranty coverage for manufactured equipment in the Climate Control Business is limited to ten years from the date of shipment for material and to five years from the date of shipment for labor associated with the repair. The warranty provides that most equipment is required to be returned to the factory or an authorized representative and the warranty is limited to the repair and replacement of the defective product, with a maximum warranty of the refund of the purchase price. Furthermore, companies within the Climate Control Business generally disclaim and exclude warranties related to merchantability or fitness for any particular purpose and disclaim and exclude any liability for consequential or incidental damages. In some cases, the customer may purchase or a specific product may be sold with an extended warranty. The above discussion is generally applicable to such extended warranties, but variations do occur depending upon specific contractual obligations, certain system components, and local laws.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obligation (accrued warranty costs)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080" w:type="dxa"/>
            <w:vAlign w:val="bottom"/>
            <w:gridSpan w:val="4"/>
          </w:tcPr>
          <w:p>
            <w:pPr>
              <w:jc w:val="right"/>
              <w:ind w:right="780"/>
              <w:spacing w:after="0"/>
              <w:rPr>
                <w:sz w:val="20"/>
                <w:szCs w:val="20"/>
                <w:color w:val="auto"/>
              </w:rPr>
            </w:pPr>
            <w:r>
              <w:rPr>
                <w:rFonts w:ascii="Arial" w:cs="Arial" w:eastAsia="Arial" w:hAnsi="Arial"/>
                <w:sz w:val="14"/>
                <w:szCs w:val="14"/>
                <w:color w:val="auto"/>
              </w:rPr>
              <w:t>Six Months Ended</w:t>
            </w:r>
          </w:p>
        </w:tc>
        <w:tc>
          <w:tcPr>
            <w:tcW w:w="1700" w:type="dxa"/>
            <w:vAlign w:val="bottom"/>
            <w:gridSpan w:val="4"/>
          </w:tcPr>
          <w:p>
            <w:pPr>
              <w:jc w:val="right"/>
              <w:ind w:righ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72"/>
        </w:trPr>
        <w:tc>
          <w:tcPr>
            <w:tcW w:w="6720" w:type="dxa"/>
            <w:vAlign w:val="bottom"/>
          </w:tcPr>
          <w:p>
            <w:pPr>
              <w:spacing w:after="0"/>
              <w:rPr>
                <w:sz w:val="14"/>
                <w:szCs w:val="14"/>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2013</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2012</w:t>
            </w:r>
          </w:p>
        </w:tc>
        <w:tc>
          <w:tcPr>
            <w:tcW w:w="480" w:type="dxa"/>
            <w:vAlign w:val="bottom"/>
          </w:tcPr>
          <w:p>
            <w:pPr>
              <w:spacing w:after="0"/>
              <w:rPr>
                <w:sz w:val="14"/>
                <w:szCs w:val="14"/>
                <w:color w:val="auto"/>
              </w:rPr>
            </w:pPr>
          </w:p>
        </w:tc>
        <w:tc>
          <w:tcPr>
            <w:tcW w:w="560" w:type="dxa"/>
            <w:vAlign w:val="bottom"/>
            <w:vMerge w:val="restart"/>
          </w:tcPr>
          <w:p>
            <w:pPr>
              <w:jc w:val="right"/>
              <w:ind w:right="59"/>
              <w:spacing w:after="0"/>
              <w:rPr>
                <w:sz w:val="20"/>
                <w:szCs w:val="20"/>
                <w:color w:val="auto"/>
              </w:rPr>
            </w:pPr>
            <w:r>
              <w:rPr>
                <w:rFonts w:ascii="Arial" w:cs="Arial" w:eastAsia="Arial" w:hAnsi="Arial"/>
                <w:sz w:val="14"/>
                <w:szCs w:val="14"/>
                <w:color w:val="auto"/>
              </w:rPr>
              <w:t>2013</w:t>
            </w:r>
          </w:p>
        </w:tc>
        <w:tc>
          <w:tcPr>
            <w:tcW w:w="480" w:type="dxa"/>
            <w:vAlign w:val="bottom"/>
          </w:tcPr>
          <w:p>
            <w:pPr>
              <w:jc w:val="right"/>
              <w:spacing w:after="0"/>
              <w:rPr>
                <w:sz w:val="20"/>
                <w:szCs w:val="20"/>
                <w:color w:val="auto"/>
              </w:rPr>
            </w:pPr>
            <w:r>
              <w:rPr>
                <w:rFonts w:ascii="Arial" w:cs="Arial" w:eastAsia="Arial" w:hAnsi="Arial"/>
                <w:sz w:val="14"/>
                <w:szCs w:val="14"/>
                <w:color w:val="auto"/>
                <w:w w:val="81"/>
              </w:rPr>
              <w:t>June 30,</w:t>
            </w:r>
          </w:p>
        </w:tc>
        <w:tc>
          <w:tcPr>
            <w:tcW w:w="560" w:type="dxa"/>
            <w:vAlign w:val="bottom"/>
            <w:vMerge w:val="restart"/>
          </w:tcPr>
          <w:p>
            <w:pPr>
              <w:jc w:val="right"/>
              <w:ind w:right="56"/>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80" w:type="dxa"/>
            <w:vAlign w:val="bottom"/>
            <w:gridSpan w:val="4"/>
          </w:tcPr>
          <w:p>
            <w:pPr>
              <w:jc w:val="right"/>
              <w:ind w:right="812"/>
              <w:spacing w:after="0" w:line="142" w:lineRule="exact"/>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$ 6,172</w:t>
            </w: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$ 5,370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$ 6,486</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$ 5,616</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Amounts charged to costs and expenses</w:t>
            </w:r>
          </w:p>
        </w:tc>
        <w:tc>
          <w:tcPr>
            <w:tcW w:w="560" w:type="dxa"/>
            <w:vAlign w:val="bottom"/>
          </w:tcPr>
          <w:p>
            <w:pPr>
              <w:jc w:val="right"/>
              <w:spacing w:after="0"/>
              <w:rPr>
                <w:sz w:val="20"/>
                <w:szCs w:val="20"/>
                <w:color w:val="auto"/>
              </w:rPr>
            </w:pPr>
            <w:r>
              <w:rPr>
                <w:rFonts w:ascii="Arial" w:cs="Arial" w:eastAsia="Arial" w:hAnsi="Arial"/>
                <w:sz w:val="18"/>
                <w:szCs w:val="18"/>
                <w:color w:val="auto"/>
              </w:rPr>
              <w:t>4,011</w:t>
            </w:r>
          </w:p>
        </w:tc>
        <w:tc>
          <w:tcPr>
            <w:tcW w:w="4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3,344</w:t>
            </w:r>
          </w:p>
        </w:tc>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(3,239)</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(2,636)</w:t>
            </w:r>
          </w:p>
        </w:tc>
        <w:tc>
          <w:tcPr>
            <w:tcW w:w="104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(1,563)</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22"/>
        </w:trPr>
        <w:tc>
          <w:tcPr>
            <w:tcW w:w="67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$ 6,944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$ 6,078</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$ 6,944</w:t>
            </w:r>
          </w:p>
        </w:tc>
        <w:tc>
          <w:tcPr>
            <w:tcW w:w="4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$ 6,078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Asset Retirement Obligations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Currently, we have an obligation to plug and abandon a wastewater injection well at one of our Chemical Business facilities when the permit expires. Additionally, we have certain facilities in our Chemical Business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our Chemical Business owns working interests in certain natural gas properties. We recognized AROs associated with the obligation to plug and abandon wells when the natural gas reserves in the wells are depleted. At June 30, 2013 and December 31, 2012, our accrued liability for AROs was $162,000 and $154,000, respectively.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long-term debt consists of the following:</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8"/>
              <w:spacing w:after="0"/>
              <w:rPr>
                <w:sz w:val="20"/>
                <w:szCs w:val="20"/>
                <w:color w:val="auto"/>
              </w:rPr>
            </w:pPr>
            <w:r>
              <w:rPr>
                <w:rFonts w:ascii="Arial" w:cs="Arial" w:eastAsia="Arial" w:hAnsi="Arial"/>
                <w:sz w:val="14"/>
                <w:szCs w:val="14"/>
                <w:color w:val="auto"/>
                <w:w w:val="85"/>
              </w:rPr>
              <w:t>June 30,</w:t>
            </w: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w w:val="95"/>
              </w:rPr>
              <w:t>December 31,</w:t>
            </w:r>
          </w:p>
        </w:tc>
      </w:tr>
      <w:tr>
        <w:trPr>
          <w:trHeight w:val="159"/>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8"/>
              <w:spacing w:after="0" w:line="159" w:lineRule="exact"/>
              <w:rPr>
                <w:sz w:val="20"/>
                <w:szCs w:val="20"/>
                <w:color w:val="auto"/>
              </w:rPr>
            </w:pPr>
            <w:r>
              <w:rPr>
                <w:rFonts w:ascii="Arial" w:cs="Arial" w:eastAsia="Arial" w:hAnsi="Arial"/>
                <w:sz w:val="14"/>
                <w:szCs w:val="14"/>
                <w:color w:val="auto"/>
              </w:rPr>
              <w:t>2013</w:t>
            </w: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3"/>
          </w:tcPr>
          <w:p>
            <w:pPr>
              <w:ind w:left="520"/>
              <w:spacing w:after="0" w:line="142" w:lineRule="exact"/>
              <w:rPr>
                <w:sz w:val="20"/>
                <w:szCs w:val="20"/>
                <w:color w:val="auto"/>
              </w:rPr>
            </w:pPr>
            <w:r>
              <w:rPr>
                <w:rFonts w:ascii="Arial" w:cs="Arial" w:eastAsia="Arial" w:hAnsi="Arial"/>
                <w:sz w:val="14"/>
                <w:szCs w:val="14"/>
                <w:color w:val="auto"/>
                <w:w w:val="89"/>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Revolver Loan (A)</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Secured Term Loan (B)</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66,563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68,438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Secured Promissory Note (C)</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w w:val="96"/>
              </w:rPr>
              <w:t>Other, with a current weighted-average interest rate of 5.48%, most of which is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secured by machinery, equipment and real estate</w:t>
            </w:r>
          </w:p>
        </w:tc>
        <w:tc>
          <w:tcPr>
            <w:tcW w:w="5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w:t>
            </w: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107,865</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72,441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11,718</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due after one year</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96,147</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67,643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8"/>
        <w:spacing w:after="0" w:line="268" w:lineRule="auto"/>
        <w:tabs>
          <w:tab w:leader="none" w:pos="287"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As of June 30, 2013, our wholly owned subsidiary, ThermaClime, LLC (“ThermaClime”) and its subsidiaries are parties to a $50 million revolving credit facility (the “Working Capital Revolver Loan”). See additional discussion under Note 16 – Subsequent Events.</w:t>
      </w:r>
    </w:p>
    <w:p>
      <w:pPr>
        <w:spacing w:after="0" w:line="131" w:lineRule="exact"/>
        <w:rPr>
          <w:rFonts w:ascii="Arial" w:cs="Arial" w:eastAsia="Arial" w:hAnsi="Arial"/>
          <w:sz w:val="18"/>
          <w:szCs w:val="18"/>
          <w:b w:val="1"/>
          <w:bCs w:val="1"/>
          <w:color w:val="auto"/>
        </w:rPr>
      </w:pPr>
    </w:p>
    <w:p>
      <w:pPr>
        <w:ind w:right="20" w:firstLine="8"/>
        <w:spacing w:after="0" w:line="289" w:lineRule="auto"/>
        <w:tabs>
          <w:tab w:leader="none" w:pos="278"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As of June 30, 2013, ThermaClime and certain of its subsidiaries are parties to a term loan agreement (the “Secured Term Loan”). The stated interest rate on the Secured Term Loan includes a variable interest rate (based on three-month LIBOR plus 300 basis points, a rate that is adjusted quarterly) and a fixed interest rate. At June 30, 2013, the weighted-average interest rate was 3.90%. The Secured Term Loan borrowers are also subject to numerous covenants under the agreement. As defined in the agreement, the Secured Term Loan borrowers are also subject to a minimum fixed charge coverage ratio of not less than 1.10 to 1 and a maximum leverage ratio of not greater than 4.50 to 1. Both of these requirements are measured quarterly on a trailing twelve-month basis. The Secured Term Loan borrowers were in compliance with these financial covenants for the twelve-month period ended June 30, 2013. A prepayment premium equal to 1.0% of the principal amount prepaid is due to the lenders should the borrowers elect to prepay on or prior to March 29, 2014; however, this premium is eliminated thereafter. See additional discussion under Note 16 – Subsequent Events.</w:t>
      </w:r>
    </w:p>
    <w:p>
      <w:pPr>
        <w:spacing w:after="0" w:line="118" w:lineRule="exact"/>
        <w:rPr>
          <w:rFonts w:ascii="Arial" w:cs="Arial" w:eastAsia="Arial" w:hAnsi="Arial"/>
          <w:sz w:val="16"/>
          <w:szCs w:val="16"/>
          <w:b w:val="1"/>
          <w:bCs w:val="1"/>
          <w:color w:val="auto"/>
        </w:rPr>
      </w:pPr>
    </w:p>
    <w:p>
      <w:pPr>
        <w:ind w:left="300" w:hanging="292"/>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On February 1, 2013, Zena Energy LLC (“Zena”), a subsidiary within our Chemical Business, entered into a loan (the “Secured Promissory Note”) with a</w:t>
      </w:r>
    </w:p>
    <w:p>
      <w:pPr>
        <w:spacing w:after="0" w:line="38" w:lineRule="exact"/>
        <w:rPr>
          <w:rFonts w:ascii="Arial" w:cs="Arial" w:eastAsia="Arial" w:hAnsi="Arial"/>
          <w:sz w:val="16"/>
          <w:szCs w:val="16"/>
          <w:b w:val="1"/>
          <w:bCs w:val="1"/>
          <w:color w:val="auto"/>
        </w:rPr>
      </w:pPr>
    </w:p>
    <w:p>
      <w:pPr>
        <w:spacing w:after="0" w:line="290" w:lineRule="auto"/>
        <w:rPr>
          <w:rFonts w:ascii="Arial" w:cs="Arial" w:eastAsia="Arial" w:hAnsi="Arial"/>
          <w:sz w:val="16"/>
          <w:szCs w:val="16"/>
          <w:b w:val="1"/>
          <w:bCs w:val="1"/>
          <w:color w:val="auto"/>
        </w:rPr>
      </w:pPr>
      <w:r>
        <w:rPr>
          <w:rFonts w:ascii="Arial" w:cs="Arial" w:eastAsia="Arial" w:hAnsi="Arial"/>
          <w:sz w:val="16"/>
          <w:szCs w:val="16"/>
          <w:color w:val="auto"/>
        </w:rPr>
        <w:t>lender in the original principal amount of $35 million. The Secured Promissory Note follows the acquisition by Zena of working interests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are being used for general working capital purposes. The Secured Promissory Note matures on February 1, 2016. Principal and interest are payable monthly based on a five-year amortization at a defined LIBOR rate plus 300 basis points (but not below 3.00% per annum) with a final balloon payment of $15.3 million. The interest rate at June 30, 2013 was 3.27%. The loan is secured by the Working Interests and related properties and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w:t>
      </w:r>
    </w:p>
    <w:p>
      <w:pPr>
        <w:spacing w:after="0" w:line="90"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Purchase and Sales Commitments—</w:t>
      </w:r>
      <w:r>
        <w:rPr>
          <w:rFonts w:ascii="Arial" w:cs="Arial" w:eastAsia="Arial" w:hAnsi="Arial"/>
          <w:sz w:val="18"/>
          <w:szCs w:val="18"/>
          <w:color w:val="auto"/>
        </w:rPr>
        <w:t>During the six months ended June 30, 2013, amendments were made to the following significant purchase and sales</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commitments.</w:t>
      </w:r>
    </w:p>
    <w:p>
      <w:pPr>
        <w:spacing w:after="0" w:line="12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Ammonium nitrate supply agreement—Pursuant to a long-term cost-plus supply agreement, EDC sells to a customer a significant annual volume of industrial grade ammonium nitrate (“AN”) produced at our chemical production facility located in El Dorado, Arkansas (the “El Dorado Facility”). In April 2013, this agreement was amended to update and correct the specification of AN solution to be manufactured by EDC. The amendment also modified the required notice of termination from two years to one year.</w:t>
      </w:r>
    </w:p>
    <w:p>
      <w:pPr>
        <w:spacing w:after="0" w:line="14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Bayer Agreement—Subsidiaries within our Chemical Business, El Dorado Nitric Company and its subsidiaries (“EDN”) and EDC, are party to an agreement (the “Bayer Agreement”) with Bayer Material 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In June 2013, the Bayer Agreement was amended, dated effective July 1, 2014, to extend the term of the agreement for an additional seven years, beginning July 1, 2014. The amendment also provides incentives to EDN for meeting certain safety, environmental, and reliability thresholds.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5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Capital Project Commitments—</w:t>
      </w:r>
      <w:r>
        <w:rPr>
          <w:rFonts w:ascii="Arial" w:cs="Arial" w:eastAsia="Arial" w:hAnsi="Arial"/>
          <w:sz w:val="18"/>
          <w:szCs w:val="18"/>
          <w:color w:val="auto"/>
        </w:rPr>
        <w:t>During November 2012, EDC entered into an agreement with Weatherly Inc. for the licensing, engineering, and procurement of</w:t>
      </w:r>
      <w:r>
        <w:rPr>
          <w:rFonts w:ascii="Arial" w:cs="Arial" w:eastAsia="Arial" w:hAnsi="Arial"/>
          <w:sz w:val="18"/>
          <w:szCs w:val="18"/>
          <w:b w:val="1"/>
          <w:bCs w:val="1"/>
          <w:color w:val="auto"/>
        </w:rPr>
        <w:t xml:space="preserve"> </w:t>
      </w:r>
      <w:r>
        <w:rPr>
          <w:rFonts w:ascii="Arial" w:cs="Arial" w:eastAsia="Arial" w:hAnsi="Arial"/>
          <w:sz w:val="18"/>
          <w:szCs w:val="18"/>
          <w:color w:val="auto"/>
        </w:rPr>
        <w:t>major manufacturing equipment for a new 65% strength nitric acid plant to be constructed at the El Dorado Facility. In addition, EDC plans to construct a separate nitric acid concentrator. The estimated cost for this project is approximately $120 million, of which $25.2 million has been incurred and capitalized at June 30, 2013. See additional discussion under Note 16 – Subsequent Events.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r>
        <w:rPr>
          <w:rFonts w:ascii="Arial" w:cs="Arial" w:eastAsia="Arial" w:hAnsi="Arial"/>
          <w:sz w:val="18"/>
          <w:szCs w:val="18"/>
          <w:color w:val="auto"/>
        </w:rPr>
        <w:t>Following is a summary of certain legal matters involving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operations are subject to numerous environmental laws (“Environmental Laws”) and to other federal, state and local laws regarding health and safety matters (“Health Laws”). In particular, the manufacture, production and distribution of products by our Chemical Business are activities that entail environmental and safety risks and impose obligations under the Environmental Laws and the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Laws and Health Laws and enforcement policies thereunder relating to our Chemical Business have in the past resulted, and could in the future result, in compliance expenses, cleanup costs, penalties or other liabilities relating to the handling, manufacture, use, emission, discharge or disposal of effluents at or from our facilities or the use or disposal of certain of its chemical products. Historically, significant expenditures have been incurred by subsidiaries within our Chemical Business in order to comply with the Environmental Laws and Health Laws and are reasonably expected to be incurred in the future. We will also be obligated to manage certain discharge water outlets and monitor groundwater contaminants at our Chemical Business facilities should we discontinue the operations of a facility. We do not operate the natural gas wells where we own an interest and compliance with Environmental and Health Laws is controlled by others, with our Chemical Business being responsible for its proportionate share of the costs involved. As of June 30, 2013, our accrued liabilities for environmental matters totaled $1,074,000 relating primarily to matters discussed below. It is reasonably possible that a change in the estimate of our liability could occur in the near term. Also see discussion in Note 7 – Asset Retirement Obligations.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Discharge Water Matters</w:t>
      </w:r>
    </w:p>
    <w:p>
      <w:pPr>
        <w:spacing w:after="0" w:line="9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Each of our chemical manufacturing facilities generates process wastewater, which may include cooling tower and boiler water quality control streams, contact storm water (rain water inside the facility area that picks up contaminants) and miscellaneous spills and leaks from process equipment. The process water discharge, storm-water runoff and miscellaneous spills and leaks are governed by various permits generally issued by the respective state environmental agencies as authorized by the United States Environmental Protection Agency (“EPA”), subject to oversight by the EPA. These permits limit the type and amount of effluents that can be discharged and controls the method of such discharge. The following are discharge water matters in relation to the respective permits.</w:t>
      </w:r>
    </w:p>
    <w:p>
      <w:pPr>
        <w:spacing w:after="0" w:line="10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El Dorado Facility is subject to a state National Pollutant Discharge Elimination System (“NPDES”) discharge water permit issued by the Arkansas Department of Environmental Quality (“ADEQ”). The El Dorado Facility is currently operating under an NPDES discharge water permit, which became effective in 2004 (“2004 NPDES permit”). In November 2010, a preliminary draft of a discharge water permit renewal for the El Dorado Facility, which contains more restrictive limits, was issued by the ADEQ.</w:t>
      </w:r>
    </w:p>
    <w:p>
      <w:pPr>
        <w:spacing w:after="0" w:line="14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limits, but has, from time to time, had difficulty demonstrating consistent compliance with the more restrictive dissolved minerals permit levels. As part of the El Dorado Facility’s long-term compliance plan, EDC has pursued a rulemaking and permit modification with the ADEQ as to the discharge requirements relating to its dissolved minerals. The ADEQ approved a rule change, but the EPA formally disapproved the rule change. In October 2011, EDC filed a lawsuit against the EPA in the United States District Court, El Dorado, Arkansas, appealing the EPA’s decision disapproving the rule change. In March 2013, the District Court affirmed the EPA’s decision. EDC has appealed the District Court’s decision. We do not believe this matter regarding the dissolved minerals will be an issue once the pipeline discussed below is operational.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2012, EDC settled an Administrative Complaint issued by the EPA, and thereafter handled by the United States Department of Justice (“DOJ”), relating to certain alleged violations of EDC’s 2004 NPDES permit. Initially the Administrative Complaint sought a penalty of $124,000 for alleged violations through December 31, 2010, but was settled by EDC for $100,000 and the EPA/DOJ indicated that any alleged violations from and after January 1, 2011, would be addressed at a later date. Thereafter, the DOJ advised that some action would be taken for alleged violations occurring after December 31, 2010. As of the date of this report, no action has been filed by the DOJ. The cost (or range of costs) cannot currently be reasonably estimated regarding this matter. Therefore, no liability has been established at June 30, 2013.</w:t>
      </w:r>
    </w:p>
    <w:p>
      <w:pPr>
        <w:spacing w:after="0" w:line="1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funding a portion of the construction of the pipeline that will be owned by the City because it believes that it will enable EDC to comply with water discharge permit limits under current and foreseeable regulations. EDC anticipates its share of the funding for the capital cost in connection with the construction of the pipeline will be approximately $3.7 million, of which most of these costs have been incurred and capitalized as of June 30, 2013. The City plans to complete the construction of the pipeline in 2013. Once the pipeline is completed, EDC is contractually obligated to pay a portion of the operating costs of the pipeline, which portion is estimated to be $100,000 to $150,000 annually. The initial term of the operating agreement is through December 2053.</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the El Dorado Facility is currently operating under a consent administrative order (“2006 CAO”) that recognizes the presence of nitrate contamination in the shallow groundwater. The 2006 CAO required EDC to continue semiannual groundwater monitoring, to continue operation of a groundwater recovery system and to submit a human health and ecological risk assessment to the ADEQ relating to the El Dorado Facility. The final remedy for shallow groundwater contamination, should any remediation be required, will be selected pursuant to a new consent administrative order and based upon the risk assessment. The cost of any additional remediation that may be required will be determined based on the results of the investigation and risk assessment, of which cost (or range of costs) cannot currently be reasonably estimated. Therefore, no liability has been established at June 30, 2013, in connection with this matter.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Air Matters</w:t>
      </w:r>
    </w:p>
    <w:p>
      <w:pPr>
        <w:spacing w:after="0" w:line="9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connection with a national enforcement initiative, the EPA has sent information requests to most, if not all, of the operators of nitric acid plants in the United States, including our El Dorado and Cherokee Facilities and the Baytown Facility operated by our subsidiary, EDN, under Section 114 of the Clean Air Act as to construction and modification activities at each of these facilities over a period of years. These information requests were to enable the EPA to determine whether these facilities are in compliance with certain provisions of the Clean Air Act. If the EPA were successful in establishing that any of our chemical facilities were in violation of the Clean Air Act, the EPA could assess civil penalties of up to $27,500 per day and require the facility to retrofit with the “best available control technology.”</w:t>
      </w:r>
    </w:p>
    <w:p>
      <w:pPr>
        <w:spacing w:after="0" w:line="14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During the second quarter of 2013, we negotiated an oral global agreement in principle with the EPA/DOJ to settle this matter.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left="900" w:hanging="325"/>
        <w:spacing w:after="0" w:line="255"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61"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 is included in our accrued liabilities for environmental matters discussed above; and</w:t>
      </w:r>
    </w:p>
    <w:p>
      <w:pPr>
        <w:spacing w:after="0" w:line="59"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civil penalty to be paid by our Chemical Business in the amount of $725,000 (which includes the $100,000 civil penalty to the ODEQ discussed below), which amount is included in our accrued liabilities for environmental matters discussed above.</w:t>
      </w:r>
    </w:p>
    <w:p>
      <w:pPr>
        <w:spacing w:after="0" w:line="13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One of our subsidiaries, Pryor Chemical Company (“PCC”), within our Chemical Business, has been advised that the Oklahoma Department of Environmental Quality (“ODEQ”) is conducting an investigation into whether the chemical production facility located in Pryor, Oklahoma (the “Pryor Facility”) was in compliance with certain rules and regulations of the ODEQ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As of June 30, 2013, we are not aware of any recommendations made or to be made by the ODEQ with respect to formal legal action to be taken or recommended as a result of this ongoing investigation.</w:t>
      </w:r>
    </w:p>
    <w:p>
      <w:pPr>
        <w:spacing w:after="0" w:line="11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By letter dated April 19, 2013 (the “letter”), ODEQ, based on its inspection of our Pryor Facility conducted in December 2012, identified fourteen issues of alleged non-compliance and concern from the evaluation relating to federal and state air quality regulations, some of which were the subject of the ongoing investigation by ODEQ described above. ODEQ requested that PCC submit to ODEQ certain additional records regarding air emissions, calculations demonstrating compliance with certain air emissions, and a compliance plan providing for remedial measures for certain alleged noncompliance matters. ODEQ has advised PCC that compliance with such requests may allow PCC to avoid receipt of a notice of violation. PCC engaged in discussions with ODEQ to resolve all matters identified in the letter. Subsequently, a settlement was reached to resolve the allegations identified in the letter. Three of the violations were already resolved through the global settlement with the EPA/DOJ discussed above, and ODEQ agreed to resolve the remaining eleven violations by PCC paying a civil penalty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Environmental Matters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2002, two subsidiaries within our Chemical Business sold substantially all of their operating assets relating to a Kansas chemical facility (“Hallowell Facility”) but retained ownership of the real property.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successor (“Chevron”) of a prior owner of the Hallowell Facility has agreed in writing, on a nonbinding basis and within certain other limitations, to pay and has been paying one-half of the costs of the interim measures relating to this matter as approved by the Kansas Department of Environmental Quality, subject to reallocation.</w:t>
      </w:r>
    </w:p>
    <w:p>
      <w:pPr>
        <w:spacing w:after="0" w:line="140"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Our subsidiary and Chevron are pursuing with the state of Kansas a course of long-term surface and groundwater monitoring to track the natural decline in contamination. Currently, our subsidiary and Chevron are in the process of performing additional surface and groundwater testing. We have accrued for our allocable portion of costs for the additional testing, monitoring and risk assessments that could be reasonably estimated.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Commitments and Contingencies (continued)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during 2010, the Kansas Department of Health and Environment (“KDHE”) notified our subsidiary and Chevron that the Hallowell Facility has been referred to the KDHE’s Natural Resources Trustee, who is to consider and recommend restoration, replacement and/or whether to seek compensation. KDHE will consider the recommendations in its evaluation. Currently, it is unknown what damages the KDHE would claim, if any. The ultimate required remediation, if any, is unknown.</w:t>
      </w:r>
    </w:p>
    <w:p>
      <w:pPr>
        <w:spacing w:after="0" w:line="14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The nature and extent of a portion of the requirements are not currently defined, and the associated costs (or range of costs) are not currently reasonably estimable.</w:t>
      </w:r>
    </w:p>
    <w:p>
      <w:pPr>
        <w:spacing w:after="0" w:line="132"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Our allocable portion of the total estimated liability related to the Hallowell Facility has been established in connection with this matter and is included in our accrued liabilities for environmental matters discussed above. The estimated amount is not discounted to its present value.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ammonium nitrate (“AN”) from EDC from time to time. LSB and EDC have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The lawsuits that have been filed name West Fertilizer and another supplier of AN as defendants, but neither EDC nor LSB have been named in any of these suits. EDC does not believe that its product was in storage at West Fertilizer at the time of the explosion. Furthermore, EDC does not believe that its product would have been a contributing factor in the explosion even if it had been stored at West Fertilizer at the time of the explosion. EDC has retained a firm specializing in cause and origin investigations, with particular experience with fertilizer facilities, to assist EDC in its own investigation. LSB and EDC have placed its liability insurance carrier on notice of this matter, which policies have aggregate limits of general liability totaling $100 million, with a self-insured retention of $250,000. As of June 30, 2013, no liability has been established in connection with this matter.</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Claims and Legal Actions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also involved in various other claims and legal actions including claims for damages resulting from water leaks related to our Climate Control products and other product liability occurrences. Most of the product liability claims are covered by our general liability insurance, which generally includes a deductible of $250,000 per claim. For any claims or legal actions that we have assessed the likelihood of our liability as probable, we have recognized our estimated liability up to the applicable deductible. At June 30, 2013, our accrued general liability insurance claims were $489,000 and are included in accrued and other liabilities.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two classes of contracts that are accounted for on a fair value basis, which are commodities futures/forward contracts (“commodities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Bayer. The carbon credits are accounted for on a fair value basis as discussed below. Also the contractual obligations associated with these carbon credits are accounted for on a fair value basis (as discussed below) unless we enter into a firm sales commitment to sell the carbon credits. The valuations of these assets and liabilities were determined based on quoted market prices or, in instances where market quotes are not available, other valuation techniques or models used to estimate fair values.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valuations of contracts classified as Level 1 are based on quoted prices in active markets for identical contracts, when applicable. The valuations of contracts classified as Level 2 are based on quoted prices for similar contracts and valuation inputs other than quoted prices that are observable for these contracts. At June 30, 2013 and December 31, 2012, the valuations of contracts classified as Level 2 related to interest rate swap contracts. For interest rate swap contracts, we utilize valuation software and market data from a third-party provider. These contracts are valued using a discounted cash flow model that calculates the present value of future cash flows pursuant to the terms of the contracts and using market information for forward interest-rate yield curves. At June 30, 2013, the valuation inputs included the contractual weighted-average pay rate of 3.23% and the estimated market weighted-average receive rate of 0.69%. No valuation input adjustments were considered necessary relating to nonperformance risk for the contracts.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valuations of assets and liabilities classified as Level 3 are based on prices or valuation techniques that require inputs that are both unobservable and significant to the overall fair value measurement. At June 30, 2013 and December 31, 2012, the valuations ($1.00 and $0.50 per carbon credit, respectively) of the carbon credits and the contractual obligations associated with these carbon credits are classified as Level 3 and are based on the range of ask/bid prices obtained from a broker adjusted downward due to minimal market volume activity. The valuations are using undiscounted cash flows based on management’s assumption that the carbon credits would be sold and the associated contractual obligations would be extinguished in the near term. In addition, no valuation input adjustments were considered necessary relating to nonperformance risk for the carbon credits and associated contractual obligations.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Commodities Contracts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color w:val="auto"/>
        </w:rPr>
        <w:t>Raw materials for use in our manufacturing processes include copper used by our Climate Control Business and anhydrous ammonia and natural gas used by our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Chemical Business. As part of our raw material price risk management, we periodically enter into futures/forward contracts for these materials, which contracts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be required to be accounted for on a mark-to-market basis. At June 30, 2013, we did not have any futures/forward copper contracts requiring mark-to-market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accounting. At December 31, 2012, our futures/forward copper contracts were for 625,000 pounds of copper through May 2013 at a weighted-average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$3.53 per pound. At June 30, 2013 and December 31, 2012, we did not have any futures/forward natural gas contracts requiring mark-to-market accounting.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cash flows relating to these contracts are included in cash flows from continuing operating activities, when applicable.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Rate Contracts</w:t>
      </w:r>
    </w:p>
    <w:p>
      <w:pPr>
        <w:spacing w:after="0" w:line="90"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part of our interest rate risk management, we periodically purchase and/or enter into various interest rate contracts. In February 2011, we entered into an interest rate swap at no cost, which sets a fixed three-month LIBOR rate of 3.23% on a declining balance (from $23.8 million to $18.8 million) for the period beginning in April 2012 through March 2016. This contract is a free-standing derivative and is accounted for on a mark-to-market basis. During the six months ended June 30, 2013 and 2012, no cash flows occurred relating to the purchase or sale of interest rate contracts. The cash flows associated with the interest rate swap payments are included in cash flows from continuing operating activities.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Carbon Credits and Associated Contractual Obligation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Periodically, we are issued carbon credits by the Climate Action Reserve in relation to a greenhouse gas reduction project (“Project”) performed at the Baytown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Facility. Pursuant to the terms of the agreement with Bayer, a certain portion of the carbon credits are to be used to recover the costs of the Project, and 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balance thereafter to be allocated between Bayer and EDN. We have no obligation to reimburse Bayer for its costs associated with the Project, except through the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transfer or sale of the carbon credits when such credits are issued to us. The carbon credits are accounted for on a fair value basis, and the contractual obligations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associated with these carbon credits are also accounted for on a fair value basis (unless we enter into a firm sales commitment to sell the carbon credits).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2013, we had approximately 625,000 carbon credits (a minimal amount at December 31, 2012), all of which were subject to contractual obligations.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associated with the carbon credits and the associated contractual obligations are included in cash flows from continuing investing activities, when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our assets and liabilities that are measured at fair value on a recurring basis at June 30, 2013 and December 31,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color w:val="auto"/>
              </w:rPr>
              <w:t>Fair Value Measurements at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5"/>
          </w:tcPr>
          <w:p>
            <w:pPr>
              <w:ind w:left="400"/>
              <w:spacing w:after="0" w:line="159" w:lineRule="exact"/>
              <w:rPr>
                <w:sz w:val="20"/>
                <w:szCs w:val="20"/>
                <w:color w:val="auto"/>
              </w:rPr>
            </w:pPr>
            <w:r>
              <w:rPr>
                <w:rFonts w:ascii="Arial" w:cs="Arial" w:eastAsia="Arial" w:hAnsi="Arial"/>
                <w:sz w:val="14"/>
                <w:szCs w:val="14"/>
                <w:color w:val="auto"/>
              </w:rPr>
              <w:t>June 30, 2013 Using</w:t>
            </w: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20"/>
              <w:spacing w:after="0" w:line="131" w:lineRule="exact"/>
              <w:rPr>
                <w:sz w:val="20"/>
                <w:szCs w:val="20"/>
                <w:color w:val="auto"/>
              </w:rPr>
            </w:pPr>
            <w:r>
              <w:rPr>
                <w:rFonts w:ascii="Arial" w:cs="Arial" w:eastAsia="Arial" w:hAnsi="Arial"/>
                <w:sz w:val="14"/>
                <w:szCs w:val="14"/>
                <w:color w:val="auto"/>
                <w:w w:val="83"/>
              </w:rPr>
              <w:t>Quoted Prices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94"/>
              </w:rPr>
              <w:t>in Active</w:t>
            </w:r>
          </w:p>
        </w:tc>
        <w:tc>
          <w:tcPr>
            <w:tcW w:w="5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Significant</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w w:val="87"/>
              </w:rPr>
              <w:t>Total Fair</w:t>
            </w:r>
          </w:p>
        </w:tc>
        <w:tc>
          <w:tcPr>
            <w:tcW w:w="5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Markets for</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5"/>
              </w:rPr>
              <w:t>Other</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Significant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7"/>
              </w:rPr>
              <w:t>Total Fair</w:t>
            </w: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Value At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8"/>
              </w:rPr>
              <w:t>Identical</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Observable</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Unobservable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5"/>
              </w:rPr>
              <w:t>Value at</w:t>
            </w:r>
          </w:p>
        </w:tc>
        <w:tc>
          <w:tcPr>
            <w:tcW w:w="0" w:type="dxa"/>
            <w:vAlign w:val="bottom"/>
          </w:tcPr>
          <w:p>
            <w:pPr>
              <w:spacing w:after="0"/>
              <w:rPr>
                <w:sz w:val="1"/>
                <w:szCs w:val="1"/>
                <w:color w:val="auto"/>
              </w:rPr>
            </w:pPr>
          </w:p>
        </w:tc>
      </w:tr>
      <w:tr>
        <w:trPr>
          <w:trHeight w:val="149"/>
        </w:trPr>
        <w:tc>
          <w:tcPr>
            <w:tcW w:w="5760" w:type="dxa"/>
            <w:vAlign w:val="bottom"/>
            <w:gridSpan w:val="2"/>
            <w:vMerge w:val="restart"/>
          </w:tcPr>
          <w:p>
            <w:pPr>
              <w:spacing w:after="0"/>
              <w:rPr>
                <w:sz w:val="20"/>
                <w:szCs w:val="20"/>
                <w:color w:val="auto"/>
              </w:rPr>
            </w:pPr>
            <w:r>
              <w:rPr>
                <w:rFonts w:ascii="Arial" w:cs="Arial" w:eastAsia="Arial" w:hAnsi="Arial"/>
                <w:sz w:val="14"/>
                <w:szCs w:val="14"/>
                <w:color w:val="auto"/>
              </w:rPr>
              <w:t>Description</w:t>
            </w:r>
          </w:p>
        </w:tc>
        <w:tc>
          <w:tcPr>
            <w:tcW w:w="5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June 30,</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2"/>
              <w:spacing w:after="0" w:line="149" w:lineRule="exact"/>
              <w:rPr>
                <w:sz w:val="20"/>
                <w:szCs w:val="20"/>
                <w:color w:val="auto"/>
              </w:rPr>
            </w:pPr>
            <w:r>
              <w:rPr>
                <w:rFonts w:ascii="Arial" w:cs="Arial" w:eastAsia="Arial" w:hAnsi="Arial"/>
                <w:sz w:val="14"/>
                <w:szCs w:val="14"/>
                <w:color w:val="auto"/>
                <w:w w:val="80"/>
              </w:rPr>
              <w:t>Assets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9"/>
              </w:rPr>
              <w:t>Inputs</w:t>
            </w:r>
          </w:p>
        </w:tc>
        <w:tc>
          <w:tcPr>
            <w:tcW w:w="16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Inputs</w:t>
            </w:r>
          </w:p>
        </w:tc>
        <w:tc>
          <w:tcPr>
            <w:tcW w:w="2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5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center"/>
              <w:ind w:right="35"/>
              <w:spacing w:after="0" w:line="159" w:lineRule="exact"/>
              <w:rPr>
                <w:sz w:val="20"/>
                <w:szCs w:val="20"/>
                <w:color w:val="auto"/>
              </w:rPr>
            </w:pPr>
            <w:r>
              <w:rPr>
                <w:rFonts w:ascii="Arial" w:cs="Arial" w:eastAsia="Arial" w:hAnsi="Arial"/>
                <w:sz w:val="14"/>
                <w:szCs w:val="14"/>
                <w:color w:val="auto"/>
                <w:w w:val="83"/>
              </w:rPr>
              <w:t>2013</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42"/>
              <w:spacing w:after="0" w:line="159" w:lineRule="exact"/>
              <w:rPr>
                <w:sz w:val="20"/>
                <w:szCs w:val="20"/>
                <w:color w:val="auto"/>
              </w:rPr>
            </w:pPr>
            <w:r>
              <w:rPr>
                <w:rFonts w:ascii="Arial" w:cs="Arial" w:eastAsia="Arial" w:hAnsi="Arial"/>
                <w:sz w:val="14"/>
                <w:szCs w:val="14"/>
                <w:color w:val="auto"/>
                <w:w w:val="91"/>
              </w:rPr>
              <w:t>(Level 1)</w:t>
            </w:r>
          </w:p>
        </w:tc>
        <w:tc>
          <w:tcPr>
            <w:tcW w:w="520" w:type="dxa"/>
            <w:vAlign w:val="bottom"/>
          </w:tcPr>
          <w:p>
            <w:pPr>
              <w:spacing w:after="0"/>
              <w:rPr>
                <w:sz w:val="13"/>
                <w:szCs w:val="13"/>
                <w:color w:val="auto"/>
              </w:rPr>
            </w:pPr>
          </w:p>
        </w:tc>
        <w:tc>
          <w:tcPr>
            <w:tcW w:w="1000" w:type="dxa"/>
            <w:vAlign w:val="bottom"/>
            <w:gridSpan w:val="3"/>
          </w:tcPr>
          <w:p>
            <w:pPr>
              <w:jc w:val="center"/>
              <w:ind w:right="380"/>
              <w:spacing w:after="0" w:line="159" w:lineRule="exact"/>
              <w:rPr>
                <w:sz w:val="20"/>
                <w:szCs w:val="20"/>
                <w:color w:val="auto"/>
              </w:rPr>
            </w:pPr>
            <w:r>
              <w:rPr>
                <w:rFonts w:ascii="Arial" w:cs="Arial" w:eastAsia="Arial" w:hAnsi="Arial"/>
                <w:sz w:val="14"/>
                <w:szCs w:val="14"/>
                <w:color w:val="auto"/>
                <w:w w:val="91"/>
              </w:rPr>
              <w:t>(Level 2)</w:t>
            </w:r>
          </w:p>
        </w:tc>
        <w:tc>
          <w:tcPr>
            <w:tcW w:w="160" w:type="dxa"/>
            <w:vAlign w:val="bottom"/>
          </w:tcPr>
          <w:p>
            <w:pPr>
              <w:spacing w:after="0"/>
              <w:rPr>
                <w:sz w:val="13"/>
                <w:szCs w:val="13"/>
                <w:color w:val="auto"/>
              </w:rPr>
            </w:pPr>
          </w:p>
        </w:tc>
        <w:tc>
          <w:tcPr>
            <w:tcW w:w="480" w:type="dxa"/>
            <w:vAlign w:val="bottom"/>
          </w:tcPr>
          <w:p>
            <w:pPr>
              <w:ind w:left="100"/>
              <w:spacing w:after="0" w:line="159" w:lineRule="exact"/>
              <w:rPr>
                <w:sz w:val="20"/>
                <w:szCs w:val="20"/>
                <w:color w:val="auto"/>
              </w:rPr>
            </w:pPr>
            <w:r>
              <w:rPr>
                <w:rFonts w:ascii="Arial" w:cs="Arial" w:eastAsia="Arial" w:hAnsi="Arial"/>
                <w:sz w:val="14"/>
                <w:szCs w:val="14"/>
                <w:color w:val="auto"/>
                <w:w w:val="94"/>
              </w:rPr>
              <w:t>(Level</w:t>
            </w:r>
          </w:p>
        </w:tc>
        <w:tc>
          <w:tcPr>
            <w:tcW w:w="260" w:type="dxa"/>
            <w:vAlign w:val="bottom"/>
          </w:tcPr>
          <w:p>
            <w:pPr>
              <w:ind w:left="40"/>
              <w:spacing w:after="0" w:line="159" w:lineRule="exact"/>
              <w:rPr>
                <w:sz w:val="20"/>
                <w:szCs w:val="20"/>
                <w:color w:val="auto"/>
              </w:rPr>
            </w:pPr>
            <w:r>
              <w:rPr>
                <w:rFonts w:ascii="Arial" w:cs="Arial" w:eastAsia="Arial" w:hAnsi="Arial"/>
                <w:sz w:val="14"/>
                <w:szCs w:val="14"/>
                <w:color w:val="auto"/>
              </w:rPr>
              <w:t>3)</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19"/>
              <w:spacing w:after="0" w:line="159" w:lineRule="exact"/>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color w:val="auto"/>
              </w:rPr>
              <w:t>(In Thousands)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Assets—Supplies, prepaid items and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440"/>
              <w:spacing w:after="0"/>
              <w:rPr>
                <w:sz w:val="20"/>
                <w:szCs w:val="20"/>
                <w:color w:val="auto"/>
              </w:rPr>
            </w:pPr>
            <w:r>
              <w:rPr>
                <w:rFonts w:ascii="Arial" w:cs="Arial" w:eastAsia="Arial" w:hAnsi="Arial"/>
                <w:sz w:val="18"/>
                <w:szCs w:val="18"/>
                <w:color w:val="auto"/>
              </w:rPr>
              <w:t>Commodities contracts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Carbon credits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625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625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Liabilities—Current and noncurrent accrued and other liabilities: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440"/>
              <w:spacing w:after="0"/>
              <w:rPr>
                <w:sz w:val="20"/>
                <w:szCs w:val="20"/>
                <w:color w:val="auto"/>
              </w:rPr>
            </w:pPr>
            <w:r>
              <w:rPr>
                <w:rFonts w:ascii="Arial" w:cs="Arial" w:eastAsia="Arial" w:hAnsi="Arial"/>
                <w:sz w:val="18"/>
                <w:szCs w:val="18"/>
                <w:color w:val="auto"/>
              </w:rPr>
              <w:t>Contractual obligations -carbon credits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625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rate contracts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1,449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1,449</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88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60" w:type="dxa"/>
            <w:vAlign w:val="bottom"/>
            <w:gridSpan w:val="2"/>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2,074</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1,449</w:t>
            </w:r>
          </w:p>
        </w:tc>
        <w:tc>
          <w:tcPr>
            <w:tcW w:w="6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625</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None of our assets or liabilities measured at fair value on a recurring basis transferred between Level 1 and Level 2 classifications for the periods presented below. In addition, the following is a reconciliation of the beginning and ending balances for assets and liabilities measured at fair value on a recurring basis using significant unobservable inputs (Level 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3"/>
          </w:tcPr>
          <w:p>
            <w:pPr>
              <w:ind w:left="280"/>
              <w:spacing w:after="0"/>
              <w:rPr>
                <w:sz w:val="20"/>
                <w:szCs w:val="20"/>
                <w:color w:val="auto"/>
              </w:rPr>
            </w:pPr>
            <w:r>
              <w:rPr>
                <w:rFonts w:ascii="Arial" w:cs="Arial" w:eastAsia="Arial" w:hAnsi="Arial"/>
                <w:sz w:val="14"/>
                <w:szCs w:val="14"/>
                <w:color w:val="auto"/>
              </w:rPr>
              <w:t>Assets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left="117"/>
              <w:spacing w:after="0"/>
              <w:rPr>
                <w:sz w:val="20"/>
                <w:szCs w:val="20"/>
                <w:color w:val="auto"/>
              </w:rPr>
            </w:pPr>
            <w:r>
              <w:rPr>
                <w:rFonts w:ascii="Arial" w:cs="Arial" w:eastAsia="Arial" w:hAnsi="Arial"/>
                <w:sz w:val="14"/>
                <w:szCs w:val="14"/>
                <w:color w:val="auto"/>
                <w:w w:val="93"/>
              </w:rPr>
              <w:t>Liabilities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ind w:left="360"/>
              <w:spacing w:after="0"/>
              <w:rPr>
                <w:sz w:val="20"/>
                <w:szCs w:val="20"/>
                <w:color w:val="auto"/>
              </w:rPr>
            </w:pPr>
            <w:r>
              <w:rPr>
                <w:rFonts w:ascii="Arial" w:cs="Arial" w:eastAsia="Arial" w:hAnsi="Arial"/>
                <w:sz w:val="14"/>
                <w:szCs w:val="14"/>
                <w:color w:val="auto"/>
                <w:w w:val="95"/>
              </w:rPr>
              <w:t>Assets</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jc w:val="center"/>
              <w:ind w:right="220"/>
              <w:spacing w:after="0"/>
              <w:rPr>
                <w:sz w:val="20"/>
                <w:szCs w:val="20"/>
                <w:color w:val="auto"/>
              </w:rPr>
            </w:pPr>
            <w:r>
              <w:rPr>
                <w:rFonts w:ascii="Arial" w:cs="Arial" w:eastAsia="Arial" w:hAnsi="Arial"/>
                <w:sz w:val="14"/>
                <w:szCs w:val="14"/>
                <w:color w:val="auto"/>
                <w:w w:val="93"/>
              </w:rPr>
              <w:t>Liabilities</w:t>
            </w:r>
          </w:p>
        </w:tc>
      </w:tr>
      <w:tr>
        <w:trPr>
          <w:trHeight w:val="131"/>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60" w:type="dxa"/>
            <w:vAlign w:val="bottom"/>
            <w:tcBorders>
              <w:top w:val="single" w:sz="8" w:color="auto"/>
            </w:tcBorders>
            <w:gridSpan w:val="5"/>
          </w:tcPr>
          <w:p>
            <w:pPr>
              <w:ind w:left="80"/>
              <w:spacing w:after="0" w:line="131" w:lineRule="exact"/>
              <w:rPr>
                <w:sz w:val="20"/>
                <w:szCs w:val="20"/>
                <w:color w:val="auto"/>
              </w:rPr>
            </w:pPr>
            <w:r>
              <w:rPr>
                <w:rFonts w:ascii="Arial" w:cs="Arial" w:eastAsia="Arial" w:hAnsi="Arial"/>
                <w:sz w:val="14"/>
                <w:szCs w:val="14"/>
                <w:color w:val="auto"/>
                <w:w w:val="93"/>
              </w:rPr>
              <w:t>Six Months Ended</w:t>
            </w:r>
          </w:p>
        </w:tc>
        <w:tc>
          <w:tcPr>
            <w:tcW w:w="280" w:type="dxa"/>
            <w:vAlign w:val="bottom"/>
          </w:tcPr>
          <w:p>
            <w:pPr>
              <w:spacing w:after="0"/>
              <w:rPr>
                <w:sz w:val="11"/>
                <w:szCs w:val="11"/>
                <w:color w:val="auto"/>
              </w:rPr>
            </w:pPr>
          </w:p>
        </w:tc>
        <w:tc>
          <w:tcPr>
            <w:tcW w:w="1140" w:type="dxa"/>
            <w:vAlign w:val="bottom"/>
            <w:tcBorders>
              <w:top w:val="single" w:sz="8" w:color="auto"/>
            </w:tcBorders>
            <w:gridSpan w:val="6"/>
          </w:tcPr>
          <w:p>
            <w:pPr>
              <w:jc w:val="center"/>
              <w:spacing w:after="0" w:line="131" w:lineRule="exact"/>
              <w:rPr>
                <w:sz w:val="20"/>
                <w:szCs w:val="20"/>
                <w:color w:val="auto"/>
              </w:rPr>
            </w:pPr>
            <w:r>
              <w:rPr>
                <w:rFonts w:ascii="Arial" w:cs="Arial" w:eastAsia="Arial" w:hAnsi="Arial"/>
                <w:sz w:val="14"/>
                <w:szCs w:val="14"/>
                <w:color w:val="auto"/>
                <w:w w:val="89"/>
              </w:rPr>
              <w:t>Six Months Ended</w:t>
            </w:r>
          </w:p>
        </w:tc>
        <w:tc>
          <w:tcPr>
            <w:tcW w:w="280" w:type="dxa"/>
            <w:vAlign w:val="bottom"/>
          </w:tcPr>
          <w:p>
            <w:pPr>
              <w:spacing w:after="0"/>
              <w:rPr>
                <w:sz w:val="11"/>
                <w:szCs w:val="11"/>
                <w:color w:val="auto"/>
              </w:rPr>
            </w:pPr>
          </w:p>
        </w:tc>
        <w:tc>
          <w:tcPr>
            <w:tcW w:w="1260" w:type="dxa"/>
            <w:vAlign w:val="bottom"/>
            <w:tcBorders>
              <w:top w:val="single" w:sz="8" w:color="auto"/>
            </w:tcBorders>
            <w:gridSpan w:val="5"/>
          </w:tcPr>
          <w:p>
            <w:pPr>
              <w:ind w:left="60"/>
              <w:spacing w:after="0" w:line="131" w:lineRule="exact"/>
              <w:rPr>
                <w:sz w:val="20"/>
                <w:szCs w:val="20"/>
                <w:color w:val="auto"/>
              </w:rPr>
            </w:pPr>
            <w:r>
              <w:rPr>
                <w:rFonts w:ascii="Arial" w:cs="Arial" w:eastAsia="Arial" w:hAnsi="Arial"/>
                <w:sz w:val="14"/>
                <w:szCs w:val="14"/>
                <w:color w:val="auto"/>
                <w:w w:val="90"/>
              </w:rPr>
              <w:t>Three Months Ended</w:t>
            </w:r>
          </w:p>
        </w:tc>
        <w:tc>
          <w:tcPr>
            <w:tcW w:w="280" w:type="dxa"/>
            <w:vAlign w:val="bottom"/>
          </w:tcPr>
          <w:p>
            <w:pPr>
              <w:spacing w:after="0"/>
              <w:rPr>
                <w:sz w:val="11"/>
                <w:szCs w:val="11"/>
                <w:color w:val="auto"/>
              </w:rPr>
            </w:pPr>
          </w:p>
        </w:tc>
        <w:tc>
          <w:tcPr>
            <w:tcW w:w="1300" w:type="dxa"/>
            <w:vAlign w:val="bottom"/>
            <w:tcBorders>
              <w:top w:val="single" w:sz="8" w:color="auto"/>
            </w:tcBorders>
            <w:gridSpan w:val="6"/>
          </w:tcPr>
          <w:p>
            <w:pPr>
              <w:jc w:val="center"/>
              <w:spacing w:after="0" w:line="131" w:lineRule="exact"/>
              <w:rPr>
                <w:sz w:val="20"/>
                <w:szCs w:val="20"/>
                <w:color w:val="auto"/>
              </w:rPr>
            </w:pPr>
            <w:r>
              <w:rPr>
                <w:rFonts w:ascii="Arial" w:cs="Arial" w:eastAsia="Arial" w:hAnsi="Arial"/>
                <w:sz w:val="14"/>
                <w:szCs w:val="14"/>
                <w:color w:val="auto"/>
                <w:w w:val="87"/>
              </w:rPr>
              <w:t>Three Months Ended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June 30,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4"/>
          </w:tcPr>
          <w:p>
            <w:pPr>
              <w:jc w:val="center"/>
              <w:ind w:left="117"/>
              <w:spacing w:after="0" w:line="149" w:lineRule="exact"/>
              <w:rPr>
                <w:sz w:val="20"/>
                <w:szCs w:val="20"/>
                <w:color w:val="auto"/>
              </w:rPr>
            </w:pPr>
            <w:r>
              <w:rPr>
                <w:rFonts w:ascii="Arial" w:cs="Arial" w:eastAsia="Arial" w:hAnsi="Arial"/>
                <w:sz w:val="14"/>
                <w:szCs w:val="14"/>
                <w:color w:val="auto"/>
                <w:w w:val="85"/>
              </w:rPr>
              <w:t>June 30,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June 30,</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left="177"/>
              <w:spacing w:after="0" w:line="149" w:lineRule="exact"/>
              <w:rPr>
                <w:sz w:val="20"/>
                <w:szCs w:val="20"/>
                <w:color w:val="auto"/>
              </w:rPr>
            </w:pPr>
            <w:r>
              <w:rPr>
                <w:rFonts w:ascii="Arial" w:cs="Arial" w:eastAsia="Arial" w:hAnsi="Arial"/>
                <w:sz w:val="14"/>
                <w:szCs w:val="14"/>
                <w:color w:val="auto"/>
                <w:w w:val="85"/>
              </w:rPr>
              <w:t>June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980" w:type="dxa"/>
            <w:vAlign w:val="bottom"/>
            <w:gridSpan w:val="3"/>
          </w:tcPr>
          <w:p>
            <w:pPr>
              <w:ind w:left="640"/>
              <w:spacing w:after="0" w:line="15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3"/>
                <w:szCs w:val="13"/>
                <w:color w:val="auto"/>
              </w:rPr>
            </w:pPr>
          </w:p>
        </w:tc>
        <w:tc>
          <w:tcPr>
            <w:tcW w:w="4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59" w:lineRule="exact"/>
              <w:rPr>
                <w:sz w:val="20"/>
                <w:szCs w:val="20"/>
                <w:color w:val="auto"/>
              </w:rPr>
            </w:pPr>
            <w:r>
              <w:rPr>
                <w:rFonts w:ascii="Arial" w:cs="Arial" w:eastAsia="Arial" w:hAnsi="Arial"/>
                <w:sz w:val="14"/>
                <w:szCs w:val="14"/>
                <w:color w:val="auto"/>
                <w:w w:val="83"/>
              </w:rPr>
              <w:t>2013</w:t>
            </w:r>
          </w:p>
        </w:tc>
        <w:tc>
          <w:tcPr>
            <w:tcW w:w="180" w:type="dxa"/>
            <w:vAlign w:val="bottom"/>
          </w:tcPr>
          <w:p>
            <w:pPr>
              <w:spacing w:after="0"/>
              <w:rPr>
                <w:sz w:val="13"/>
                <w:szCs w:val="13"/>
                <w:color w:val="auto"/>
              </w:rPr>
            </w:pPr>
          </w:p>
        </w:tc>
        <w:tc>
          <w:tcPr>
            <w:tcW w:w="520" w:type="dxa"/>
            <w:vAlign w:val="bottom"/>
            <w:gridSpan w:val="3"/>
          </w:tcPr>
          <w:p>
            <w:pPr>
              <w:jc w:val="right"/>
              <w:spacing w:after="0" w:line="159"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line="159" w:lineRule="exact"/>
              <w:rPr>
                <w:sz w:val="20"/>
                <w:szCs w:val="20"/>
                <w:color w:val="auto"/>
              </w:rPr>
            </w:pPr>
            <w:r>
              <w:rPr>
                <w:rFonts w:ascii="Arial" w:cs="Arial" w:eastAsia="Arial" w:hAnsi="Arial"/>
                <w:sz w:val="14"/>
                <w:szCs w:val="14"/>
                <w:color w:val="auto"/>
              </w:rPr>
              <w:t>2013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14"/>
              <w:spacing w:after="0" w:line="159" w:lineRule="exact"/>
              <w:rPr>
                <w:sz w:val="20"/>
                <w:szCs w:val="20"/>
                <w:color w:val="auto"/>
              </w:rPr>
            </w:pPr>
            <w:r>
              <w:rPr>
                <w:rFonts w:ascii="Arial" w:cs="Arial" w:eastAsia="Arial" w:hAnsi="Arial"/>
                <w:sz w:val="14"/>
                <w:szCs w:val="14"/>
                <w:color w:val="auto"/>
                <w:w w:val="83"/>
              </w:rPr>
              <w:t>2012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jc w:val="right"/>
              <w:ind w:right="17"/>
              <w:spacing w:after="0" w:line="159" w:lineRule="exact"/>
              <w:rPr>
                <w:sz w:val="20"/>
                <w:szCs w:val="20"/>
                <w:color w:val="auto"/>
              </w:rPr>
            </w:pPr>
            <w:r>
              <w:rPr>
                <w:rFonts w:ascii="Arial" w:cs="Arial" w:eastAsia="Arial" w:hAnsi="Arial"/>
                <w:sz w:val="14"/>
                <w:szCs w:val="14"/>
                <w:color w:val="auto"/>
                <w:w w:val="83"/>
              </w:rPr>
              <w:t>2013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5"/>
          </w:tcPr>
          <w:p>
            <w:pPr>
              <w:ind w:left="14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(312)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(42)</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Transfers into Level 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Level 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7"/>
              </w:rPr>
              <w:t>Total realized and unrealized gains (losses) included in earnings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w w:val="79"/>
              </w:rPr>
              <w:t>546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(313)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Purchases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Issuances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Settlements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625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625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(625)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(42)</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80" w:type="dxa"/>
            <w:vAlign w:val="bottom"/>
            <w:gridSpan w:val="3"/>
          </w:tcPr>
          <w:p>
            <w:pPr>
              <w:ind w:left="56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Derivatives, Hedges, Financial Instruments and Carbon Credits (continued)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Realized and unrealized net gains (losses) included in earnings and the income statement classifications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7"/>
          </w:tcPr>
          <w:p>
            <w:pPr>
              <w:jc w:val="right"/>
              <w:ind w:right="300"/>
              <w:spacing w:after="0"/>
              <w:rPr>
                <w:sz w:val="20"/>
                <w:szCs w:val="20"/>
                <w:color w:val="auto"/>
              </w:rPr>
            </w:pPr>
            <w:r>
              <w:rPr>
                <w:rFonts w:ascii="Arial" w:cs="Arial" w:eastAsia="Arial" w:hAnsi="Arial"/>
                <w:sz w:val="14"/>
                <w:szCs w:val="14"/>
                <w:color w:val="auto"/>
                <w:w w:val="96"/>
              </w:rPr>
              <w:t>Six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7"/>
          </w:tcPr>
          <w:p>
            <w:pPr>
              <w:ind w:left="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6"/>
          </w:tcPr>
          <w:p>
            <w:pPr>
              <w:jc w:val="right"/>
              <w:ind w:right="580"/>
              <w:spacing w:after="0" w:line="149" w:lineRule="exact"/>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3"/>
              </w:rPr>
              <w:t>June 30,</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140" w:type="dxa"/>
            <w:vAlign w:val="bottom"/>
          </w:tcPr>
          <w:p>
            <w:pPr>
              <w:spacing w:after="0"/>
              <w:rPr>
                <w:sz w:val="13"/>
                <w:szCs w:val="13"/>
                <w:color w:val="auto"/>
              </w:rPr>
            </w:pPr>
          </w:p>
        </w:tc>
        <w:tc>
          <w:tcPr>
            <w:tcW w:w="660" w:type="dxa"/>
            <w:vAlign w:val="bottom"/>
            <w:gridSpan w:val="3"/>
          </w:tcPr>
          <w:p>
            <w:pPr>
              <w:jc w:val="right"/>
              <w:ind w:right="12"/>
              <w:spacing w:after="0" w:line="15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3"/>
                <w:szCs w:val="13"/>
                <w:color w:val="auto"/>
              </w:rPr>
            </w:pPr>
          </w:p>
        </w:tc>
        <w:tc>
          <w:tcPr>
            <w:tcW w:w="600" w:type="dxa"/>
            <w:vAlign w:val="bottom"/>
            <w:gridSpan w:val="3"/>
          </w:tcPr>
          <w:p>
            <w:pPr>
              <w:jc w:val="right"/>
              <w:ind w:right="12"/>
              <w:spacing w:after="0" w:line="159" w:lineRule="exact"/>
              <w:rPr>
                <w:sz w:val="20"/>
                <w:szCs w:val="20"/>
                <w:color w:val="auto"/>
              </w:rPr>
            </w:pPr>
            <w:r>
              <w:rPr>
                <w:rFonts w:ascii="Arial" w:cs="Arial" w:eastAsia="Arial" w:hAnsi="Arial"/>
                <w:sz w:val="14"/>
                <w:szCs w:val="14"/>
                <w:color w:val="auto"/>
              </w:rPr>
              <w:t>2012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line="159" w:lineRule="exact"/>
              <w:rPr>
                <w:sz w:val="20"/>
                <w:szCs w:val="20"/>
                <w:color w:val="auto"/>
              </w:rPr>
            </w:pPr>
            <w:r>
              <w:rPr>
                <w:rFonts w:ascii="Arial" w:cs="Arial" w:eastAsia="Arial" w:hAnsi="Arial"/>
                <w:sz w:val="14"/>
                <w:szCs w:val="14"/>
                <w:color w:val="auto"/>
                <w:w w:val="89"/>
              </w:rPr>
              <w:t>2013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35"/>
              <w:spacing w:after="0" w:line="159"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8"/>
          </w:tcPr>
          <w:p>
            <w:pPr>
              <w:jc w:val="right"/>
              <w:ind w:right="580"/>
              <w:spacing w:after="0" w:line="142" w:lineRule="exact"/>
              <w:rPr>
                <w:sz w:val="20"/>
                <w:szCs w:val="20"/>
                <w:color w:val="auto"/>
              </w:rPr>
            </w:pPr>
            <w:r>
              <w:rPr>
                <w:rFonts w:ascii="Arial" w:cs="Arial" w:eastAsia="Arial" w:hAnsi="Arial"/>
                <w:sz w:val="14"/>
                <w:szCs w:val="14"/>
                <w:color w:val="auto"/>
                <w:w w:val="89"/>
              </w:rPr>
              <w:t>(In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net gains (losses) included in earnings:</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Cost of sales—Commodities contracts</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$(275)</w:t>
            </w:r>
          </w:p>
        </w:tc>
        <w:tc>
          <w:tcPr>
            <w:tcW w:w="780" w:type="dxa"/>
            <w:vAlign w:val="bottom"/>
            <w:gridSpan w:val="4"/>
          </w:tcPr>
          <w:p>
            <w:pPr>
              <w:ind w:left="180"/>
              <w:spacing w:after="0"/>
              <w:rPr>
                <w:sz w:val="20"/>
                <w:szCs w:val="20"/>
                <w:color w:val="auto"/>
              </w:rPr>
            </w:pPr>
            <w:r>
              <w:rPr>
                <w:rFonts w:ascii="Arial" w:cs="Arial" w:eastAsia="Arial" w:hAnsi="Arial"/>
                <w:sz w:val="18"/>
                <w:szCs w:val="18"/>
                <w:color w:val="auto"/>
              </w:rPr>
              <w:t>$ (72)</w:t>
            </w:r>
          </w:p>
        </w:tc>
        <w:tc>
          <w:tcPr>
            <w:tcW w:w="1080" w:type="dxa"/>
            <w:vAlign w:val="bottom"/>
            <w:gridSpan w:val="6"/>
          </w:tcPr>
          <w:p>
            <w:pPr>
              <w:jc w:val="right"/>
              <w:ind w:right="340"/>
              <w:spacing w:after="0"/>
              <w:rPr>
                <w:sz w:val="20"/>
                <w:szCs w:val="20"/>
                <w:color w:val="auto"/>
              </w:rPr>
            </w:pPr>
            <w:r>
              <w:rPr>
                <w:rFonts w:ascii="Arial" w:cs="Arial" w:eastAsia="Arial" w:hAnsi="Arial"/>
                <w:sz w:val="18"/>
                <w:szCs w:val="18"/>
                <w:color w:val="auto"/>
              </w:rPr>
              <w:t>$ (113)</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sales—Foreign exchange contracts</w:t>
            </w: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Other income—Carbon credits</w:t>
            </w: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546</w:t>
            </w:r>
          </w:p>
        </w:tc>
        <w:tc>
          <w:tcPr>
            <w:tcW w:w="180" w:type="dxa"/>
            <w:vAlign w:val="bottom"/>
          </w:tcPr>
          <w:p>
            <w:pPr>
              <w:spacing w:after="0"/>
              <w:rPr>
                <w:sz w:val="18"/>
                <w:szCs w:val="18"/>
                <w:color w:val="auto"/>
              </w:rPr>
            </w:pPr>
          </w:p>
        </w:tc>
        <w:tc>
          <w:tcPr>
            <w:tcW w:w="6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expense—Contractual obligations relating to carbon credits</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(546)</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99"/>
              </w:rPr>
              <w:t>(313)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Interest expense—Interest rate contracts</w:t>
            </w:r>
          </w:p>
        </w:tc>
        <w:tc>
          <w:tcPr>
            <w:tcW w:w="2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(186)</w:t>
            </w:r>
          </w:p>
        </w:tc>
        <w:tc>
          <w:tcPr>
            <w:tcW w:w="780" w:type="dxa"/>
            <w:vAlign w:val="bottom"/>
            <w:gridSpan w:val="4"/>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140" w:type="dxa"/>
            <w:vAlign w:val="bottom"/>
          </w:tcPr>
          <w:p>
            <w:pPr>
              <w:spacing w:after="0"/>
              <w:rPr>
                <w:sz w:val="24"/>
                <w:szCs w:val="24"/>
                <w:color w:val="auto"/>
              </w:rPr>
            </w:pPr>
          </w:p>
        </w:tc>
        <w:tc>
          <w:tcPr>
            <w:tcW w:w="1660" w:type="dxa"/>
            <w:vAlign w:val="bottom"/>
            <w:gridSpan w:val="8"/>
          </w:tcPr>
          <w:p>
            <w:pPr>
              <w:jc w:val="right"/>
              <w:ind w:right="500"/>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8"/>
          </w:tcPr>
          <w:p>
            <w:pPr>
              <w:jc w:val="right"/>
              <w:ind w:right="280"/>
              <w:spacing w:after="0"/>
              <w:rPr>
                <w:sz w:val="20"/>
                <w:szCs w:val="20"/>
                <w:color w:val="auto"/>
              </w:rPr>
            </w:pPr>
            <w:r>
              <w:rPr>
                <w:rFonts w:ascii="Arial" w:cs="Arial" w:eastAsia="Arial" w:hAnsi="Arial"/>
                <w:sz w:val="14"/>
                <w:szCs w:val="14"/>
                <w:color w:val="auto"/>
                <w:w w:val="91"/>
              </w:rPr>
              <w:t>Three Months Ended</w:t>
            </w:r>
          </w:p>
        </w:tc>
        <w:tc>
          <w:tcPr>
            <w:tcW w:w="0" w:type="dxa"/>
            <w:vAlign w:val="bottom"/>
          </w:tcPr>
          <w:p>
            <w:pPr>
              <w:spacing w:after="0"/>
              <w:rPr>
                <w:sz w:val="1"/>
                <w:szCs w:val="1"/>
                <w:color w:val="auto"/>
              </w:rPr>
            </w:pPr>
          </w:p>
        </w:tc>
      </w:tr>
      <w:tr>
        <w:trPr>
          <w:trHeight w:val="172"/>
        </w:trPr>
        <w:tc>
          <w:tcPr>
            <w:tcW w:w="7140" w:type="dxa"/>
            <w:vAlign w:val="bottom"/>
          </w:tcPr>
          <w:p>
            <w:pPr>
              <w:spacing w:after="0"/>
              <w:rPr>
                <w:sz w:val="14"/>
                <w:szCs w:val="14"/>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2013</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w w:val="81"/>
              </w:rPr>
              <w:t>June 30,</w:t>
            </w: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color w:val="auto"/>
              </w:rPr>
              <w:t>2012</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4"/>
            <w:vMerge w:val="restart"/>
          </w:tcPr>
          <w:p>
            <w:pPr>
              <w:jc w:val="right"/>
              <w:ind w:right="16"/>
              <w:spacing w:after="0"/>
              <w:rPr>
                <w:sz w:val="20"/>
                <w:szCs w:val="20"/>
                <w:color w:val="auto"/>
              </w:rPr>
            </w:pPr>
            <w:r>
              <w:rPr>
                <w:rFonts w:ascii="Arial" w:cs="Arial" w:eastAsia="Arial" w:hAnsi="Arial"/>
                <w:sz w:val="14"/>
                <w:szCs w:val="14"/>
                <w:color w:val="auto"/>
              </w:rPr>
              <w:t>2013</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w w:val="85"/>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restart"/>
          </w:tcPr>
          <w:p>
            <w:pPr>
              <w:jc w:val="right"/>
              <w:ind w:right="35"/>
              <w:spacing w:after="0"/>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140" w:type="dxa"/>
            <w:vAlign w:val="bottom"/>
          </w:tcPr>
          <w:p>
            <w:pPr>
              <w:spacing w:after="0"/>
              <w:rPr>
                <w:sz w:val="11"/>
                <w:szCs w:val="11"/>
                <w:color w:val="auto"/>
              </w:rPr>
            </w:pPr>
          </w:p>
        </w:tc>
        <w:tc>
          <w:tcPr>
            <w:tcW w:w="420" w:type="dxa"/>
            <w:vAlign w:val="bottom"/>
            <w:tcBorders>
              <w:bottom w:val="single" w:sz="8" w:color="auto"/>
            </w:tcBorders>
            <w:gridSpan w:val="2"/>
            <w:vMerge w:val="continue"/>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4"/>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9"/>
          </w:tcPr>
          <w:p>
            <w:pPr>
              <w:jc w:val="right"/>
              <w:ind w:right="700"/>
              <w:spacing w:after="0" w:line="142" w:lineRule="exact"/>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gains (losses) relating to contracts still held at period end:</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Cost of sales—Commodities contracts</w:t>
            </w:r>
          </w:p>
        </w:tc>
        <w:tc>
          <w:tcPr>
            <w:tcW w:w="880" w:type="dxa"/>
            <w:vAlign w:val="bottom"/>
            <w:gridSpan w:val="4"/>
          </w:tcPr>
          <w:p>
            <w:pPr>
              <w:jc w:val="right"/>
              <w:ind w:right="560"/>
              <w:spacing w:after="0"/>
              <w:rPr>
                <w:sz w:val="20"/>
                <w:szCs w:val="20"/>
                <w:color w:val="auto"/>
              </w:rPr>
            </w:pPr>
            <w:r>
              <w:rPr>
                <w:rFonts w:ascii="Arial" w:cs="Arial" w:eastAsia="Arial" w:hAnsi="Arial"/>
                <w:sz w:val="18"/>
                <w:szCs w:val="18"/>
                <w:color w:val="auto"/>
                <w:w w:val="90"/>
              </w:rPr>
              <w:t>$ —</w:t>
            </w:r>
          </w:p>
        </w:tc>
        <w:tc>
          <w:tcPr>
            <w:tcW w:w="600" w:type="dxa"/>
            <w:vAlign w:val="bottom"/>
            <w:gridSpan w:val="3"/>
          </w:tcPr>
          <w:p>
            <w:pPr>
              <w:jc w:val="right"/>
              <w:ind w:right="52"/>
              <w:spacing w:after="0"/>
              <w:rPr>
                <w:sz w:val="20"/>
                <w:szCs w:val="20"/>
                <w:color w:val="auto"/>
              </w:rPr>
            </w:pPr>
            <w:r>
              <w:rPr>
                <w:rFonts w:ascii="Arial" w:cs="Arial" w:eastAsia="Arial" w:hAnsi="Arial"/>
                <w:sz w:val="18"/>
                <w:szCs w:val="18"/>
                <w:color w:val="auto"/>
                <w:w w:val="88"/>
              </w:rPr>
              <w:t>$(208)</w:t>
            </w:r>
          </w:p>
        </w:tc>
        <w:tc>
          <w:tcPr>
            <w:tcW w:w="180" w:type="dxa"/>
            <w:vAlign w:val="bottom"/>
          </w:tcPr>
          <w:p>
            <w:pPr>
              <w:spacing w:after="0"/>
              <w:rPr>
                <w:sz w:val="18"/>
                <w:szCs w:val="18"/>
                <w:color w:val="auto"/>
              </w:rPr>
            </w:pPr>
          </w:p>
        </w:tc>
        <w:tc>
          <w:tcPr>
            <w:tcW w:w="30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sales—Foreign exchange contracts</w:t>
            </w:r>
          </w:p>
        </w:tc>
        <w:tc>
          <w:tcPr>
            <w:tcW w:w="880" w:type="dxa"/>
            <w:vAlign w:val="bottom"/>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Other income—Carbon credits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expense—Contractual obligations relating to carbon credits</w:t>
            </w:r>
          </w:p>
        </w:tc>
        <w:tc>
          <w:tcPr>
            <w:tcW w:w="66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Interest expense—Interest rate contracts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3"/>
          </w:tcPr>
          <w:p>
            <w:pPr>
              <w:ind w:left="16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257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7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w w:val="99"/>
              </w:rPr>
              <w:t>$  16</w:t>
            </w:r>
          </w:p>
        </w:tc>
        <w:tc>
          <w:tcPr>
            <w:tcW w:w="1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257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June 30, 2013 and December 31, 2012, we did not have any financial instruments with fair values significantly different from their carrying amounts. These financial instruments include our long-term debt agreements, which valuations are classified as Level 3 and are based on valuation techniques that require inputs that are both unobservable and significant to the overall fair value measurement. The fair value measurement of our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the debt agreements. The fair value of financial instruments is not indicative of the overall fair value of our assets and liabilities since financial instruments do not include all assets, including intangibles, and all liabilities.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income taxes are as follows: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640"/>
              <w:spacing w:after="0"/>
              <w:rPr>
                <w:sz w:val="20"/>
                <w:szCs w:val="20"/>
                <w:color w:val="auto"/>
              </w:rPr>
            </w:pPr>
            <w:r>
              <w:rPr>
                <w:rFonts w:ascii="Arial" w:cs="Arial" w:eastAsia="Arial" w:hAnsi="Arial"/>
                <w:sz w:val="14"/>
                <w:szCs w:val="14"/>
                <w:color w:val="auto"/>
                <w:w w:val="98"/>
              </w:rPr>
              <w:t>Six Months Ended</w:t>
            </w:r>
          </w:p>
        </w:tc>
        <w:tc>
          <w:tcPr>
            <w:tcW w:w="1560" w:type="dxa"/>
            <w:vAlign w:val="bottom"/>
            <w:gridSpan w:val="4"/>
          </w:tcPr>
          <w:p>
            <w:pPr>
              <w:jc w:val="center"/>
              <w:ind w:right="100"/>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gridSpan w:val="3"/>
          </w:tcPr>
          <w:p>
            <w:pPr>
              <w:jc w:val="right"/>
              <w:ind w:right="900"/>
              <w:spacing w:after="0" w:line="149" w:lineRule="exact"/>
              <w:rPr>
                <w:sz w:val="20"/>
                <w:szCs w:val="20"/>
                <w:color w:val="auto"/>
              </w:rPr>
            </w:pPr>
            <w:r>
              <w:rPr>
                <w:rFonts w:ascii="Arial" w:cs="Arial" w:eastAsia="Arial" w:hAnsi="Arial"/>
                <w:sz w:val="14"/>
                <w:szCs w:val="14"/>
                <w:color w:val="auto"/>
                <w:w w:val="81"/>
              </w:rPr>
              <w:t>June 30,</w:t>
            </w:r>
          </w:p>
        </w:tc>
        <w:tc>
          <w:tcPr>
            <w:tcW w:w="500" w:type="dxa"/>
            <w:vAlign w:val="bottom"/>
          </w:tcPr>
          <w:p>
            <w:pPr>
              <w:spacing w:after="0"/>
              <w:rPr>
                <w:sz w:val="12"/>
                <w:szCs w:val="12"/>
                <w:color w:val="auto"/>
              </w:rPr>
            </w:pPr>
          </w:p>
        </w:tc>
        <w:tc>
          <w:tcPr>
            <w:tcW w:w="106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5"/>
              </w:rPr>
              <w:t>June 30,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ind w:right="37"/>
              <w:spacing w:after="0" w:line="159" w:lineRule="exact"/>
              <w:rPr>
                <w:sz w:val="20"/>
                <w:szCs w:val="20"/>
                <w:color w:val="auto"/>
              </w:rPr>
            </w:pPr>
            <w:r>
              <w:rPr>
                <w:rFonts w:ascii="Arial" w:cs="Arial" w:eastAsia="Arial" w:hAnsi="Arial"/>
                <w:sz w:val="14"/>
                <w:szCs w:val="14"/>
                <w:color w:val="auto"/>
                <w:w w:val="89"/>
              </w:rPr>
              <w:t>2013</w:t>
            </w:r>
          </w:p>
        </w:tc>
        <w:tc>
          <w:tcPr>
            <w:tcW w:w="960" w:type="dxa"/>
            <w:vAlign w:val="bottom"/>
            <w:gridSpan w:val="2"/>
          </w:tcPr>
          <w:p>
            <w:pPr>
              <w:jc w:val="right"/>
              <w:ind w:right="76"/>
              <w:spacing w:after="0" w:line="159" w:lineRule="exact"/>
              <w:rPr>
                <w:sz w:val="20"/>
                <w:szCs w:val="20"/>
                <w:color w:val="auto"/>
              </w:rPr>
            </w:pPr>
            <w:r>
              <w:rPr>
                <w:rFonts w:ascii="Arial" w:cs="Arial" w:eastAsia="Arial" w:hAnsi="Arial"/>
                <w:sz w:val="14"/>
                <w:szCs w:val="14"/>
                <w:color w:val="auto"/>
              </w:rPr>
              <w:t>2012</w:t>
            </w:r>
          </w:p>
        </w:tc>
        <w:tc>
          <w:tcPr>
            <w:tcW w:w="400" w:type="dxa"/>
            <w:vAlign w:val="bottom"/>
          </w:tcPr>
          <w:p>
            <w:pPr>
              <w:spacing w:after="0"/>
              <w:rPr>
                <w:sz w:val="13"/>
                <w:szCs w:val="13"/>
                <w:color w:val="auto"/>
              </w:rPr>
            </w:pPr>
          </w:p>
        </w:tc>
        <w:tc>
          <w:tcPr>
            <w:tcW w:w="500" w:type="dxa"/>
            <w:vAlign w:val="bottom"/>
          </w:tcPr>
          <w:p>
            <w:pPr>
              <w:jc w:val="right"/>
              <w:ind w:right="37"/>
              <w:spacing w:after="0" w:line="159" w:lineRule="exact"/>
              <w:rPr>
                <w:sz w:val="20"/>
                <w:szCs w:val="20"/>
                <w:color w:val="auto"/>
              </w:rPr>
            </w:pPr>
            <w:r>
              <w:rPr>
                <w:rFonts w:ascii="Arial" w:cs="Arial" w:eastAsia="Arial" w:hAnsi="Arial"/>
                <w:sz w:val="14"/>
                <w:szCs w:val="14"/>
                <w:color w:val="auto"/>
              </w:rPr>
              <w:t>2013</w:t>
            </w:r>
          </w:p>
        </w:tc>
        <w:tc>
          <w:tcPr>
            <w:tcW w:w="9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Borders>
              <w:top w:val="single" w:sz="8" w:color="auto"/>
            </w:tcBorders>
            <w:gridSpan w:val="3"/>
          </w:tcPr>
          <w:p>
            <w:pPr>
              <w:jc w:val="right"/>
              <w:ind w:right="257"/>
              <w:spacing w:after="0" w:line="142" w:lineRule="exact"/>
              <w:rPr>
                <w:sz w:val="20"/>
                <w:szCs w:val="20"/>
                <w:color w:val="auto"/>
              </w:rPr>
            </w:pPr>
            <w:r>
              <w:rPr>
                <w:rFonts w:ascii="Arial" w:cs="Arial" w:eastAsia="Arial" w:hAnsi="Arial"/>
                <w:sz w:val="14"/>
                <w:szCs w:val="14"/>
                <w:color w:val="auto"/>
              </w:rPr>
              <w:t>(In Thousands)</w:t>
            </w:r>
          </w:p>
        </w:tc>
        <w:tc>
          <w:tcPr>
            <w:tcW w:w="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Federal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784</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$17,441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Current</w:t>
            </w: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1,081</w:t>
            </w:r>
          </w:p>
        </w:tc>
        <w:tc>
          <w:tcPr>
            <w:tcW w:w="38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20,714</w:t>
            </w:r>
          </w:p>
        </w:tc>
        <w:tc>
          <w:tcPr>
            <w:tcW w:w="500" w:type="dxa"/>
            <w:vAlign w:val="bottom"/>
          </w:tcPr>
          <w:p>
            <w:pPr>
              <w:jc w:val="right"/>
              <w:spacing w:after="0"/>
              <w:rPr>
                <w:sz w:val="20"/>
                <w:szCs w:val="20"/>
                <w:color w:val="auto"/>
              </w:rPr>
            </w:pPr>
            <w:r>
              <w:rPr>
                <w:rFonts w:ascii="Arial" w:cs="Arial" w:eastAsia="Arial" w:hAnsi="Arial"/>
                <w:sz w:val="18"/>
                <w:szCs w:val="18"/>
                <w:color w:val="auto"/>
              </w:rPr>
              <w:t>2,166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14,249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9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Federal</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2,280</w:t>
            </w:r>
          </w:p>
        </w:tc>
        <w:tc>
          <w:tcPr>
            <w:tcW w:w="1360" w:type="dxa"/>
            <w:vAlign w:val="bottom"/>
            <w:gridSpan w:val="3"/>
          </w:tcPr>
          <w:p>
            <w:pPr>
              <w:jc w:val="right"/>
              <w:ind w:right="400"/>
              <w:spacing w:after="0"/>
              <w:rPr>
                <w:sz w:val="20"/>
                <w:szCs w:val="20"/>
                <w:color w:val="auto"/>
              </w:rPr>
            </w:pPr>
            <w:r>
              <w:rPr>
                <w:rFonts w:ascii="Arial" w:cs="Arial" w:eastAsia="Arial" w:hAnsi="Arial"/>
                <w:sz w:val="18"/>
                <w:szCs w:val="18"/>
                <w:color w:val="auto"/>
              </w:rPr>
              <w:t>2,220</w:t>
            </w:r>
          </w:p>
        </w:tc>
        <w:tc>
          <w:tcPr>
            <w:tcW w:w="500" w:type="dxa"/>
            <w:vAlign w:val="bottom"/>
          </w:tcPr>
          <w:p>
            <w:pPr>
              <w:jc w:val="right"/>
              <w:spacing w:after="0"/>
              <w:rPr>
                <w:sz w:val="20"/>
                <w:szCs w:val="20"/>
                <w:color w:val="auto"/>
              </w:rPr>
            </w:pPr>
            <w:r>
              <w:rPr>
                <w:rFonts w:ascii="Arial" w:cs="Arial" w:eastAsia="Arial" w:hAnsi="Arial"/>
                <w:sz w:val="18"/>
                <w:szCs w:val="18"/>
                <w:color w:val="auto"/>
              </w:rPr>
              <w:t>1,971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Deferred</w:t>
            </w: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2,541</w:t>
            </w:r>
          </w:p>
        </w:tc>
        <w:tc>
          <w:tcPr>
            <w:tcW w:w="3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2,539</w:t>
            </w:r>
          </w:p>
        </w:tc>
        <w:tc>
          <w:tcPr>
            <w:tcW w:w="500" w:type="dxa"/>
            <w:vAlign w:val="bottom"/>
          </w:tcPr>
          <w:p>
            <w:pPr>
              <w:jc w:val="right"/>
              <w:spacing w:after="0"/>
              <w:rPr>
                <w:sz w:val="20"/>
                <w:szCs w:val="20"/>
                <w:color w:val="auto"/>
              </w:rPr>
            </w:pPr>
            <w:r>
              <w:rPr>
                <w:rFonts w:ascii="Arial" w:cs="Arial" w:eastAsia="Arial" w:hAnsi="Arial"/>
                <w:sz w:val="18"/>
                <w:szCs w:val="18"/>
                <w:color w:val="auto"/>
              </w:rPr>
              <w:t>2,201</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Provisions for income taxes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3,622</w:t>
            </w:r>
          </w:p>
        </w:tc>
        <w:tc>
          <w:tcPr>
            <w:tcW w:w="1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23,253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15,451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 the six and three months ended June 30, 2013 and 2012, the current provisions for federal income taxes shown above includes regular federal income tax after the consideration of permanent and temporary differences between income for GAAP and tax purposes, including the benefit related to the retroactive tax relief for certain tax provisions that expired in 2012 as discussed below. For the six and three months ended June 30, 2013 and 2012, the current provisions for state income taxes shown above includes regular state income tax and provisions for uncertain state income tax positions.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annual estimated effective tax rate for 2013 includes the impact of permanent tax differences, such as the domestic manufacturer’s deduction, the advanced energy credit and other permanent items. 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reduced the current provision for the six months ended June 30, 2013 and impacted the estimated effective tax rate for 2013.</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tax provision for the six months ended June 30, 2013 and 2012 was $3.6 million (37% of pre-tax income, excluding the impact of the 2012 retroactive tax benefits) and $23.3 million (36% of pre-tax income), respectively.</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LSB and certain of its subsidiaries file income tax returns in the U.S. federal jurisdiction and various state jurisdictions. With few exceptions, the 2009-2011 years remain open for all purposes of examination by the U.S. Internal Revenue Service (“IRS”) and other major tax jurisdictions. We are under examination by the IRS for the tax years 2008-2010. As of June 30, 2013, the IRS has proposed certain adjustments, which we are protesting. We anticipate that the adjustments, if any, will not result in a material change to our financial position, results of operations and cash flows.</w:t>
      </w:r>
    </w:p>
    <w:p>
      <w:pPr>
        <w:spacing w:after="0" w:line="188" w:lineRule="exact"/>
        <w:rPr>
          <w:sz w:val="20"/>
          <w:szCs w:val="20"/>
          <w:color w:val="auto"/>
        </w:rPr>
      </w:pPr>
    </w:p>
    <w:p>
      <w:pPr>
        <w:ind w:right="5520"/>
        <w:spacing w:after="0" w:line="347" w:lineRule="auto"/>
        <w:rPr>
          <w:sz w:val="20"/>
          <w:szCs w:val="20"/>
          <w:color w:val="auto"/>
        </w:rPr>
      </w:pPr>
      <w:r>
        <w:rPr>
          <w:rFonts w:ascii="Arial" w:cs="Arial" w:eastAsia="Arial" w:hAnsi="Arial"/>
          <w:sz w:val="18"/>
          <w:szCs w:val="18"/>
          <w:b w:val="1"/>
          <w:bCs w:val="1"/>
          <w:u w:val="single" w:color="auto"/>
          <w:color w:val="auto"/>
        </w:rPr>
        <w:t xml:space="preserve">Note 12: Property and Business Interruption Insurance Claims and Recoveries </w:t>
      </w:r>
      <w:r>
        <w:rPr>
          <w:rFonts w:ascii="Arial" w:cs="Arial" w:eastAsia="Arial" w:hAnsi="Arial"/>
          <w:sz w:val="18"/>
          <w:szCs w:val="18"/>
          <w:b w:val="1"/>
          <w:bCs w:val="1"/>
          <w:color w:val="auto"/>
        </w:rPr>
        <w:t>El Dorado Facility</w:t>
      </w:r>
    </w:p>
    <w:p>
      <w:pPr>
        <w:spacing w:after="0" w:line="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On May 15, 2012, the El Dorado Facility suffered significant damage when a reactor in its 98% strength nitric acid plant (“DSN plant”) exploded. No employees or individuals in the surrounding area were seriously injured as a result of the explosion. In addition, several other plants and infrastructure within the El Dorado Facility sustained various degrees of damage.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As a result of this event, a notice of insurance claims for property damage and business interruption was filed with the insurance carriers. The engineering firm representing our insurance carriers has determined that the DSN plant was not destroyed by the explosion and was repairable. However, we have concluded that due to the extensive damage, the DSN plant should not be repaired but should be replaced with a new 65% strength nitric acid plant and a separate nitric acid concentrator.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Property and Business Interruption Insurance Claims and Recoveries (continued)</w:t>
      </w:r>
    </w:p>
    <w:p>
      <w:pPr>
        <w:spacing w:after="0" w:line="16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other recoverable costs incurred through June 30, 2013, we recorded an insurance claim receivable relating to this event, which offset the loss on disposal of the damaged property and certain repairs and clean-up costs incurred (“recoverable costs”).</w:t>
      </w:r>
    </w:p>
    <w:p>
      <w:pPr>
        <w:spacing w:after="0" w:line="10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2013, our insurance carriers approved unallocated payments totaling $50 million. We received correspondence associated with the $30 million received in 2013, which stated that our insurance carriers are still investigating the circumstances surrounding this event (including the cause of this event, scope of our losses and support for our claim) under a reservation of rights. For financial reporting purposes, we allocated $37.5 million to our property insurance claim and $12.5 million to our business interruption claim primarily based on the claims information provided to our insurance carriers as of that time in relation to our requests for insurance proceeds.</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$37.5 million allocated to the property insurance claim was partially applied against the recoverable costs totaling $22.8 million. The insurance recovery in excess of the recoverable costs of $14.7 million was deferred (included in current liabilities at June 30, 2013) since it is considered a gain contingency. The deferred portion of this recovery, and any additional recoveries, will be recognized if, and when, realized or realizable and earned.</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insurance recovery of $12.5 million allocated to the business interruption claim was applied against recoverable costs (primarily relating to additional expenses associated with purchased product sold to our customers while certain of our nitric and sulfuric acid plants were being repaired) totaling $8.5 million as a reduction to cost of sales ($7.3 million during the fourth quarter of 2012, $0.7 million during the first quarter of 2013, and $0.5 million during the second quarter of 2013). The insurance recovery in excess of recoverable costs of $4.0 million was deferred (included in current liabilities at June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there was no insurance claim receivable balance included in accounts receivable relating to this event.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Cherokee Facility</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November 13, 2012, a pipe ruptured within our chemical production facility located in Cherokee, Alabama (the “Cherokee Facility”) causing damage primarily to the heat exchanger portion of its ammonia plant. No serious injuries or environmental impact resulted from the pipe rupture. As a result of the damage, the Cherokee Facility could only produce, on a limited basis, nitric acid and AN solution from purchased ammonia until the repairs were completed.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As a result of this event, a notice of insurance claims for property damage and business interruption was filed with the insurance carriers.</w:t>
      </w:r>
    </w:p>
    <w:p>
      <w:pPr>
        <w:spacing w:after="0" w:line="12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Based upon our assessment that it was probable that the amount of coverage for property damages would exceed our property loss deductible, the net book value of the damaged property and other recoverable costs incurred, we recorded an insurance claim receivable relating to this event, which offset the loss on the disposal of the damaged property and other recoverable costs incurred.</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of June 30, 2013, our insurance carriers approved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107"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 million as a reduction to cost of sales ($10.1 million during the first quarter of 2013 and $2.9 million during the second quarter of 2013). The insurance recovery in excess of recoverable costs of $2.0 million was deferred (included in current liabilities at June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Property and Business Interruption Insurance Claims and Recoveries (continued)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June 30, 2013, the balance of the insurance claim receivable, included in accounts receivable, relating to this event was $1.9 million, consisting of recoverable costs associated with our property insurance claim.</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It is possible that the actual future development of the insurance claims discussed above could be different from our current allocations and estimates.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Other Expense, Other Income and Non-Operating Other Expense (Income), net</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right"/>
              <w:ind w:right="380"/>
              <w:spacing w:after="0"/>
              <w:rPr>
                <w:sz w:val="20"/>
                <w:szCs w:val="20"/>
                <w:color w:val="auto"/>
              </w:rPr>
            </w:pPr>
            <w:r>
              <w:rPr>
                <w:rFonts w:ascii="Arial" w:cs="Arial" w:eastAsia="Arial" w:hAnsi="Arial"/>
                <w:sz w:val="14"/>
                <w:szCs w:val="14"/>
                <w:color w:val="auto"/>
                <w:w w:val="91"/>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ind w:left="20"/>
              <w:spacing w:after="0"/>
              <w:rPr>
                <w:sz w:val="20"/>
                <w:szCs w:val="20"/>
                <w:color w:val="auto"/>
              </w:rPr>
            </w:pPr>
            <w:r>
              <w:rPr>
                <w:rFonts w:ascii="Arial" w:cs="Arial" w:eastAsia="Arial" w:hAnsi="Arial"/>
                <w:sz w:val="14"/>
                <w:szCs w:val="14"/>
                <w:color w:val="auto"/>
              </w:rPr>
              <w:t>Three Months Ended</w:t>
            </w:r>
          </w:p>
        </w:tc>
      </w:tr>
      <w:tr>
        <w:trPr>
          <w:trHeight w:val="149"/>
        </w:trPr>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June 30,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June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6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5"/>
              <w:spacing w:after="0" w:line="159" w:lineRule="exact"/>
              <w:rPr>
                <w:sz w:val="20"/>
                <w:szCs w:val="20"/>
                <w:color w:val="auto"/>
              </w:rPr>
            </w:pPr>
            <w:r>
              <w:rPr>
                <w:rFonts w:ascii="Arial" w:cs="Arial" w:eastAsia="Arial" w:hAnsi="Arial"/>
                <w:sz w:val="14"/>
                <w:szCs w:val="14"/>
                <w:color w:val="auto"/>
                <w:w w:val="83"/>
              </w:rPr>
              <w:t>2013</w:t>
            </w:r>
          </w:p>
        </w:tc>
        <w:tc>
          <w:tcPr>
            <w:tcW w:w="40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2012</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ind w:left="40"/>
              <w:spacing w:after="0" w:line="159"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r>
      <w:tr>
        <w:trPr>
          <w:trHeight w:val="142"/>
        </w:trPr>
        <w:tc>
          <w:tcPr>
            <w:tcW w:w="6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5"/>
          </w:tcPr>
          <w:p>
            <w:pPr>
              <w:jc w:val="right"/>
              <w:ind w:right="155"/>
              <w:spacing w:after="0" w:line="142" w:lineRule="exact"/>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Dismantle and demolition expense (1)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2,100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penalties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w w:val="92"/>
              </w:rPr>
              <w:t>Realized and unrealized losses on contractual obligations associated with carbon credits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long-lived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Losses on sales and disposals of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w w:val="86"/>
              </w:rPr>
              <w:t>551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536</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expense (2)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22"/>
        </w:trPr>
        <w:tc>
          <w:tcPr>
            <w:tcW w:w="6960" w:type="dxa"/>
            <w:vAlign w:val="bottom"/>
          </w:tcPr>
          <w:p>
            <w:pPr>
              <w:ind w:left="880"/>
              <w:spacing w:after="0"/>
              <w:rPr>
                <w:sz w:val="20"/>
                <w:szCs w:val="20"/>
                <w:color w:val="auto"/>
              </w:rPr>
            </w:pPr>
            <w:r>
              <w:rPr>
                <w:rFonts w:ascii="Arial" w:cs="Arial" w:eastAsia="Arial" w:hAnsi="Arial"/>
                <w:sz w:val="18"/>
                <w:szCs w:val="18"/>
                <w:color w:val="auto"/>
              </w:rPr>
              <w:t>Total other expense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3,756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60"/>
              <w:spacing w:after="0"/>
              <w:rPr>
                <w:sz w:val="20"/>
                <w:szCs w:val="20"/>
                <w:color w:val="auto"/>
              </w:rPr>
            </w:pPr>
            <w:r>
              <w:rPr>
                <w:rFonts w:ascii="Arial" w:cs="Arial" w:eastAsia="Arial" w:hAnsi="Arial"/>
                <w:sz w:val="18"/>
                <w:szCs w:val="18"/>
                <w:color w:val="auto"/>
                <w:w w:val="86"/>
              </w:rPr>
              <w:t>722</w:t>
            </w:r>
          </w:p>
        </w:tc>
        <w:tc>
          <w:tcPr>
            <w:tcW w:w="2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1,726</w:t>
            </w:r>
          </w:p>
        </w:tc>
        <w:tc>
          <w:tcPr>
            <w:tcW w:w="2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555</w:t>
            </w:r>
          </w:p>
        </w:tc>
      </w:tr>
      <w:tr>
        <w:trPr>
          <w:trHeight w:val="20"/>
        </w:trPr>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Realized and unrealized gains on carbon credits</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of litigation and potential litigation (3)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Gains on sales and disposals of property and equipment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(2)</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348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112</w:t>
            </w:r>
          </w:p>
        </w:tc>
        <w:tc>
          <w:tcPr>
            <w:tcW w:w="100" w:type="dxa"/>
            <w:vAlign w:val="bottom"/>
            <w:shd w:val="clear" w:color="auto" w:fill="CCEEFF"/>
          </w:tcPr>
          <w:p>
            <w:pPr>
              <w:spacing w:after="0"/>
              <w:rPr>
                <w:sz w:val="18"/>
                <w:szCs w:val="18"/>
                <w:color w:val="auto"/>
              </w:rPr>
            </w:pPr>
          </w:p>
        </w:tc>
      </w:tr>
      <w:tr>
        <w:trPr>
          <w:trHeight w:val="222"/>
        </w:trPr>
        <w:tc>
          <w:tcPr>
            <w:tcW w:w="6960" w:type="dxa"/>
            <w:vAlign w:val="bottom"/>
          </w:tcPr>
          <w:p>
            <w:pPr>
              <w:ind w:left="880"/>
              <w:spacing w:after="0"/>
              <w:rPr>
                <w:sz w:val="20"/>
                <w:szCs w:val="20"/>
                <w:color w:val="auto"/>
              </w:rPr>
            </w:pPr>
            <w:r>
              <w:rPr>
                <w:rFonts w:ascii="Arial" w:cs="Arial" w:eastAsia="Arial" w:hAnsi="Arial"/>
                <w:sz w:val="18"/>
                <w:szCs w:val="18"/>
                <w:color w:val="auto"/>
              </w:rPr>
              <w:t>Total other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1,545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60"/>
              <w:spacing w:after="0"/>
              <w:rPr>
                <w:sz w:val="20"/>
                <w:szCs w:val="20"/>
                <w:color w:val="auto"/>
              </w:rPr>
            </w:pPr>
            <w:r>
              <w:rPr>
                <w:rFonts w:ascii="Arial" w:cs="Arial" w:eastAsia="Arial" w:hAnsi="Arial"/>
                <w:sz w:val="18"/>
                <w:szCs w:val="18"/>
                <w:color w:val="auto"/>
                <w:w w:val="86"/>
              </w:rPr>
              <w:t>348</w:t>
            </w:r>
          </w:p>
        </w:tc>
        <w:tc>
          <w:tcPr>
            <w:tcW w:w="22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112</w:t>
            </w:r>
          </w:p>
        </w:tc>
      </w:tr>
      <w:tr>
        <w:trPr>
          <w:trHeight w:val="20"/>
        </w:trPr>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other expense (income),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6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6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Miscellaneous income (2)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(263)</w:t>
            </w:r>
          </w:p>
        </w:tc>
      </w:tr>
      <w:tr>
        <w:trPr>
          <w:trHeight w:val="223"/>
        </w:trPr>
        <w:tc>
          <w:tcPr>
            <w:tcW w:w="6960" w:type="dxa"/>
            <w:vAlign w:val="bottom"/>
          </w:tcPr>
          <w:p>
            <w:pPr>
              <w:ind w:left="440"/>
              <w:spacing w:after="0"/>
              <w:rPr>
                <w:sz w:val="20"/>
                <w:szCs w:val="20"/>
                <w:color w:val="auto"/>
              </w:rPr>
            </w:pPr>
            <w:r>
              <w:rPr>
                <w:rFonts w:ascii="Arial" w:cs="Arial" w:eastAsia="Arial" w:hAnsi="Arial"/>
                <w:sz w:val="18"/>
                <w:szCs w:val="18"/>
                <w:color w:val="auto"/>
              </w:rPr>
              <w:t>Miscellaneous expense (2)</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non-operating other expense (income), net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(272)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(267)</w:t>
            </w:r>
          </w:p>
        </w:tc>
      </w:tr>
      <w:tr>
        <w:trPr>
          <w:trHeight w:val="20"/>
        </w:trPr>
        <w:tc>
          <w:tcPr>
            <w:tcW w:w="6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relates to the dismantling and demolition of certain plant and equipment at our chemical facilities.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Amounts represent numerous unrelated transactions, none of which are individually significant requiring separate disclosure.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relates primarily to a settlement reached associated with a class action insurance brokerage antitrust litigation.</w:t>
      </w:r>
    </w:p>
    <w:p>
      <w:pPr>
        <w:spacing w:after="0" w:line="15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240" w:top="459" w:right="6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620"/>
              <w:spacing w:after="0"/>
              <w:rPr>
                <w:sz w:val="20"/>
                <w:szCs w:val="20"/>
                <w:color w:val="auto"/>
              </w:rPr>
            </w:pPr>
            <w:r>
              <w:rPr>
                <w:rFonts w:ascii="Arial" w:cs="Arial" w:eastAsia="Arial" w:hAnsi="Arial"/>
                <w:sz w:val="14"/>
                <w:szCs w:val="14"/>
                <w:color w:val="auto"/>
              </w:rPr>
              <w:t>Six Months Ended</w:t>
            </w:r>
          </w:p>
        </w:tc>
        <w:tc>
          <w:tcPr>
            <w:tcW w:w="10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color w:val="auto"/>
                <w:w w:val="97"/>
              </w:rPr>
              <w:t>Three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jc w:val="right"/>
              <w:ind w:right="335"/>
              <w:spacing w:after="0" w:line="142" w:lineRule="exact"/>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198,818</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262,339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121,328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138,134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147,627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130,304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77,357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3,538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352,902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399,520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202,223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209,275</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Gross profit: (2)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Chemical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Climate Control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47,385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40,435</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25,403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64,081</w:t>
            </w:r>
          </w:p>
        </w:tc>
        <w:tc>
          <w:tcPr>
            <w:tcW w:w="3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110,179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38,659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65,735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Chemical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2,579</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59,494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6,385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Climate Control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13,151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General corporate expenses and other business operations, net (4)</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(6,431)</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65,405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Non-operating other expense (income),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20"/>
              <w:spacing w:after="0"/>
              <w:rPr>
                <w:sz w:val="20"/>
                <w:szCs w:val="20"/>
                <w:color w:val="auto"/>
              </w:rPr>
            </w:pPr>
            <w:r>
              <w:rPr>
                <w:rFonts w:ascii="Arial" w:cs="Arial" w:eastAsia="Arial" w:hAnsi="Arial"/>
                <w:sz w:val="18"/>
                <w:szCs w:val="18"/>
                <w:color w:val="auto"/>
              </w:rPr>
              <w:t>Corporate and other business operations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23,253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Equity in earnings of affiliate-Climate Control</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80" w:right="60" w:hanging="572"/>
        <w:spacing w:after="0" w:line="252"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first six months of 2013, our Chemical Business experienced downtime at the Cherokee, El Dorado and Pryor Facilities resulting in lost production and significant adverse effect on operating results. During the first six months of 2012, our Chemical Business also experienced downtime at the El Dorado and Pryor Facilities that adversely affected operating results. Also see Note 12—Property and Business Interruption Insurance Claims and Recoveries.</w:t>
      </w:r>
    </w:p>
    <w:p>
      <w:pPr>
        <w:spacing w:after="0" w:line="1" w:lineRule="exact"/>
        <w:rPr>
          <w:rFonts w:ascii="Arial" w:cs="Arial" w:eastAsia="Arial" w:hAnsi="Arial"/>
          <w:sz w:val="18"/>
          <w:szCs w:val="18"/>
          <w:color w:val="auto"/>
        </w:rPr>
      </w:pPr>
    </w:p>
    <w:p>
      <w:pPr>
        <w:ind w:left="580" w:right="120" w:hanging="572"/>
        <w:spacing w:after="0" w:line="250"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by business segment represents net sales less cost of sales. Gross profit classified as “Other” relates to the sales of industrial machinery and related components.</w:t>
      </w:r>
    </w:p>
    <w:p>
      <w:pPr>
        <w:ind w:left="580" w:hanging="572"/>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chief operating decision makers use operating income by business segment for purposes of making decisions, which include resource allocations and performance evaluations. Operating income by business segment represents gross profit by business segment less selling, general and administrative expense (“SG&amp;A”) incurred by each business segment plus other income and other expense earned/incurred by each business segment before general corporate expenses and other business operations, net. General corporate expenses and other business operations, net, consist of unallocated portions of gross profit, SG&amp;A, other income and other expense.</w:t>
      </w:r>
    </w:p>
    <w:p>
      <w:pPr>
        <w:spacing w:after="0" w:line="3" w:lineRule="exact"/>
        <w:rPr>
          <w:rFonts w:ascii="Arial" w:cs="Arial" w:eastAsia="Arial" w:hAnsi="Arial"/>
          <w:sz w:val="16"/>
          <w:szCs w:val="16"/>
          <w:color w:val="auto"/>
        </w:rPr>
      </w:pPr>
    </w:p>
    <w:p>
      <w:pPr>
        <w:ind w:left="580" w:right="500" w:hanging="572"/>
        <w:spacing w:after="0" w:line="361"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amounts included are not allocated to our Climate Control and Chemical Businesses since these items are not included in the operating results reviewed by our chief operating decision makers for purposes of making decisions as discussed above. A detail of these amounts are as follows:</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Segment Information (continued)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60" w:type="dxa"/>
            <w:vAlign w:val="bottom"/>
            <w:gridSpan w:val="7"/>
          </w:tcPr>
          <w:p>
            <w:pPr>
              <w:jc w:val="right"/>
              <w:ind w:right="400"/>
              <w:spacing w:after="0"/>
              <w:rPr>
                <w:sz w:val="20"/>
                <w:szCs w:val="20"/>
                <w:color w:val="auto"/>
              </w:rPr>
            </w:pPr>
            <w:r>
              <w:rPr>
                <w:rFonts w:ascii="Arial" w:cs="Arial" w:eastAsia="Arial" w:hAnsi="Arial"/>
                <w:sz w:val="14"/>
                <w:szCs w:val="14"/>
                <w:color w:val="auto"/>
              </w:rPr>
              <w:t>Six Months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300"/>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60" w:type="dxa"/>
            <w:vAlign w:val="bottom"/>
            <w:gridSpan w:val="7"/>
          </w:tcPr>
          <w:p>
            <w:pPr>
              <w:jc w:val="right"/>
              <w:ind w:right="680"/>
              <w:spacing w:after="0" w:line="149" w:lineRule="exact"/>
              <w:rPr>
                <w:sz w:val="20"/>
                <w:szCs w:val="20"/>
                <w:color w:val="auto"/>
              </w:rPr>
            </w:pPr>
            <w:r>
              <w:rPr>
                <w:rFonts w:ascii="Arial" w:cs="Arial" w:eastAsia="Arial" w:hAnsi="Arial"/>
                <w:sz w:val="14"/>
                <w:szCs w:val="14"/>
                <w:color w:val="auto"/>
              </w:rPr>
              <w:t>June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6"/>
          </w:tcPr>
          <w:p>
            <w:pPr>
              <w:jc w:val="right"/>
              <w:ind w:right="640"/>
              <w:spacing w:after="0" w:line="149" w:lineRule="exact"/>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700" w:type="dxa"/>
            <w:vAlign w:val="bottom"/>
            <w:gridSpan w:val="2"/>
          </w:tcPr>
          <w:p>
            <w:pPr>
              <w:jc w:val="right"/>
              <w:ind w:right="59"/>
              <w:spacing w:after="0" w:line="159" w:lineRule="exact"/>
              <w:rPr>
                <w:sz w:val="20"/>
                <w:szCs w:val="20"/>
                <w:color w:val="auto"/>
              </w:rPr>
            </w:pPr>
            <w:r>
              <w:rPr>
                <w:rFonts w:ascii="Arial" w:cs="Arial" w:eastAsia="Arial" w:hAnsi="Arial"/>
                <w:sz w:val="14"/>
                <w:szCs w:val="14"/>
                <w:color w:val="auto"/>
              </w:rPr>
              <w:t>2013</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ind w:right="72"/>
              <w:spacing w:after="0" w:line="159" w:lineRule="exact"/>
              <w:rPr>
                <w:sz w:val="20"/>
                <w:szCs w:val="20"/>
                <w:color w:val="auto"/>
              </w:rPr>
            </w:pPr>
            <w:r>
              <w:rPr>
                <w:rFonts w:ascii="Arial" w:cs="Arial" w:eastAsia="Arial" w:hAnsi="Arial"/>
                <w:sz w:val="14"/>
                <w:szCs w:val="14"/>
                <w:color w:val="auto"/>
              </w:rPr>
              <w:t>2012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57"/>
              <w:spacing w:after="0" w:line="159" w:lineRule="exact"/>
              <w:rPr>
                <w:sz w:val="20"/>
                <w:szCs w:val="20"/>
                <w:color w:val="auto"/>
              </w:rPr>
            </w:pPr>
            <w:r>
              <w:rPr>
                <w:rFonts w:ascii="Arial" w:cs="Arial" w:eastAsia="Arial" w:hAnsi="Arial"/>
                <w:sz w:val="14"/>
                <w:szCs w:val="14"/>
                <w:color w:val="auto"/>
              </w:rPr>
              <w:t>2013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52"/>
              <w:spacing w:after="0" w:line="159" w:lineRule="exact"/>
              <w:rPr>
                <w:sz w:val="20"/>
                <w:szCs w:val="20"/>
                <w:color w:val="auto"/>
              </w:rPr>
            </w:pPr>
            <w:r>
              <w:rPr>
                <w:rFonts w:ascii="Arial" w:cs="Arial" w:eastAsia="Arial" w:hAnsi="Arial"/>
                <w:sz w:val="14"/>
                <w:szCs w:val="14"/>
                <w:color w:val="auto"/>
              </w:rPr>
              <w:t>2012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jc w:val="right"/>
              <w:ind w:right="277"/>
              <w:spacing w:after="0" w:line="142" w:lineRule="exact"/>
              <w:rPr>
                <w:sz w:val="20"/>
                <w:szCs w:val="20"/>
                <w:color w:val="auto"/>
              </w:rPr>
            </w:pPr>
            <w:r>
              <w:rPr>
                <w:rFonts w:ascii="Arial" w:cs="Arial" w:eastAsia="Arial" w:hAnsi="Arial"/>
                <w:sz w:val="14"/>
                <w:szCs w:val="14"/>
                <w:color w:val="auto"/>
                <w:w w:val="89"/>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profit-Other</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$ 2,190</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$ 2,246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$ 1,161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$ 1,246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Personnel costs</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(5,189)</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(5,530)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ind w:left="440"/>
              <w:spacing w:after="0"/>
              <w:rPr>
                <w:sz w:val="20"/>
                <w:szCs w:val="20"/>
                <w:color w:val="auto"/>
              </w:rPr>
            </w:pPr>
            <w:r>
              <w:rPr>
                <w:rFonts w:ascii="Arial" w:cs="Arial" w:eastAsia="Arial" w:hAnsi="Arial"/>
                <w:sz w:val="18"/>
                <w:szCs w:val="18"/>
                <w:color w:val="auto"/>
              </w:rPr>
              <w:t>Professional fees</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(2,210)</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(1,774)</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selling, general and administrative</w:t>
            </w:r>
          </w:p>
        </w:tc>
        <w:tc>
          <w:tcPr>
            <w:tcW w:w="1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gridSpan w:val="3"/>
            <w:vMerge w:val="continue"/>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(9,173)</w:t>
            </w:r>
          </w:p>
        </w:tc>
        <w:tc>
          <w:tcPr>
            <w:tcW w:w="1020" w:type="dxa"/>
            <w:vAlign w:val="bottom"/>
            <w:gridSpan w:val="4"/>
          </w:tcPr>
          <w:p>
            <w:pPr>
              <w:jc w:val="right"/>
              <w:ind w:right="80"/>
              <w:spacing w:after="0"/>
              <w:rPr>
                <w:sz w:val="20"/>
                <w:szCs w:val="20"/>
                <w:color w:val="auto"/>
              </w:rPr>
            </w:pPr>
            <w:r>
              <w:rPr>
                <w:rFonts w:ascii="Arial" w:cs="Arial" w:eastAsia="Arial" w:hAnsi="Arial"/>
                <w:sz w:val="18"/>
                <w:szCs w:val="18"/>
                <w:color w:val="auto"/>
              </w:rPr>
              <w:t>(9,681)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(4,735)</w:t>
            </w:r>
          </w:p>
        </w:tc>
        <w:tc>
          <w:tcPr>
            <w:tcW w:w="1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587</w:t>
            </w:r>
          </w:p>
        </w:tc>
        <w:tc>
          <w:tcPr>
            <w:tcW w:w="6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1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9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general corporate expenses andother business operations, net</w:t>
            </w:r>
          </w:p>
        </w:tc>
        <w:tc>
          <w:tcPr>
            <w:tcW w:w="1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(6,431)</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(3,616)</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color w:val="auto"/>
              </w:rPr>
              <w:t>Information about our total assets by business segment is as follows:</w:t>
            </w:r>
          </w:p>
        </w:tc>
        <w:tc>
          <w:tcPr>
            <w:tcW w:w="1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280" w:type="dxa"/>
            <w:vAlign w:val="bottom"/>
            <w:gridSpan w:val="3"/>
            <w:vMerge w:val="continue"/>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4"/>
          </w:tcPr>
          <w:p>
            <w:pPr>
              <w:jc w:val="right"/>
              <w:ind w:right="520"/>
              <w:spacing w:after="0"/>
              <w:rPr>
                <w:sz w:val="20"/>
                <w:szCs w:val="20"/>
                <w:color w:val="auto"/>
              </w:rPr>
            </w:pPr>
            <w:r>
              <w:rPr>
                <w:rFonts w:ascii="Arial" w:cs="Arial" w:eastAsia="Arial" w:hAnsi="Arial"/>
                <w:sz w:val="14"/>
                <w:szCs w:val="14"/>
                <w:color w:val="auto"/>
                <w:w w:val="89"/>
              </w:rPr>
              <w:t>June 30,</w:t>
            </w:r>
          </w:p>
        </w:tc>
        <w:tc>
          <w:tcPr>
            <w:tcW w:w="980" w:type="dxa"/>
            <w:vAlign w:val="bottom"/>
            <w:gridSpan w:val="5"/>
          </w:tcPr>
          <w:p>
            <w:pPr>
              <w:ind w:left="120"/>
              <w:spacing w:after="0"/>
              <w:rPr>
                <w:sz w:val="20"/>
                <w:szCs w:val="20"/>
                <w:color w:val="auto"/>
              </w:rPr>
            </w:pPr>
            <w:r>
              <w:rPr>
                <w:rFonts w:ascii="Arial" w:cs="Arial" w:eastAsia="Arial" w:hAnsi="Arial"/>
                <w:sz w:val="14"/>
                <w:szCs w:val="14"/>
                <w:color w:val="auto"/>
                <w:w w:val="95"/>
              </w:rPr>
              <w:t>December 31,</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2"/>
              <w:spacing w:after="0" w:line="159" w:lineRule="exact"/>
              <w:rPr>
                <w:sz w:val="20"/>
                <w:szCs w:val="20"/>
                <w:color w:val="auto"/>
              </w:rPr>
            </w:pPr>
            <w:r>
              <w:rPr>
                <w:rFonts w:ascii="Arial" w:cs="Arial" w:eastAsia="Arial" w:hAnsi="Arial"/>
                <w:sz w:val="14"/>
                <w:szCs w:val="14"/>
                <w:color w:val="auto"/>
              </w:rPr>
              <w:t>2013</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7"/>
              <w:spacing w:after="0" w:line="159" w:lineRule="exact"/>
              <w:rPr>
                <w:sz w:val="20"/>
                <w:szCs w:val="20"/>
                <w:color w:val="auto"/>
              </w:rPr>
            </w:pPr>
            <w:r>
              <w:rPr>
                <w:rFonts w:ascii="Arial" w:cs="Arial" w:eastAsia="Arial" w:hAnsi="Arial"/>
                <w:sz w:val="14"/>
                <w:szCs w:val="14"/>
                <w:color w:val="auto"/>
              </w:rPr>
              <w:t>2012</w:t>
            </w: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7"/>
          </w:tcPr>
          <w:p>
            <w:pPr>
              <w:jc w:val="right"/>
              <w:ind w:right="580"/>
              <w:spacing w:after="0" w:line="142" w:lineRule="exact"/>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24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$433,884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394,479</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Climate Control</w:t>
            </w: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140,407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139,526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Corporate assets and other</w:t>
            </w:r>
          </w:p>
        </w:tc>
        <w:tc>
          <w:tcPr>
            <w:tcW w:w="1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47,998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42,607</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90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40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622,289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576,612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Related Party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March 2012, we paid dividends totaling $300,000 on our Series B Preferred and our Series D Preferred. In March 2013, we declared and subsequently paid dividends totaling $300,000 on our Series B Preferred and our Series D Preferred. The Series B Preferred and Series D Preferred are non-redeemable preferred stocks issued in 1986 and 2001, respectively, of which all outstanding shares are owned by Jack E. Golsen (“Golsen”), our Chairman of the Board and Chief Executive Officer, members of his immediate family (spouse and children), including Barry H. Golsen, our Vice Chairman and President, Steven J. Golsen, a Director and Chief Operating Officer of our Climate Control Business, entities owned by them and trusts for which they possess voting or dispositive power as trustee (together, the “Golsen Group”).</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New Director</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15, 2013, our Board of Directors appointed Mr. Lance Benham as a new member of our Board of Directors. Mr. Benham’s appointment fills the board vacancy resulting from the passing of Mr. Horace Rhodes in January 2013. At the 2013 annual meeting of stockholders held in May, Mr. Benham was elected to serve with the class of directors having a term that will expire in 2016.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six months of 2013, we incurred approximately $2,872,000 with SAIC Energy for engineering services and deconstruction services relating to our chemical facilities.</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w:t>
      </w:r>
    </w:p>
    <w:p>
      <w:pPr>
        <w:spacing w:after="0" w:line="9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Issuance of Senior Secured Notes and Pay Off of Secured Term Loan</w:t>
      </w:r>
      <w:r>
        <w:rPr>
          <w:rFonts w:ascii="Arial" w:cs="Arial" w:eastAsia="Arial" w:hAnsi="Arial"/>
          <w:sz w:val="16"/>
          <w:szCs w:val="16"/>
          <w:color w:val="auto"/>
        </w:rPr>
        <w:t>—On August 7, 2013, LSB sold $425 million aggregate principal amount of the 7.75%</w:t>
      </w:r>
      <w:r>
        <w:rPr>
          <w:rFonts w:ascii="Arial" w:cs="Arial" w:eastAsia="Arial" w:hAnsi="Arial"/>
          <w:sz w:val="16"/>
          <w:szCs w:val="16"/>
          <w:b w:val="1"/>
          <w:bCs w:val="1"/>
          <w:color w:val="auto"/>
        </w:rPr>
        <w:t xml:space="preserve"> </w:t>
      </w:r>
      <w:r>
        <w:rPr>
          <w:rFonts w:ascii="Arial" w:cs="Arial" w:eastAsia="Arial" w:hAnsi="Arial"/>
          <w:sz w:val="16"/>
          <w:szCs w:val="16"/>
          <w:color w:val="auto"/>
        </w:rPr>
        <w:t>Senior Notes due 2019 (the “Senior Secured Notes”) in a 144A transaction pursuant to the exemptions from the registration requirements of the Securities Act of 1933, as amended (the “Act”). The Senior Secured Notes are eligible for resale by the investors under Rule144A under the Act. LSB received net proceeds of approximately $418 million, after commissions and fees. In connection with the closing, LSB entered into an indenture (the “Indenture”) with UMB Bank, as trustee, governing the Senior Secured Notes and as collateral agent, and will receive customary compensation from us for such services.</w:t>
      </w:r>
    </w:p>
    <w:p>
      <w:pPr>
        <w:spacing w:after="0" w:line="11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beginning on February 1, 2014.</w:t>
      </w:r>
    </w:p>
    <w:p>
      <w:pPr>
        <w:spacing w:after="0" w:line="13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release or discharge of any guarantee or indebtedness that resulted in the creation of the guarantee of the Senior Secured Notes by such guarantor;</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the sale of its capital stock or the sale of all or substantially all of the assets, of such guarantor; or</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are discharged in accordance with the Indenture.</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40"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The Senior Secured Notes will be secured on a first-priority basis by the Priority Collateral owned by LSB and the guarantors (other than the two unsecured guarantors)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w:t>
      </w:r>
    </w:p>
    <w:p>
      <w:pPr>
        <w:spacing w:after="0" w:line="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 (continued)</w:t>
      </w:r>
    </w:p>
    <w:p>
      <w:pPr>
        <w:spacing w:after="0" w:line="164"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1st of the year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LSB has used $67.2 million of the net proceeds from Senior Secured Notes to pay all outstanding borrowings, including the prepayment penalty, under the Secured Term Loan.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Senior Secured Notes, we entered into an amendment to the Working Capital Revolver Loan as discussed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Senior Secured Notes, LSB entered into a Registration Rights Agreement (the “Registration Rights Agreement”).</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connection with the Registration Rights Agreement, we have agreed to use our reasonable best efforts to file with the SEC a registration statement (“Registration Statement”) on an appropriate form with respect to a registered offer to exchange the notes for new notes with terms substantially identical in all material respects to the notes, cause the Registration Statement to be declared effective under the Securities Act, and complete the exchange within 180 days after the effective date of such Registration Statement. We are also obligated to update the Registration Statement by filing a post-effective amendment. If the exchange offer is not completed on or prior to the expiration of 365 days from August 7, 2013 (the date of closing) and under certain other conditions, the annual interest rate on the notes will be increased by (i) 0.25% for the first 90 day period immediately following such default and (ii) an additional 0.25% with respect to each subsequent 90 day period, in each case until and including the date such default ends, up to a maximum increase of 1.00%.</w:t>
      </w:r>
    </w:p>
    <w:p>
      <w:pPr>
        <w:spacing w:after="0" w:line="11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Amendment to Working Capital Revolver Loan</w:t>
      </w:r>
      <w:r>
        <w:rPr>
          <w:rFonts w:ascii="Arial" w:cs="Arial" w:eastAsia="Arial" w:hAnsi="Arial"/>
          <w:sz w:val="16"/>
          <w:szCs w:val="16"/>
          <w:color w:val="auto"/>
        </w:rPr>
        <w:t>—Our wholly-owned subsidiary, ThermaClime and certain of its wholly-owned subsidiaries (the “Borrowers”),</w:t>
      </w:r>
      <w:r>
        <w:rPr>
          <w:rFonts w:ascii="Arial" w:cs="Arial" w:eastAsia="Arial" w:hAnsi="Arial"/>
          <w:sz w:val="16"/>
          <w:szCs w:val="16"/>
          <w:b w:val="1"/>
          <w:bCs w:val="1"/>
          <w:color w:val="auto"/>
        </w:rPr>
        <w:t xml:space="preserve"> </w:t>
      </w:r>
      <w:r>
        <w:rPr>
          <w:rFonts w:ascii="Arial" w:cs="Arial" w:eastAsia="Arial" w:hAnsi="Arial"/>
          <w:sz w:val="16"/>
          <w:szCs w:val="16"/>
          <w:color w:val="auto"/>
        </w:rPr>
        <w:t>are parties to the Working Capital Revolver Loan. On July, 31, 2013, we entered into an amendment to the Working Capital Revolver Loan, which amends our existing senior secured revolving credit facility (the “Amended Working Capital Revolver”). The Amended Working Capital Revolver Loan became effective concurrently with the closing of the issuance of Senior Secured Notes discussed above. Upon the Amended Working Capital Revolver Loan becoming effective, such increased the principal amount that ThermaClime and its subsidiaries may borrow on a revolving basis from up to $50.0 million to up to $100.0 million, based on specific percentages of eligible accounts receivable and inventories and permits the Senior Secured Notes and the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The Amended Working Capital Revolver Loan will mature on April 13, 2018.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 (continued)</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August 7, 2013, the interest rate was 3.75% based on LIBOR. Interest is paid monthly, if applicable. At August 7, 2013, there were no outstanding borrowings under the Amended Working Capital Revolver Loan.</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1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 The terms of the Amended Working Capital Revolver Loan provided that ThermaClime could prepay the Secured Term Loan as discussed above.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Amended Working Capital Revolver Loan requires ThermaClime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The Amended Working Capital Revolver Loan contains covenants that, among other things, limit the Borrowers’ (which does not include LSB) ability, without consent of the lender and with certain exceptions, to:</w:t>
      </w:r>
    </w:p>
    <w:p>
      <w:pPr>
        <w:spacing w:after="0" w:line="6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other restricted payments, including, without limitation,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Amended Working Capital Revolver Loan allows the borrowers and subsidiaries under the Senior Secured Notes to guarantee those notes. So long as no default or event of default has occurred and is continuing or would result therefrom, ThermaClime may make distributions and pay dividends to LSB in amounts necessary to permit LSB to make required payments of principal and payments of scheduled interest under the Senior Secured Notes, in each case not more than five business days prior to the date such payments are due and not in excess of the actual amounts due. The ability of ThermaClime and its wholly-owned subsidiaries to pay other dividends and to make other distributions to LSB or ThermaClime’s parent, Consolidated Industries Corp. (“Consolidated Industries”), is restricted by certain covenants contained in the Amended Working Capital Revolver Loan, which prohibits ThermaClime from transferring other funds to LSB in the form of cash dividends or other distributions, except for the following (so long as no default or event of default has occurred, is continuing or would result therefrom):</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Subsequent Events (continued)</w:t>
      </w:r>
    </w:p>
    <w:p>
      <w:pPr>
        <w:spacing w:after="0" w:line="164" w:lineRule="exact"/>
        <w:rPr>
          <w:sz w:val="20"/>
          <w:szCs w:val="20"/>
          <w:color w:val="auto"/>
        </w:rPr>
      </w:pPr>
    </w:p>
    <w:p>
      <w:pPr>
        <w:ind w:left="9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a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amount not to exceed 50% of ThermaClime’s consolidated net income during each fiscal year determined in accordance with GAAP, plus income taxes paid to LSB during such fiscal year within the previous bullet above.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loans to, or other investments in, LSB in an aggregate amount exceeding $5.0 million at any time outstanding;</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distributions and pay dividends with respect to amounts in excess of $0.5 million during each fiscal year to Consolidated Industries or to LSB or to any subsidiary of Consolidated Industries that is not also a subsidiary of ThermaClime;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joint ventures in an aggregate amount not exceeding $35.0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$0.1 million, cross-acceleration to indebtedness in excess of $0.1 million, bankruptcy and insolvency events, certain unsatisfied judgments, certain liens, and certain assertions of, or actual invalidity of, certain loan documents.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Amended Working Capital Revolver Loan contains numerous other covenants applicable to the borrowers including, but not limited to, the following:</w:t>
      </w:r>
    </w:p>
    <w:p>
      <w:pPr>
        <w:spacing w:after="0" w:line="113"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 on the incurrence of certain additional indebtedness and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mergers, acquisitions, dissolution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declaration of dividends and distributions to LSB;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limitations on payments to non-borrower affiliates.</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Capital Project Commitment</w:t>
      </w:r>
      <w:r>
        <w:rPr>
          <w:rFonts w:ascii="Arial" w:cs="Arial" w:eastAsia="Arial" w:hAnsi="Arial"/>
          <w:sz w:val="16"/>
          <w:szCs w:val="16"/>
          <w:color w:val="auto"/>
        </w:rPr>
        <w:t>—Using a portion of the net proceeds from the sale of the Senior Secured Notes, we will proceed with the design, engineering,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of an ammonia plant at the El Dorado Facility. The estimated cost for this project ranges from $250 million to $300 million, of which $16.4 million has been incurred and capitalized at June 30, 2013. We are negotiating or have negotiated an Engineering Procurement and Construction Agreement with SAIC Constructors, LLC, a subsidiary of SAIC, to engineer and construct the ammonia plant and certain support facilities. We expect SAIC Constructor’s fees in connection with this agreement to be approximately $22 million.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6"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should be read in conjunction with a review of the other Items included in this Form 10-Q including our June 30, 2013 condensed consolidated financial statements included elsewhere in this report. Certain statements contained in this MD&amp;A may be deemed to be forward-looking statements. See “Special Note Regarding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LSB Industries, Inc. (“LSB”) is a manufacturing and marketing company operating through our subsidiaries. LSB and its wholly owned subsidiaries (the “Company”, “We”, “Us”, or “Our”) own the following core businesses:</w:t>
      </w:r>
    </w:p>
    <w:p>
      <w:pPr>
        <w:spacing w:after="0" w:line="51" w:lineRule="exact"/>
        <w:rPr>
          <w:sz w:val="20"/>
          <w:szCs w:val="20"/>
          <w:color w:val="auto"/>
        </w:rPr>
      </w:pPr>
    </w:p>
    <w:p>
      <w:pPr>
        <w:ind w:left="900" w:hanging="325"/>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Chemical Business manufactures and sells nitrogen-based chemical products produced from four facilities located in El Dorado, Arkansas; Cherokee, Alabama; Pryor, Oklahoma; and Baytown, Texas for the agricultural, industrial and mining markets. Our products include high purity and commercial grade anhydrous ammonia for industrial and agricultural applications, industrial and fertilizer grade AN, urea ammonium nitrate (“UAN”), sulfuric acids, nitric acids in various concentrations, nitrogen solutions, diesel exhaust fuel and various other products. For the first half of 2013, approximately 56% of our consolidated net sales relates to the Chemical Business compared to 66% for the first half of 2012.</w:t>
      </w:r>
    </w:p>
    <w:p>
      <w:pPr>
        <w:spacing w:after="0" w:line="34" w:lineRule="exact"/>
        <w:rPr>
          <w:rFonts w:ascii="Arial" w:cs="Arial" w:eastAsia="Arial" w:hAnsi="Arial"/>
          <w:sz w:val="16"/>
          <w:szCs w:val="16"/>
          <w:color w:val="auto"/>
        </w:rPr>
      </w:pPr>
    </w:p>
    <w:p>
      <w:pPr>
        <w:ind w:left="900" w:right="20" w:hanging="325"/>
        <w:spacing w:after="0" w:line="25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Climate Control Business manufactures and sells a broad range of HVAC products in the niche markets we serve consisting of geothermal and water source heat pumps, hydronic fan coils, large custom air handlers, modular geothermal and other chillers and other related products used to control the environment in commercial/institutional and residential new building construction, renovation of existing buildings and replacement of existing systems. Our Climate Control Business manufactures and distributes its products from seven facilities located in Oklahoma City, Oklahoma. For the first half of 2013, approximately 42% of our consolidated net sales relates to the Climate Control Business compared to 33% for the first half of 2012.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Issuance of Senior Secured Notes and Intended Use of Proceeds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discussed below under “Liquidity and Capital Resources,” on August 7, 2013, LSB sold $425 million aggregate principal amount of the 7.75% Senior Notes due 2019 (the “Senior Secured Notes”) in a private placement.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LSB has used or intends to use the net proceeds from Senior Secured Notes, as follows:</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$67.2 million to pay all outstanding borrowings, including the prepayment penalty, under the Secured Term Loan; and</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general corporate purposes, which we expect to include the construction of an ammonia plant, nitric acid plant, and concentrator at the El Dorado Facility; improvement of reliability, mechanical integrity, and safety at our chemical facilities; and the development of our acquired natural gas leaseholds during the next three years.</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Using a portion of the net proceeds from the sale of the Senior Secured Notes, we will proceed with the design, engineering, and construction of an ammonia plant at the El Dorado Facility. The estimated cost for this project ranges from $250 million to $300 million, of which $16.4 million has been incurred and capitalized at June 30, 2013 as discussed below under “Liquidity and Capital Resources—Capital Expenditures”. We have filed for permits with the Arkansas Department of Environmental Quality (“ADEQ”) for the construction of the ammonia plant, the 65% strength nitric acid plant, and the 98% concentrator.</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Pending application of proceeds discussed above, the net proceeds from the Senior Secured Notes will be invested in investments with highly rated money market funds, U.S. government securities, treasury bills and/or short-term commercial paper.</w:t>
      </w:r>
    </w:p>
    <w:p>
      <w:pPr>
        <w:spacing w:after="0" w:line="13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Senior Secured Notes are jointly and severally and fully and unconditionally guaranteed by all of LSB’s subsidiaries and are collateralized with a substantial portion of LSB and its subsidiaries assets, except the guarantees by Zena and EDN are not secured by any of Zena or EDN’s assets.</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conjunction with the Senior Secured Notes, we entered into an amendment to the Working Capital Revolver Loan as discussed below under “Liquidity and Capital Resources”.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Downtime at Certain Chemical Facilities and Related Programs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As previously reported, during 2012, our Chemical Business encountered a number of significant issues including; an explosion in one of our nitric acid plants at the El Dorado Facility in May, a pipe rupture at the Cherokee Facility in November that damaged the ammonia plant, and mechanical issues at the Pryor Facility, all resulting in lost production and a significant adverse effect on our sales, operating income and cash flow for 2012 and for the first half of 2013.</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the first half of 2013, we estimate the cumulative negative effect on our operating income from these incidents and issues to be approximately $59 million to $70 million, including lost absorption and gross profit margins, based on current market conditions and net of business interruption insurance recoveries recognized.</w:t>
      </w:r>
    </w:p>
    <w:p>
      <w:pPr>
        <w:spacing w:after="0" w:line="14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believe the cumulative adverse effect on operating income for the reduced nitric acid production at the El Dorado Facility for the first half of 2013 was an estimated $5 million to $6 million, including lost absorption and gross profit margins, based on current market conditions, net of the impact of the business interruption insurance recoveries discussed below. In addition, we estimate that the monthly negative effect on operating income at the El Dorado Facility will approximate $1 million to $2 million until the new 65% strength nitric acid plant and the 98% concentrator are constructed and begin production during the first half of 2015. The estimated combined cost for the new nitric acid plant and concentrator is approximately $120 million, of which $25.2 million has been capitalized as of June 30, 2013.</w:t>
      </w:r>
    </w:p>
    <w:p>
      <w:pPr>
        <w:spacing w:after="0" w:line="144"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We believe the cumulative adverse effect on operating income for the unplanned downtime at the Cherokee Facility for the first half of 2013, prior to the repairs of the ammonia plant being completed and resuming normal production in the first few days of May, was an estimated $17 million to $22 million, including lost absorption and gross profit margins, based on current market conditions, net of the impact of business interruption insurance recoveries as discussed below.</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believe the cumulative adverse effect on operating income for the unplanned downtime and reduced production at the Pryor Facility for the first half of 2013, prior to the restart of its ammonia plant, was an estimated $37 million to $42 million, including lost absorption and gross profit margins, based on current market conditions. The mechanical issues at the Pryor Facility were resolved during the last half of April 2013, and the Pryor Facility returned to production in April 2013, and was down periodically in May, June and July 2013 for equipment repairs or maintenance. During November 2012, the Pryor Facility had stopped production to install a replacement ammonia converter and to perform unplanned maintenance, which has been completed. During the outage, with the support of third-party professionals, the Pryor Facility also undertook extensive programs to review and update operating procedures and to test soundness of piping and equipment. The outage at the Pryor Facility was longer than originally anticipated due to mechanical issues that arose after the initial start-up requiring repairs, along with calibration of new control equipment.</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previously reported, although the events are unrelated to each other, the severity and frequency of the events at our Pryor, Cherokee, and El Dorado Facilities caused us to undergo a thorough reexamination of our process safety management (“PSM”), reliability and mechanical integrity programs. As a result, we have undertaken a concerted program to attempt to improve the reliability and mechanical integrity of our chemical plant facilities. A key component of the improvement program is the implementation of enhanced PSM programs to supplement existing PSM programs. The improvement program includes engaging outside experts and consultants who specialize in risk management, reliability, mechanical integrity and PSM. We are also recruiting and hiring additional corporate and plant engineering and operational personnel, and accelerating acquisition of additional spare parts to supplement our existing spare parts program. For 2013, we expect to incur expenses of approximately $5.0 million to $5.5 million in connection with this program, of which $1.7 million was incurred during the first half of 2013. The program also includes the installation of additional automation and additional plant equipment protections.</w:t>
      </w:r>
    </w:p>
    <w:p>
      <w:pPr>
        <w:spacing w:after="0" w:line="11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previously reported, as a result of certain of the events discussed above, we have filed insurance claims to recover a portion of the costs incurred and lost profits. Through June 2013, we have received a total of $65 million of the payments approved by our insurance carriers relating to our insurance claims associated with the El Dorado and Cherokee Facilities. We received correspondence associated with these payments, which stated that our insurance carriers are still investigating the circumstances giving rise to the claims associated with these facilities (including the cause of the event, scope of our losses, and support for our claim) under a reservation of rights. As previously reported with respect to the Pryor Facility, in April 2013, we received a letter from our insurance carriers denying our insurance claims relating to the unplanned downtime event beginning late February 2012 through early July 2012, associated with the stainless steel liner at the Pryor Facility. See further discussion relating to the downtime of certain chemical facilities and our property and business interruption insurance claims and recovery below under “Downtime at Certain Chemical Facilities-First Half of 2013.”</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Economic Conditions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our two core business segments serve several diverse markets, we consider fundamentals for each market individually as we evaluate economic conditions. From a macro standpoint, we believe the U.S. economy is poised for modest growth, based upon certain economic reports, including the Conference Board Composite Index of Leading Indicators.</w:t>
      </w:r>
    </w:p>
    <w:p>
      <w:pPr>
        <w:spacing w:after="0" w:line="14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Chemical Business—Our Chemical Business’ primary markets are agricultural, industrial and mining. During the first half of 2013, sales were $198.8 million or 24% lower than the first half of 2012. Due to the significant downtime at certain of our chemical facilities and the corresponding impact on production, sales (in volumes and dollars) were lower in all three of our primary markets compared to the same period in 2012. Mining sales were down also as a result of lower customer demand for industrial grade AN, which we believe was due to higher coal inventories and natural gas being a more attractive alternative feedstock than coal for utility companies. As reported by the Department of Energy, coal stocks have declined during 2013 and for the first four months of 2013, coal consumption has increased over the same period in 2012. In normal circumstances, our agricultural sales volumes and prices depend upon the supply of and the demand for fertilizer, which in turn depends on the market fundamentals for crops including corn, wheat, cotton and forage. The current outlook for 2013 according to most market indicators, including reports in Green Markets, Fertilizer Week and the USDA’s World Agricultural Supply and Demand Estimates, points to positive supply and demand fundamentals for the types of nitrogen fertilizer products we produce and sell. However, it is possible that the fertilizer outlook could change if there are unanticipated changes in commodity prices, fertilizer imports, domestic fertilizer production capacity, acres planted of crops requiring fertilizer, or unfavorable weather conditions. We use natural gas to produce anhydrous ammonia, which ammonia is also used to produce UAN. We produce agricultural grade AN from purchased ammonia, which cost is significantly higher compared to previous years and significantly higher than producing it from natural gas, resulting in a cost disadvantage compared to nitrogen fertilizers that can be produced from natural gas, which is one of the reasons we are planning to construct an ammonia plant.</w:t>
      </w:r>
    </w:p>
    <w:p>
      <w:pPr>
        <w:spacing w:after="0" w:line="12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Climate Control Business—Sales for the first half of 2013 were $147.6 million, or 13% higher than the same period in 2012, including a 23% increase in hydronic fan coil, a 12% increase in geothermal and water source heat pump sales, and an 8% increase in other HVAC sales. From a market sector perspective, the sales increase was due to a 17% improvement in commercial/institutional product sales partially offset by a 5% decrease in residential product sales. The improvement in commercial/institutional sales in the first half is primarily a result of higher customer order intake in the current and preceding periods for our commercial/institutional products for most of our product lines. The decline in residential sales is primarily related to the timing of customer scheduled shipments (shipments for the first half of 2012 exceeded orders by approximately $1.7 million). For the first half of 2013, order levels of our products increased in both residential products (up 4%) and commercial/institutional products (up 2%). Information available from the McGraw-Hill Construction Market forecast indicates that construction activity for the markets we serve in the commercial/institutional sector are expected to increase in aggregate during 2013 although still significantly below pre-recession levels. The McGraw-Hill Construction Market forecast has also indicated construction growth in the single-family residential sector for 2013, also remaining significantly below pre-recession levels.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for the Second Quarter of 2013</w:t>
      </w:r>
    </w:p>
    <w:p>
      <w:pPr>
        <w:spacing w:after="0" w:line="96"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Our consolidated net sales for the second quarter of 2013 were $202.2 million, a decrease of $7.1 million compared to the same period of 2012. The sales decrease included a decrease of $16.8 million in our Chemical Business, partially offset by an increase of $9.8 million in our Climate Control Business.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consolidated operating income was $12.2 million for the second quarter of 2013, a decrease of $30.1 million compared to the same period of 2012. The decrease in operating income primarily relates to our Chemical Business due to the downtime of ammonia plants and related downstream production units at the Pryor and Cherokee Facilities.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resulting effective income tax rate for the second quarters of 2013 and 2012 was approximately 37% for both periods.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Chemical Business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Chemical Business operates four chemical facilities. The Cherokee and Pryor Facilities produce anhydrous ammonia and nitrogen products from natural gas delivered by pipeline but can also receive supplemental anhydrous ammonia by other modes of delivery. The El Dorado and Baytown Facilities produce nitrogen products from anhydrous ammonia delivered by pipeline.</w:t>
      </w:r>
    </w:p>
    <w:p>
      <w:pPr>
        <w:spacing w:after="0" w:line="14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Our Chemical Business sales for the second quarter of 2013 were $121.3 million, a decrease of $16.8 million compared to the same period of 2012, which includes a $23 million decrease in agricultural products sales partially offset by a $4 million increase in industrial acids and other products sales.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The percentage change in sales (volume and dollars) for the second quarter of 2013 compared to the second quarter of 2012 is as follows (excluding natural gas):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980" w:type="dxa"/>
            <w:vAlign w:val="bottom"/>
            <w:gridSpan w:val="4"/>
          </w:tcPr>
          <w:p>
            <w:pPr>
              <w:jc w:val="right"/>
              <w:ind w:right="540"/>
              <w:spacing w:after="0"/>
              <w:rPr>
                <w:sz w:val="20"/>
                <w:szCs w:val="20"/>
                <w:color w:val="auto"/>
              </w:rPr>
            </w:pPr>
            <w:r>
              <w:rPr>
                <w:rFonts w:ascii="Arial" w:cs="Arial" w:eastAsia="Arial" w:hAnsi="Arial"/>
                <w:sz w:val="14"/>
                <w:szCs w:val="14"/>
                <w:color w:val="auto"/>
              </w:rPr>
              <w:t>Percentage Change of</w:t>
            </w:r>
          </w:p>
        </w:tc>
      </w:tr>
      <w:tr>
        <w:trPr>
          <w:trHeight w:val="159"/>
        </w:trPr>
        <w:tc>
          <w:tcPr>
            <w:tcW w:w="6700" w:type="dxa"/>
            <w:vAlign w:val="bottom"/>
          </w:tcPr>
          <w:p>
            <w:pPr>
              <w:spacing w:after="0"/>
              <w:rPr>
                <w:sz w:val="13"/>
                <w:szCs w:val="13"/>
                <w:color w:val="auto"/>
              </w:rPr>
            </w:pPr>
          </w:p>
        </w:tc>
        <w:tc>
          <w:tcPr>
            <w:tcW w:w="1220" w:type="dxa"/>
            <w:vAlign w:val="bottom"/>
            <w:gridSpan w:val="2"/>
          </w:tcPr>
          <w:p>
            <w:pPr>
              <w:jc w:val="right"/>
              <w:ind w:right="940"/>
              <w:spacing w:after="0" w:line="159" w:lineRule="exact"/>
              <w:rPr>
                <w:sz w:val="20"/>
                <w:szCs w:val="20"/>
                <w:color w:val="auto"/>
              </w:rPr>
            </w:pPr>
            <w:r>
              <w:rPr>
                <w:rFonts w:ascii="Arial" w:cs="Arial" w:eastAsia="Arial" w:hAnsi="Arial"/>
                <w:sz w:val="14"/>
                <w:szCs w:val="14"/>
                <w:color w:val="auto"/>
                <w:w w:val="83"/>
              </w:rPr>
              <w:t>Tons</w:t>
            </w:r>
          </w:p>
        </w:tc>
        <w:tc>
          <w:tcPr>
            <w:tcW w:w="760" w:type="dxa"/>
            <w:vAlign w:val="bottom"/>
            <w:gridSpan w:val="2"/>
          </w:tcPr>
          <w:p>
            <w:pPr>
              <w:jc w:val="right"/>
              <w:ind w:right="320"/>
              <w:spacing w:after="0" w:line="159" w:lineRule="exact"/>
              <w:rPr>
                <w:sz w:val="20"/>
                <w:szCs w:val="20"/>
                <w:color w:val="auto"/>
              </w:rPr>
            </w:pPr>
            <w:r>
              <w:rPr>
                <w:rFonts w:ascii="Arial" w:cs="Arial" w:eastAsia="Arial" w:hAnsi="Arial"/>
                <w:sz w:val="14"/>
                <w:szCs w:val="14"/>
                <w:color w:val="auto"/>
                <w:w w:val="96"/>
              </w:rPr>
              <w:t>Dollars</w:t>
            </w:r>
          </w:p>
        </w:tc>
      </w:tr>
      <w:tr>
        <w:trPr>
          <w:trHeight w:val="196"/>
        </w:trPr>
        <w:tc>
          <w:tcPr>
            <w:tcW w:w="6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Chemical products:</w:t>
            </w:r>
          </w:p>
        </w:tc>
        <w:tc>
          <w:tcPr>
            <w:tcW w:w="3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Agricultural</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6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w:t>
            </w:r>
          </w:p>
        </w:tc>
        <w:tc>
          <w:tcPr>
            <w:tcW w:w="12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r>
      <w:tr>
        <w:trPr>
          <w:trHeight w:val="216"/>
        </w:trPr>
        <w:tc>
          <w:tcPr>
            <w:tcW w:w="6700" w:type="dxa"/>
            <w:vAlign w:val="bottom"/>
          </w:tcPr>
          <w:p>
            <w:pPr>
              <w:ind w:left="440"/>
              <w:spacing w:after="0"/>
              <w:rPr>
                <w:sz w:val="20"/>
                <w:szCs w:val="20"/>
                <w:color w:val="auto"/>
              </w:rPr>
            </w:pPr>
            <w:r>
              <w:rPr>
                <w:rFonts w:ascii="Arial" w:cs="Arial" w:eastAsia="Arial" w:hAnsi="Arial"/>
                <w:sz w:val="18"/>
                <w:szCs w:val="18"/>
                <w:color w:val="auto"/>
              </w:rPr>
              <w:t>Mining</w:t>
            </w: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r>
      <w:tr>
        <w:trPr>
          <w:trHeight w:val="216"/>
        </w:trPr>
        <w:tc>
          <w:tcPr>
            <w:tcW w:w="6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weighted-average change</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bl>
    <w:p>
      <w:pPr>
        <w:spacing w:after="0" w:line="154"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Our agricultural sales were down significantly due to the lack of production of ammonia and UAN at our Cherokee and Pryor Facilities as the result of the downtime at each of these facilities and lower sales prices for agricultural grade AN.</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During the second quarter of 2013, the primary ammonia plant at the Pryor Facility was down for approximately 7 weeks. In addition, the ammonia plant at the Cherokee Facility was down for approximately 5 weeks. Therefore these plants had lower production of ammonia, which initiates the production for all nitrogen products at these facilities, including UAN. However, we did purchase some ammonia to meet some of our customers’ needs but such purchases negatively impacted our gross profit margins, which were partially offset by business interruption insurance recoveries recognized.</w:t>
      </w:r>
    </w:p>
    <w:p>
      <w:pPr>
        <w:spacing w:after="0" w:line="11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increase in industrial acids and other sales was primarily due to our ability to pass through the higher feedstock cost of ammonia on certain of our contractual pricing agreements with customers, increased production and sales at the Baytown Facility, partially offset by the decreased production at our Cherokee Facility as the result of downtime.</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decrease in mining sales volume is primarily due to lower volume at our Cherokee Facility as the result of the downtime. Mining sales dollars did not decline proportionately with volumes primarily due to our ability to pass through to our customers certain costs pursuant to contractual pricing agreements.</w:t>
      </w:r>
    </w:p>
    <w:p>
      <w:pPr>
        <w:spacing w:after="0" w:line="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Chemical Business’ operating income for the second quarter of 2013 was $6.4 million compared to $39.1 million for the same period of 2012. The decrease in operating income was primarily due to lower sales volume, unabsorbed fixed overhead costs and costs associated with purchased ammonia and other products, all of which are attributable to the downtime at our facilities, partially offset by business interruption insurance recovery recognized during the second quarter of 2013 as discussed below under “Downtime at Certain Chemical Facilities – First Half of 2013”. However, our Pryor and El Dorado Facilities were also impacted by unplanned downtime during the second quarter of 2012, but to a lesser extent than 2013. In addition, our Chemical Business incurred dismantle and demolition costs relating the El Dorado Facility.</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primary raw material feedstocks (anhydrous ammonia and natural gas) are commodities subject to significant price fluctuations. Generally, we purchase at prices in effect at the time of delivery; however, periodically, we enter into contracts to purchase natural gas for anticipated production needs, which contract prices will vary from the spot market prices. In addition, our Chemical Business owns working interests in certain natural gas properties. Management considers these working interests as an economic hedge against the potential rise in natural gas prices in the future for a portion of our future natural gas production requirements. During the second quarter of 2013, the average prices for those commodities compared to the second quarter of 2012 were as follows:</w:t>
      </w:r>
    </w:p>
    <w:p>
      <w:pPr>
        <w:spacing w:after="0" w:line="15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4"/>
                <w:szCs w:val="14"/>
                <w:color w:val="auto"/>
                <w:w w:val="83"/>
              </w:rPr>
              <w:t>2013</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Natural gas average price per MMBtu based upon Henry Hub pipeline pricing point</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4.02</w:t>
            </w:r>
          </w:p>
        </w:tc>
        <w:tc>
          <w:tcPr>
            <w:tcW w:w="5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color w:val="auto"/>
              </w:rPr>
              <w:t>Ammonia average price based upon low Tampa price per metric ton</w:t>
            </w: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60" w:type="dxa"/>
            <w:vAlign w:val="bottom"/>
            <w:vMerge w:val="continue"/>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88"/>
              </w:rPr>
              <w:t>$ 577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Most of our Chemical Business sales in the industrial and mining markets were pursuant to sales contracts and/or pricing arrangements on terms that include the cost of raw material feedstock as a pass through component in the sales price. Our Chemical Business sales in the agricultural markets primarily were at the spot market price in effect at the time of sale or at a negotiated future price.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During the last half of April 2013, the Pryor Facility returned to production and the Cherokee Facility returned to production during the first few days of May 2013 and each has continued in production, except that the Pryor Facility was down for limited periods during May and June 2013 for equipment repairs or maintenance. In addition, the construction of the El Dorado Facility’s new 65% strength nitric acid plant is scheduled for completion in the first half of 2015. In the meantime, we believe nitric acid production capacity at the El Dorado Facility will continue to be approximately 20% lower than the production capacity prior to the DSN plant explosion. Nitric acid production is expected to be even lower due to mining industry market conditions which will impact sales but should have minimal impact on gross profit due to a certain supply agreement with a customer that includes a contractual obligation to purchase a minimum quantity and allows us to recover our cost plus a profit, irrespective of the volume of product sold. See discussion as to certain claims and recoveries under our insurance policies below under “Downtime at Certain Chemical Facilities—First Half of 2013.”</w:t>
      </w:r>
    </w:p>
    <w:p>
      <w:pPr>
        <w:spacing w:after="0" w:line="118"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also filed for permits with the ADEQ for the new 65% strength nitric acid plant, the new 98% concentrator, and the new ammonia plant.</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Climate Control Business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Our Climate Control sales for the second quarter of 2013 were $77.4 million, or approximately $9.8 million higher than the same period of 2012, and included a $6.1 million increase in geothermal and water source heat pump sales, a $3.4 million increase in hydronic fan coil sales and a $0.3 million increase in other HVAC sales. From a market sector perspective, the increase included a $9.0 million improvement in commercial/institutional sales and a $0.8 million improvement in residential product sales. The improvement in the commercial/institutional sector of our business is primarily attributable to higher customer order intake in the current and preceding periods for our commercial/institutional products in most of our product lines. Although there was a slight increase in residential sales during the quarter primarily related to the timing of customers shipments, we believe the balance of 2013 will not improve significantly over the prior year due to the soft market for residential geothermal and water resource heat pumps related to reduced consumer interest in energy savings as a result of relatively stable/low electricity and natural gas prices.</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continue to follow economic indicators and monitor its potential impact on the commercial/institutional and residential construction sectors that we serve, including, but not limited to, new construction and/or renovation of facilities in the following sectors: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Single-Family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Multi-Family Residential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Hospitality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Government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Industrial</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the second quarter of 2013, approximately 85% of our Climate Control Business’ sales were to the commercial/institutional and multi-family construction markets, and the remaining 15% were sales of geothermal heat pumps (“GHPs”) to the single-family residential market.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shows information relating to our product order intake level, net sales and backlog of confirmed customer product orders of our Climate Control Business: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400" w:type="dxa"/>
            <w:vAlign w:val="bottom"/>
            <w:gridSpan w:val="3"/>
          </w:tcPr>
          <w:p>
            <w:pPr>
              <w:ind w:left="120"/>
              <w:spacing w:after="0"/>
              <w:rPr>
                <w:sz w:val="20"/>
                <w:szCs w:val="20"/>
                <w:color w:val="auto"/>
              </w:rPr>
            </w:pPr>
            <w:r>
              <w:rPr>
                <w:rFonts w:ascii="Arial" w:cs="Arial" w:eastAsia="Arial" w:hAnsi="Arial"/>
                <w:sz w:val="14"/>
                <w:szCs w:val="14"/>
                <w:color w:val="auto"/>
              </w:rPr>
              <w:t>New Orders (1)</w:t>
            </w:r>
          </w:p>
        </w:tc>
        <w:tc>
          <w:tcPr>
            <w:tcW w:w="1260" w:type="dxa"/>
            <w:vAlign w:val="bottom"/>
            <w:gridSpan w:val="3"/>
          </w:tcPr>
          <w:p>
            <w:pPr>
              <w:ind w:left="300"/>
              <w:spacing w:after="0"/>
              <w:rPr>
                <w:sz w:val="20"/>
                <w:szCs w:val="20"/>
                <w:color w:val="auto"/>
              </w:rPr>
            </w:pPr>
            <w:r>
              <w:rPr>
                <w:rFonts w:ascii="Arial" w:cs="Arial" w:eastAsia="Arial" w:hAnsi="Arial"/>
                <w:sz w:val="14"/>
                <w:szCs w:val="14"/>
                <w:color w:val="auto"/>
              </w:rPr>
              <w:t>Net Sales</w:t>
            </w:r>
          </w:p>
        </w:tc>
        <w:tc>
          <w:tcPr>
            <w:tcW w:w="140" w:type="dxa"/>
            <w:vAlign w:val="bottom"/>
          </w:tcPr>
          <w:p>
            <w:pPr>
              <w:spacing w:after="0"/>
              <w:rPr>
                <w:sz w:val="14"/>
                <w:szCs w:val="14"/>
                <w:color w:val="auto"/>
              </w:rPr>
            </w:pPr>
          </w:p>
        </w:tc>
        <w:tc>
          <w:tcPr>
            <w:tcW w:w="1300" w:type="dxa"/>
            <w:vAlign w:val="bottom"/>
            <w:gridSpan w:val="4"/>
          </w:tcPr>
          <w:p>
            <w:pPr>
              <w:ind w:left="80"/>
              <w:spacing w:after="0"/>
              <w:rPr>
                <w:sz w:val="20"/>
                <w:szCs w:val="20"/>
                <w:color w:val="auto"/>
              </w:rPr>
            </w:pPr>
            <w:r>
              <w:rPr>
                <w:rFonts w:ascii="Arial" w:cs="Arial" w:eastAsia="Arial" w:hAnsi="Arial"/>
                <w:sz w:val="14"/>
                <w:szCs w:val="14"/>
                <w:color w:val="auto"/>
              </w:rPr>
              <w:t>Ending Backlog (1)</w:t>
            </w:r>
          </w:p>
        </w:tc>
      </w:tr>
      <w:tr>
        <w:trPr>
          <w:trHeight w:val="142"/>
        </w:trPr>
        <w:tc>
          <w:tcPr>
            <w:tcW w:w="73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center"/>
              <w:ind w:right="62"/>
              <w:spacing w:after="0" w:line="142" w:lineRule="exact"/>
              <w:rPr>
                <w:sz w:val="20"/>
                <w:szCs w:val="20"/>
                <w:color w:val="auto"/>
              </w:rPr>
            </w:pPr>
            <w:r>
              <w:rPr>
                <w:rFonts w:ascii="Arial" w:cs="Arial" w:eastAsia="Arial" w:hAnsi="Arial"/>
                <w:sz w:val="14"/>
                <w:szCs w:val="14"/>
                <w:color w:val="auto"/>
                <w:w w:val="89"/>
              </w:rPr>
              <w:t>2013</w:t>
            </w:r>
          </w:p>
        </w:tc>
        <w:tc>
          <w:tcPr>
            <w:tcW w:w="560" w:type="dxa"/>
            <w:vAlign w:val="bottom"/>
            <w:tcBorders>
              <w:top w:val="single" w:sz="8" w:color="auto"/>
              <w:bottom w:val="single" w:sz="8" w:color="auto"/>
            </w:tcBorders>
          </w:tcPr>
          <w:p>
            <w:pPr>
              <w:jc w:val="center"/>
              <w:ind w:left="76"/>
              <w:spacing w:after="0" w:line="142" w:lineRule="exact"/>
              <w:rPr>
                <w:sz w:val="20"/>
                <w:szCs w:val="20"/>
                <w:color w:val="auto"/>
              </w:rPr>
            </w:pPr>
            <w:r>
              <w:rPr>
                <w:rFonts w:ascii="Arial" w:cs="Arial" w:eastAsia="Arial" w:hAnsi="Arial"/>
                <w:sz w:val="14"/>
                <w:szCs w:val="14"/>
                <w:color w:val="auto"/>
                <w:w w:val="89"/>
              </w:rPr>
              <w:t>2012</w:t>
            </w:r>
          </w:p>
        </w:tc>
        <w:tc>
          <w:tcPr>
            <w:tcW w:w="30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ind w:right="84"/>
              <w:spacing w:after="0" w:line="142" w:lineRule="exact"/>
              <w:rPr>
                <w:sz w:val="20"/>
                <w:szCs w:val="20"/>
                <w:color w:val="auto"/>
              </w:rPr>
            </w:pPr>
            <w:r>
              <w:rPr>
                <w:rFonts w:ascii="Arial" w:cs="Arial" w:eastAsia="Arial" w:hAnsi="Arial"/>
                <w:sz w:val="14"/>
                <w:szCs w:val="14"/>
                <w:color w:val="auto"/>
                <w:w w:val="89"/>
              </w:rPr>
              <w:t>2013</w:t>
            </w:r>
          </w:p>
        </w:tc>
        <w:tc>
          <w:tcPr>
            <w:tcW w:w="540" w:type="dxa"/>
            <w:vAlign w:val="bottom"/>
            <w:tcBorders>
              <w:top w:val="single" w:sz="8" w:color="auto"/>
              <w:bottom w:val="single" w:sz="8" w:color="auto"/>
            </w:tcBorders>
          </w:tcPr>
          <w:p>
            <w:pPr>
              <w:jc w:val="center"/>
              <w:ind w:left="56"/>
              <w:spacing w:after="0" w:line="142" w:lineRule="exact"/>
              <w:rPr>
                <w:sz w:val="20"/>
                <w:szCs w:val="20"/>
                <w:color w:val="auto"/>
              </w:rPr>
            </w:pPr>
            <w:r>
              <w:rPr>
                <w:rFonts w:ascii="Arial" w:cs="Arial" w:eastAsia="Arial" w:hAnsi="Arial"/>
                <w:sz w:val="14"/>
                <w:szCs w:val="14"/>
                <w:color w:val="auto"/>
                <w:w w:val="89"/>
              </w:rPr>
              <w:t>2012</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72"/>
              <w:spacing w:after="0" w:line="142" w:lineRule="exact"/>
              <w:rPr>
                <w:sz w:val="20"/>
                <w:szCs w:val="20"/>
                <w:color w:val="auto"/>
              </w:rPr>
            </w:pPr>
            <w:r>
              <w:rPr>
                <w:rFonts w:ascii="Arial" w:cs="Arial" w:eastAsia="Arial" w:hAnsi="Arial"/>
                <w:sz w:val="14"/>
                <w:szCs w:val="14"/>
                <w:color w:val="auto"/>
                <w:w w:val="89"/>
              </w:rPr>
              <w:t>2013</w:t>
            </w: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3"/>
              </w:rPr>
              <w:t>2012</w:t>
            </w:r>
          </w:p>
        </w:tc>
        <w:tc>
          <w:tcPr>
            <w:tcW w:w="100" w:type="dxa"/>
            <w:vAlign w:val="bottom"/>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gridSpan w:val="3"/>
          </w:tcPr>
          <w:p>
            <w:pPr>
              <w:ind w:left="260"/>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center"/>
              <w:ind w:right="62"/>
              <w:spacing w:after="0"/>
              <w:rPr>
                <w:sz w:val="20"/>
                <w:szCs w:val="20"/>
                <w:color w:val="auto"/>
              </w:rPr>
            </w:pPr>
            <w:r>
              <w:rPr>
                <w:rFonts w:ascii="Arial" w:cs="Arial" w:eastAsia="Arial" w:hAnsi="Arial"/>
                <w:sz w:val="18"/>
                <w:szCs w:val="18"/>
                <w:color w:val="auto"/>
                <w:w w:val="88"/>
              </w:rPr>
              <w:t>$67.5</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$62.9</w:t>
            </w:r>
          </w:p>
        </w:tc>
        <w:tc>
          <w:tcPr>
            <w:tcW w:w="560" w:type="dxa"/>
            <w:vAlign w:val="bottom"/>
            <w:shd w:val="clear" w:color="auto" w:fill="CCEEFF"/>
          </w:tcPr>
          <w:p>
            <w:pPr>
              <w:jc w:val="center"/>
              <w:ind w:right="84"/>
              <w:spacing w:after="0"/>
              <w:rPr>
                <w:sz w:val="20"/>
                <w:szCs w:val="20"/>
                <w:color w:val="auto"/>
              </w:rPr>
            </w:pPr>
            <w:r>
              <w:rPr>
                <w:rFonts w:ascii="Arial" w:cs="Arial" w:eastAsia="Arial" w:hAnsi="Arial"/>
                <w:sz w:val="18"/>
                <w:szCs w:val="18"/>
                <w:color w:val="auto"/>
                <w:w w:val="88"/>
              </w:rPr>
              <w:t>$70.3</w:t>
            </w: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$62.8</w:t>
            </w:r>
          </w:p>
        </w:tc>
        <w:tc>
          <w:tcPr>
            <w:tcW w:w="7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$ 57.3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Second Quarter</w:t>
            </w:r>
          </w:p>
        </w:tc>
        <w:tc>
          <w:tcPr>
            <w:tcW w:w="540" w:type="dxa"/>
            <w:vAlign w:val="bottom"/>
          </w:tcPr>
          <w:p>
            <w:pPr>
              <w:jc w:val="center"/>
              <w:ind w:right="62"/>
              <w:spacing w:after="0"/>
              <w:rPr>
                <w:sz w:val="20"/>
                <w:szCs w:val="20"/>
                <w:color w:val="auto"/>
              </w:rPr>
            </w:pPr>
            <w:r>
              <w:rPr>
                <w:rFonts w:ascii="Arial" w:cs="Arial" w:eastAsia="Arial" w:hAnsi="Arial"/>
                <w:sz w:val="18"/>
                <w:szCs w:val="18"/>
                <w:color w:val="auto"/>
                <w:w w:val="88"/>
              </w:rPr>
              <w:t>$65.4</w:t>
            </w: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$66.8</w:t>
            </w:r>
          </w:p>
        </w:tc>
        <w:tc>
          <w:tcPr>
            <w:tcW w:w="560" w:type="dxa"/>
            <w:vAlign w:val="bottom"/>
          </w:tcPr>
          <w:p>
            <w:pPr>
              <w:jc w:val="center"/>
              <w:ind w:right="84"/>
              <w:spacing w:after="0"/>
              <w:rPr>
                <w:sz w:val="20"/>
                <w:szCs w:val="20"/>
                <w:color w:val="auto"/>
              </w:rPr>
            </w:pPr>
            <w:r>
              <w:rPr>
                <w:rFonts w:ascii="Arial" w:cs="Arial" w:eastAsia="Arial" w:hAnsi="Arial"/>
                <w:sz w:val="18"/>
                <w:szCs w:val="18"/>
                <w:color w:val="auto"/>
                <w:w w:val="88"/>
              </w:rPr>
              <w:t>$77.4</w:t>
            </w: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$67.5</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7"/>
              </w:rPr>
              <w:t>$ 48.9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$65.6</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$68.0</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Fourth Quarter</w:t>
            </w:r>
          </w:p>
        </w:tc>
        <w:tc>
          <w:tcPr>
            <w:tcW w:w="540" w:type="dxa"/>
            <w:vAlign w:val="bottom"/>
          </w:tcPr>
          <w:p>
            <w:pPr>
              <w:spacing w:after="0"/>
              <w:rPr>
                <w:sz w:val="19"/>
                <w:szCs w:val="19"/>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$66.9</w:t>
            </w:r>
          </w:p>
        </w:tc>
        <w:tc>
          <w:tcPr>
            <w:tcW w:w="560" w:type="dxa"/>
            <w:vAlign w:val="bottom"/>
          </w:tcPr>
          <w:p>
            <w:pPr>
              <w:spacing w:after="0"/>
              <w:rPr>
                <w:sz w:val="19"/>
                <w:szCs w:val="19"/>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$67.9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60" w:firstLine="8"/>
        <w:spacing w:after="0" w:line="314" w:lineRule="auto"/>
        <w:tabs>
          <w:tab w:leader="none" w:pos="2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product order level consists of confirmed purchase orders from customers that have been accepted and received credit approval. Our backlog consists of confirmed customer orders for product to be shipped at a future date. Historically, we have not experienced significant cancellations relating to our backlog of confirmed customer product orders, and we expect to ship substantially all of these orders within the next twelve months; however, it is possible that some of our customers could cancel a portion of our backlog or extend the shipment terms. Product orders and backlog, as reported, generally do not include amounts relating to shipping and handling charges, service orders or service contract orders. In addition, product orders and backlog, as reported, exclude contracts related to our construction business due to the relative size of individual projects and, in some cases, extended timeframe for completion beyond a twelve-month period.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For July 2013, our new orders received were approximately $21 million and our backlog was approximately $49 million at July 31, 2013.</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GHPs use a form of renewable energy and, under certain conditions, we believe can reduce energy usage up to 80% compared to some conventional HVAC systems. Tax legislation continues to provide incentives for customers purchasing products using forms of renewable energy and is effective through December 31, 2016.</w:t>
      </w:r>
    </w:p>
    <w:p>
      <w:pPr>
        <w:spacing w:after="0" w:line="14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expect the Climate Control Business to experience moderate sales growth in the short-term compared to 2012. Although a significant part of the Climate Control Business’ sales are products that are used for renovation and replacement application, sales increases in the medium-term and long-term are expected to be primarily driven by growth in new construction, as well as the introduction of new products. We continue to focus our sales and marketing efforts to increase our share of the existing market for our products as well as expand the market for and application of our products, including GHPs.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Downtime at Certain Chemical Facilities—First Half of 2013</w:t>
      </w:r>
    </w:p>
    <w:p>
      <w:pPr>
        <w:spacing w:after="0" w:line="9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Pryor Facility</w:t>
      </w:r>
      <w:r>
        <w:rPr>
          <w:rFonts w:ascii="Arial" w:cs="Arial" w:eastAsia="Arial" w:hAnsi="Arial"/>
          <w:sz w:val="16"/>
          <w:szCs w:val="16"/>
          <w:color w:val="auto"/>
        </w:rPr>
        <w:t>—As previously reported, during November 2012, production was stopped at the primary ammonia plant to perform unplanned maintenance on a</w:t>
      </w:r>
      <w:r>
        <w:rPr>
          <w:rFonts w:ascii="Arial" w:cs="Arial" w:eastAsia="Arial" w:hAnsi="Arial"/>
          <w:sz w:val="16"/>
          <w:szCs w:val="16"/>
          <w:b w:val="1"/>
          <w:bCs w:val="1"/>
          <w:color w:val="auto"/>
        </w:rPr>
        <w:t xml:space="preserve"> </w:t>
      </w:r>
      <w:r>
        <w:rPr>
          <w:rFonts w:ascii="Arial" w:cs="Arial" w:eastAsia="Arial" w:hAnsi="Arial"/>
          <w:sz w:val="16"/>
          <w:szCs w:val="16"/>
          <w:color w:val="auto"/>
        </w:rPr>
        <w:t>compressor. During this downtime, we also replaced the ammonia converter and restarted the primary ammonia plant in the last half of April 2013; however, after the facility resumed production, certain of its operations were out of production periodically during May and June for equipment repairs and maintenance. As a result, the Pryor Facility had limited production of ammonia and UAN during the first half of 2013 that directly reduced our net sales and gross profit margins.</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first half of 2013, we believe the cumulative adverse impact to our operating income due to the downtime at the Pryor Facility was an estimated $37 million to $42 million (an estimated $13 million to $15 million for the second quarter of 2013), including lost absorption and gross profit, based on current market conditions.</w:t>
      </w:r>
    </w:p>
    <w:p>
      <w:pPr>
        <w:spacing w:after="0" w:line="13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b w:val="1"/>
          <w:bCs w:val="1"/>
          <w:color w:val="auto"/>
        </w:rPr>
        <w:t>Cherokee Facility</w:t>
      </w:r>
      <w:r>
        <w:rPr>
          <w:rFonts w:ascii="Arial" w:cs="Arial" w:eastAsia="Arial" w:hAnsi="Arial"/>
          <w:sz w:val="16"/>
          <w:szCs w:val="16"/>
          <w:color w:val="auto"/>
        </w:rPr>
        <w:t>—As previously reported, on November 13, 2012, a pipe ruptured within the Cherokee Facility causing damage primarily to the heat</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exchanger portion of its ammonia plant. As a result of the damage, the Cherokee Facility could only produce, on a limited basis, nitric acid and AN solution from purchased ammonia until the repairs were completed that directly reduced our net sales and gross profit margins. The Cherokee Facility restarted in the first few days in May and has been running consistently at historical production rates since resuming production.</w:t>
      </w:r>
    </w:p>
    <w:p>
      <w:pPr>
        <w:spacing w:after="0" w:line="109" w:lineRule="exact"/>
        <w:rPr>
          <w:sz w:val="20"/>
          <w:szCs w:val="20"/>
          <w:color w:val="auto"/>
        </w:rPr>
      </w:pPr>
    </w:p>
    <w:p>
      <w:pPr>
        <w:ind w:right="600"/>
        <w:spacing w:after="0" w:line="306" w:lineRule="auto"/>
        <w:rPr>
          <w:sz w:val="20"/>
          <w:szCs w:val="20"/>
          <w:color w:val="auto"/>
        </w:rPr>
      </w:pPr>
      <w:r>
        <w:rPr>
          <w:rFonts w:ascii="Arial" w:cs="Arial" w:eastAsia="Arial" w:hAnsi="Arial"/>
          <w:sz w:val="16"/>
          <w:szCs w:val="16"/>
          <w:color w:val="auto"/>
        </w:rPr>
        <w:t>For the first half of 2013, we believe the cumulative adverse impact to our operating income for the unplanned downtime at the Cherokee Facility was approximately $17 million to $22 million (an estimated $3 million to $5 million for the second quarter of 2013), including lost absorption and gross profit margins, based on current market conditions and including the impact of business interruption insurance recovery discussed below.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a result of this event, a notice of insurance claims for property damage and business interruption was filed with the insurance carriers. Our insurance policy provides, for the policy period covering this claim, for repair or replacement cost coverage relating to property damage with a $2.5 million deductible and provides for business interruption coverage for certain lost profits and extra expense with a 30-day waiting period. We estimate the total amount of property and business interruption insurance recoveries relating to this event will range from $40 million to $47 million, net of deductibles, of which $15 million has been received as of June 30, 2013.</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Based upon our assessment that it was probable that the amount of coverage for property damages would exceed our property loss deductible, the net book value of the damaged property and certain repairs and clean-up costs (“recoverable costs”) incurred, we recorded an insurance claim receivable relating to this event, which offset the loss on disposal of the damaged property and other recoverable costs incurred.</w:t>
      </w:r>
    </w:p>
    <w:p>
      <w:pPr>
        <w:spacing w:after="0" w:line="10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of June 30, 2013, our insurance carriers approved payments relating to our business interruption claim totaling $15 million. We received correspondence associated with the approval of these payments, which stated that our insurance carriers are still investigating the circumstances surrounding this event (including the cause of this event, scope of our losses and support for our claim) under a reservation of rights.</w:t>
      </w:r>
    </w:p>
    <w:p>
      <w:pPr>
        <w:spacing w:after="0" w:line="107" w:lineRule="exact"/>
        <w:rPr>
          <w:sz w:val="20"/>
          <w:szCs w:val="20"/>
          <w:color w:val="auto"/>
        </w:rPr>
      </w:pPr>
    </w:p>
    <w:p>
      <w:pPr>
        <w:ind w:right="60"/>
        <w:spacing w:after="0" w:line="314" w:lineRule="auto"/>
        <w:rPr>
          <w:sz w:val="20"/>
          <w:szCs w:val="20"/>
          <w:color w:val="auto"/>
        </w:rPr>
      </w:pPr>
      <w:r>
        <w:rPr>
          <w:rFonts w:ascii="Arial" w:cs="Arial" w:eastAsia="Arial" w:hAnsi="Arial"/>
          <w:sz w:val="15"/>
          <w:szCs w:val="15"/>
          <w:color w:val="auto"/>
        </w:rPr>
        <w:t>The business interruption insurance recovery of $15 million was applied against recoverable costs (primarily relating to additional expenses associated with purchased product sold or used in products sold to our customers while our facility was being repaired) totaling $13 million as a reduction to cost of sales ($10.1 million during the first quarter of 2013 and $2.9 million during the second quarter of 2013). The insurance recovery in excess of recoverable costs of $2.0 million was deferred (included in current liabilities at June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0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As of June 30, 2013, the balance of the insurance claim receivable, included in accounts receivable, relating to this event was $1.9 million, consisting of recoverable costs associated with our property insurance claim.</w:t>
      </w:r>
    </w:p>
    <w:p>
      <w:pPr>
        <w:spacing w:after="0" w:line="12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color w:val="auto"/>
        </w:rPr>
        <w:t>El Dorado Facility</w:t>
      </w:r>
      <w:r>
        <w:rPr>
          <w:rFonts w:ascii="Arial" w:cs="Arial" w:eastAsia="Arial" w:hAnsi="Arial"/>
          <w:sz w:val="18"/>
          <w:szCs w:val="18"/>
          <w:color w:val="auto"/>
        </w:rPr>
        <w:t>—As previously reported, on May 15, 2012, the El Dorado Facility suffered significant damage when a reactor in its DSN plant exploded. As</w:t>
      </w:r>
      <w:r>
        <w:rPr>
          <w:rFonts w:ascii="Arial" w:cs="Arial" w:eastAsia="Arial" w:hAnsi="Arial"/>
          <w:sz w:val="18"/>
          <w:szCs w:val="18"/>
          <w:b w:val="1"/>
          <w:bCs w:val="1"/>
          <w:color w:val="auto"/>
        </w:rPr>
        <w:t xml:space="preserve"> </w:t>
      </w:r>
      <w:r>
        <w:rPr>
          <w:rFonts w:ascii="Arial" w:cs="Arial" w:eastAsia="Arial" w:hAnsi="Arial"/>
          <w:sz w:val="18"/>
          <w:szCs w:val="18"/>
          <w:color w:val="auto"/>
        </w:rPr>
        <w:t>a result, the DSN plant was severely damaged and several other plants and infrastructure within the El Dorado Facility sustained various degrees of damage. We have decided that the DSN plant, which supplied approximately 20% of the nitric acid produced at this facility, will not be repaired but will be replaced with a new 65% strength nitric acid plant and a 98% concentrator. The engineering and design of the new nitric acid plant and concentrator is in process, and certain equipment has been ordered. The project to construct these new plants is currently expected to be completed during the first half of 2015 (also see discussion under “Capital Expenditures”).</w:t>
      </w:r>
    </w:p>
    <w:p>
      <w:pPr>
        <w:spacing w:after="0" w:line="14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first half of 2013, we believe the cumulative adverse impact to our operating income for the unplanned downtime at the El Dorado Facility was approximately $5 million to $6 million (approximately $1 million to $3 million for the second quarter of 2013), including lost absorption and gross profit margins, based on current market conditions and including the impact of business interruption insurance recovery discussed below.</w:t>
      </w:r>
    </w:p>
    <w:p>
      <w:pPr>
        <w:spacing w:after="0" w:line="14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As a result of this event, a notice of insurance claims for property damage and business interruption was filed with the insurance carriers. Our insurance policy provides, for the policy period covering this claim, for repair or replacement cost coverage relating to property damage with a $1.0 million deductible and provides for business interruption coverage for certain lost profits and extra expense with a 30-day waiting period. The engineering firm representing our insurance carriers has determined that the DSN plant was not destroyed by the explosion and was repairable. However, as discussed above, we have concluded that due to the extensive damage, the DSN plant should not be repaired but should be replaced with a new 65% strength nitric acid plant and a separate nitric acid concentrator. We estimate the total amount of property and business interruption insurance recoveries relating to this event will range from $100 million to $120 million, net of deductibles, of which $50 million has been received as of June 30, 2013.</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Based upon our assessment that it was probable that the amount of coverage for property damages would exceed our property loss deductible, the net book value of the damaged property and other recoverable costs incurred through June 30, 2013, we recorded an insurance claim receivable relating to this event, which offset the loss on disposal of the damaged property and other recoverable costs incurred, and including the impact of business interruption insurance recovery discussed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2013, our insurance carriers approved unallocated payments totaling $50 million. We received correspondence associated with the $30 million received in 2013, which stated that our insurance carriers are still investigating the circumstances surrounding this event (including the cause of this event, scope of our losses and support for our claim) under a reservation of rights. For financial reporting purposes, we allocated $37.5 million to our property insurance claim and $12.5 million to our business interruption claim primarily based on the claims information provided to our insurance carriers as of that time in relation to our requests for insurance proceeds.</w:t>
      </w:r>
    </w:p>
    <w:p>
      <w:pPr>
        <w:spacing w:after="0" w:line="14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$37.5 million allocated to the property insurance claim was partially applied against the recoverable costs totaling $22.8 million. The insurance recovery in excess of the recoverable costs of $14.7 million was deferred (included in current liabilities at June 30, 2013) since it is considered a gain contingency. The deferred portion of this recovery, and any additional recoveries, will be recognized if, and when, realized or realizable and earned.</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insurance recovery of $12.5 million allocated to the business interruption claim was applied against recoverable costs (primarily relating to additional expenses associated with purchased product sold to our customers while certain of our nitric and sulfuric acid plants were being repaired) totaling $8.5 million as a reduction to cost of sales ($7.3 million during the fourth quarter of 2012, $0.7 million during the first quarter of 2013, and $0.5 million during the second quarter of 2013). The insurance recovery in excess of recoverable costs of $4.0 million was deferred (included in current liabilities at June 30, 2013) since a portion of this amount relates to recoverable costs, which we were unable to conclude that it was at least probable (for financial reporting purposes) that these costs would be approved and a portion of this amount relates to lost profits, which is considered a gain contingency. The deferred portion of this recovery, and any additional recoveries, will be recognized if, and when, realized or realizable and earned.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2013, there was no insurance claim receivable balance included in accounts receivable relating to this event.</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 is possible that the actual development of the insurance claims discussed above could be different from our current allocations and estimates. Due to the increase in the total value of property, plant and equipment (“PP&amp;E”) and the insurance claims discussed above relating to our Chemical Business, our insurance premiums have increased and could increase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following tables set forth our cash and cash equivalents, long-term debt and stockholders’ equity at June 30, 2013, on an (a) actual basis and a (b) pro forma basis giving the estimated pro forma effect to the issuance of the Senior Secured Notes of $425 million, after deducting the write-off of unamortized debt issuance costs relating to the Secured Term Loan of $0.7 million, and estimated expenses payable in connection with the issuance of the Senior Secured Notes of $7 million, and the payoff of the Secured Term Loan of $67.2 million, including the prepayment penalty as discussed below under “Loan Agreements – Term and Conditions.”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color w:val="auto"/>
                <w:w w:val="88"/>
              </w:rPr>
              <w:t>At June 30,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Actual</w:t>
            </w:r>
          </w:p>
        </w:tc>
        <w:tc>
          <w:tcPr>
            <w:tcW w:w="1060" w:type="dxa"/>
            <w:vAlign w:val="bottom"/>
            <w:tcBorders>
              <w:top w:val="single" w:sz="8" w:color="auto"/>
              <w:bottom w:val="single" w:sz="8" w:color="auto"/>
            </w:tcBorders>
            <w:gridSpan w:val="3"/>
          </w:tcPr>
          <w:p>
            <w:pPr>
              <w:ind w:left="500"/>
              <w:spacing w:after="0" w:line="142" w:lineRule="exact"/>
              <w:rPr>
                <w:sz w:val="20"/>
                <w:szCs w:val="20"/>
                <w:color w:val="auto"/>
              </w:rPr>
            </w:pPr>
            <w:r>
              <w:rPr>
                <w:rFonts w:ascii="Arial" w:cs="Arial" w:eastAsia="Arial" w:hAnsi="Arial"/>
                <w:sz w:val="14"/>
                <w:szCs w:val="14"/>
                <w:color w:val="auto"/>
                <w:w w:val="87"/>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left="236"/>
              <w:spacing w:after="0" w:line="142" w:lineRule="exact"/>
              <w:rPr>
                <w:sz w:val="20"/>
                <w:szCs w:val="20"/>
                <w:color w:val="auto"/>
              </w:rPr>
            </w:pPr>
            <w:r>
              <w:rPr>
                <w:rFonts w:ascii="Arial" w:cs="Arial" w:eastAsia="Arial" w:hAnsi="Arial"/>
                <w:sz w:val="14"/>
                <w:szCs w:val="14"/>
                <w:color w:val="auto"/>
                <w:w w:val="97"/>
              </w:rPr>
              <w:t>(In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Secured Notes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Secured Term Loan</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66.6</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Secured Promissory Note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420"/>
              <w:spacing w:after="0"/>
              <w:rPr>
                <w:sz w:val="20"/>
                <w:szCs w:val="20"/>
                <w:color w:val="auto"/>
              </w:rPr>
            </w:pPr>
            <w:r>
              <w:rPr>
                <w:rFonts w:ascii="Arial" w:cs="Arial" w:eastAsia="Arial" w:hAnsi="Arial"/>
                <w:sz w:val="18"/>
                <w:szCs w:val="18"/>
                <w:color w:val="auto"/>
              </w:rPr>
              <w:t>Other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including current portion</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107.9</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Total stockholders’ equity</w:t>
            </w: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362.8</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to stockholders’ equity ratio (1)</w:t>
            </w:r>
          </w:p>
        </w:tc>
        <w:tc>
          <w:tcPr>
            <w:tcW w:w="1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ratio is based on total long-term debt divided by total stockholders’ equity and excludes the use of cash to pay down debt.</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After the pro forma effect of issuing the Senior Secured Notes summarized above, our cash and cash equivalents totaled $416.4 million at June 30, 2013, as adjusted. In addition as discussed below, our $100 million revolving credit facility is currently undrawn and available to fund operations, if needed, subject to the amount of our eligible collateral and outstanding letters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For the remainder of 2013 through 2015, we have extensive committed and planned capital expenditures. Our primary cash needs for this period of time will be to fund our operations, our general obligations, our interest payment requirements, and these capital expenditures. We expect to fund these cash needs from the proceeds from the Senior Secured Notes, our working capital, internally generated cash flows, and insurance proceeds. See additional discussions below under “Capital Expenditures” and “Loan Agreements-Terms and Conditions.” Our internally generated cash flows and liquidity have been and could be affected by possible declines in sales volumes resulting from the uncertainty relative to the current economic conditions and changes in the production efficiency of our facilities. In addition, our cash flows and liquidity have been and will continue to be affected by the timing of these insurance proceeds.</w:t>
      </w:r>
    </w:p>
    <w:p>
      <w:pPr>
        <w:spacing w:after="0" w:line="12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discussed above under “Issuance of Senior Secured Notes and Intended Use of Proceeds” and below under “Loan Agreements-Terms and Conditions,” on August 7, 2013, LSB closed the transaction whereby LSB sold $425 million aggregate principal amount of the Senior Secured Notes in a private placement. The Senior Secured Notes bear interest at the rate of 7.75% per year and mature on August 1, 2019. Interest is to be paid semiannually, beginning on February 1,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LSB has used or intends to use the net proceeds from Senior Secured Notes, as follows:</w:t>
      </w:r>
    </w:p>
    <w:p>
      <w:pPr>
        <w:spacing w:after="0" w:line="9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$67.2 million to pay all outstanding borrowings, including the prepayment penalty, under the Secured Term Loan; and</w:t>
      </w:r>
    </w:p>
    <w:p>
      <w:pPr>
        <w:spacing w:after="0" w:line="9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general corporate purposes, which we expect to include the construction of an ammonia plant, nitric acid plant, and concentrator at the El Dorado Facility; improvement of reliability, mechanical integrity, and safety at our chemical facilities; and the development of our acquired natural gas leaseholds during the next three years.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Pending application of proceeds discussed above, the net proceeds from the Senior Secured Notes will be invested in investments with highly rated money market funds, U.S. government securities, treasury bills and/or short-term commercial paper.</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closing, LSB entered into an indenture (the “Indenture”) governing the Senior Secured Notes. The Indenture contains covenants that, among other things, limit LSB’s ability, with certain exceptions and as defined in the Indenture, to certain transactions discussed below under “Loan Agreements-Terms and Conditions.”</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Also as discussed below under “Loan Agreements-Terms and Conditions,” our wholly-owned subsidiary, ThermaClime and certain of its wholly-owned subsidiaries (the “Borrowers”), are parties to the Working Capital Revolver Loan. On July 31, 2013, we entered into an amendment to the Working Capital Revolver Loan, which amends our existing senior secured revolving credit facility (the “Amended Working Capital Revolver”). On August 7, 2013, the Amended Working Capital Revolver Loan became effective concurrently with the closing of the issuance of the Senior Secured Notes. The Amended Working Capital Revolver Loan increased the principal amount the Borrowers may borrow on a revolving basis from up to $50.0 million to up to $100.0 million, based on specific percentages of eligible accounts receivable and inventories. The Amended Working Capital Revolver Loan will mature on April 13, 2018. At August 7, 2013, the interest rate was 3.75% based on LIBOR. Interest is paid monthly, if applicable. At August 7, 2013, there were no outstanding borrowings under the Amended Working Capital Revolver Loan. At June 30, 2013, after factoring in the pro forma effect of this amendment, the net credit available for borrowings under our Amended Working Capital Revolver Loan would be approximately $80 million, based on our eligible collateral, less outstanding letters of credit as of that date.</w:t>
      </w:r>
    </w:p>
    <w:p>
      <w:pPr>
        <w:spacing w:after="0" w:line="12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Amended Working Capital Revolver Loan contains numerous covenants that limit the Borrowers to certain transactions. So long as no default or event of default has occurred and is continuing or would result therefrom, ThermaClime may make distributions and pay dividends to LSB in amounts necessary to permit LSB to make required payments of principal and payments of scheduled interest under the Senior Secured Notes.</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Borrowers’ ability to maintain borrowing availability under the Amended Working Capital Revolver Loan depends on their ability to comply with the terms and conditions of the loan agreements and their ability to generate cash flow from operations.</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Due to the overall increase in our outstanding long-term debt, our interest expense is expected to increase during future periods, of which a portion will be capitalized.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As discussed below under “Loan Agreements-Terms and Conditions”, on February 1, 2013, Zena Energy LLC (“Zena”), a subsidiary within our Chemical Business, entered into a loan (the “Secured Promissory Note”) with a lender in the original principal amount of $35 million. The Secured Promissory Note matures on February 1, 2016. At June 30, 2013, the interest rate was 3.27%.</w:t>
      </w:r>
    </w:p>
    <w:p>
      <w:pPr>
        <w:spacing w:after="0" w:line="140"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In November 2012, we filed a universal shelf registration statement on Form S-3, with the Securities and Exchange Commission (“SEC”). The shelf registration statement provides that we could offer and sell up to $200 million of our securities consisting of equity (common and preferred), debt (senior and subordinated), warrants and units, or a combination thereof. The shelf registration statement expires in November 2015 unless we decide to file a post-effective amendment.</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6"/>
          <w:szCs w:val="16"/>
          <w:b w:val="1"/>
          <w:bCs w:val="1"/>
          <w:color w:val="auto"/>
        </w:rPr>
        <w:t>This disclosure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recognize and pay federal income taxes at regular corporate tax rates. With few exceptions, the 2009-2011 years remain open for all purposes of examination by the U.S. Internal Revenue Service (“IRS”) and other major tax jurisdictions. We are under examination by the IRS for the tax years 2008-2010. As of June 30, 2013, the IRS has proposed certain adjustments, which we are protesting. We anticipate that the adjustments, if any, will not result in a material change to our financial position. We had approximately $2.3 million accrued for various uncertain tax liabilities at June 30, 2013.</w:t>
      </w:r>
    </w:p>
    <w:p>
      <w:pPr>
        <w:spacing w:after="0" w:line="11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connection with the American Taxpayer Relief Act of 2012 that was signed into law in January 2013, we recorded a one-time benefit of approximately $0.5 million related to the retroactive tax relief for certain tax provisions that expired in 2012. Because the legislation was signed into law after December 31, 2012, the retroactive effects of the law was reflected in the first half of 2013.</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Capital Expenditures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Expenditures-First Half of 2013</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Cash used for capital expenditures during the first half of 2013 was $82.6 million, including $78.7 million for the benefit of our Chemical Business and $3.6 million for the benefit of our Climate Control Business. The Chemical Business capital expenditures relate primarily to expenditures to replace or rebuild damaged PP&amp;E discussed above under “Downtime at Certain Chemical Facilities – First Half of 2013” and certain capital projects discussed below under “Committed and Planned Capital Expenditures,” but also includes approximately $0.8 million associated with maintaining compliance with environmental laws, regulations and guidelines. The capital expenditures were funded primarily from working capital, insurance proceeds and third-party financing. Due to the increase in the amount of capital expenditures incurred and committed, our depreciation, depletion and amortization expenses have increased and are expected to continue to increase during the remainder of 2013.</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and Planned Capital Expenditures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Committed</w:t>
            </w: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Planned</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2014 and</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2013</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thereafter</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12"/>
              <w:spacing w:after="0"/>
              <w:rPr>
                <w:sz w:val="20"/>
                <w:szCs w:val="20"/>
                <w:color w:val="auto"/>
              </w:rPr>
            </w:pPr>
            <w:r>
              <w:rPr>
                <w:rFonts w:ascii="Arial" w:cs="Arial" w:eastAsia="Arial" w:hAnsi="Arial"/>
                <w:sz w:val="14"/>
                <w:szCs w:val="14"/>
                <w:b w:val="1"/>
                <w:bCs w:val="1"/>
                <w:color w:val="auto"/>
              </w:rPr>
              <w:t>Uncommitted</w:t>
            </w: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4"/>
          </w:tcPr>
          <w:p>
            <w:pPr>
              <w:jc w:val="right"/>
              <w:ind w:right="62"/>
              <w:spacing w:after="0" w:line="142" w:lineRule="exact"/>
              <w:rPr>
                <w:sz w:val="20"/>
                <w:szCs w:val="20"/>
                <w:color w:val="auto"/>
              </w:rPr>
            </w:pPr>
            <w:r>
              <w:rPr>
                <w:rFonts w:ascii="Arial" w:cs="Arial" w:eastAsia="Arial" w:hAnsi="Arial"/>
                <w:sz w:val="14"/>
                <w:szCs w:val="14"/>
                <w:color w:val="auto"/>
              </w:rPr>
              <w:t>(In Millions)</w:t>
            </w: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Chemical</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86"/>
              </w:rPr>
              <w:t>$80</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$275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Climate Control</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40" w:type="dxa"/>
            <w:vAlign w:val="bottom"/>
          </w:tcPr>
          <w:p>
            <w:pPr>
              <w:spacing w:after="0"/>
              <w:rPr>
                <w:sz w:val="19"/>
                <w:szCs w:val="19"/>
                <w:color w:val="auto"/>
              </w:rPr>
            </w:pPr>
          </w:p>
        </w:tc>
        <w:tc>
          <w:tcPr>
            <w:tcW w:w="400" w:type="dxa"/>
            <w:vAlign w:val="bottom"/>
          </w:tcPr>
          <w:p>
            <w:pPr>
              <w:jc w:val="right"/>
              <w:ind w:right="3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100</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260</w:t>
            </w:r>
          </w:p>
        </w:tc>
        <w:tc>
          <w:tcPr>
            <w:tcW w:w="62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290</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w:t>
            </w:r>
          </w:p>
        </w:tc>
        <w:tc>
          <w:tcPr>
            <w:tcW w:w="58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130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450</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committed capital expenditures are the capital projects that have been approved by management as of June 30, 2013 and include projects which are already in progress and funded, projects supported by cost benefit analysis, or projects necessary to replace damaged assets. The additional planned capital expenditures are subject to economic conditions and continued review by management. The amount of planned capital expenditures may increase or decrease as new information is obtained or circumstances change. Total capital expenditures include all committed capital expenditures as well as expenditures that have been brought to the attention of management for approval through our budget and forecasting process. Some of the committed and planned capital expenditures are subject to obtaining necessary permits.</w:t>
      </w:r>
    </w:p>
    <w:p>
      <w:pPr>
        <w:spacing w:after="0" w:line="14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June 30, 2013, we had committed capital expenditures as indicated in the table above. The committed expenditures include $100 million to $110 million for a new 65% strength nitric acid plant and concentrator at the El Dorado Facility to replace the lost production from the DSN plant explosion; $210 million to $230 million relating to the ammonia production plant at the El Dorado Facility discussed below under “Ammonia Plant”; $17 million to $20 million for the replacement of our enterprise financial and operations management software; and $5 million to $10 million for other expansion opportunities and increased capacities in our facilities.</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At June 30, 2013, we also had additional planned capital expenditures as indicated in the table above. The additional planned capital expenditures for the Chemical Business include $30 million to $35 million for the ammonia production plant at our El Dorado Facility and $30 million to $35 million in additional capital expenditures to fully develop acquired natural gas leaseholds during the next three years.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committed and planned capital expenditures include $10 million to $20 million associated with environmental laws, regulations and guidelines.</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plan to fund the committed and planned capital expenditures from working capital, internal cash flows, and insurance proceeds, and third-party financing, including the proceeds from the Senior Secured Notes.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Ammonia Plant</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El Dorado Facility produces nitric acids in various concentrations and agricultural and industrial grade AN from purchased ammonia, which is currently at a cost disadvantage compared to products directly produced from natural gas. We believe this cost disadvantage will continue to be significant for the medium and long-term. Using a portion of the net proceeds from the sale of the Senior Secured Notes, we are planning the addition of an anhydrous ammonia production plant at the El Dorado Facility, which is estimated to cost in the range of $250 million to $300 million ($16.4 million has been incurred and capitalized at June 30, 2013) and would require an estimated 24-36 months to complete. As previously reported, we have filed for permits with the ADEQ for the new ammonia plant.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Wastewater Pipeline</w:t>
      </w:r>
    </w:p>
    <w:p>
      <w:pPr>
        <w:spacing w:after="0" w:line="9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El Dorado Facility generates process wastewater, which is subject to a wastewater discharge permit issued by the ADEQ, which permit is generally renewed every five years. The City of El Dorado, Arkansas (the “City”) is constructing a pipeline for disposal of wastewater generated by the City and by certain companies in the El Dorado area. EDC and other companies in the El Dorado area have entered into a funding agreement and operating agreement with the City, pursuant to which each party has agreed to contribute to the cost of construction and the annual operating costs of the pipeline for the right to use the pipeline to dispose its wastewater. EDC is funding a portion of the construction of the pipeline that will be owned by the City because it believes that it will enable EDC to comply with water discharge permit limits under current and foreseeable regulations. EDC anticipates its share of the funding for the capital cost in connection with the construction of the pipeline will be approximately $3.7 million, of which most of these costs have been incurred and capitalized as of June 30, 2013. The City plans to complete the construction of the pipeline in 2013. Once the pipeline is completed, EDC’s estimated share of the annual operating costs is to be $100,000 to $150,000. The initial term of the operating agreement is through December 2053.</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Request from EPA</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a national enforcement initiative, the EPA has sent information requests pursuant to Section 114 of the Clean Air Act to most, if not all, of the operators of nitric acid plants in the U.S., including our El Dorado and Cherokee Facilities and the Baytown Facility operated by our subsidiary, El Dorado Nitric Company and its subsidiaries (“EDN”). These information requests seek information about compliance with certain provisions of the Clean Air Act relating to construction and modification of facilities. If it is determined that the equipment at any of our chemical facilities does not meet or, has not met, the requirements of the Clean Air Act, our Chemical Business could be subject to penalties in an amount not to exceed $27,500 per day as to each facility not in compliance and be required to retrofit each facility with the “best available control technology.”</w:t>
      </w:r>
    </w:p>
    <w:p>
      <w:pPr>
        <w:spacing w:after="0" w:line="12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After a review by our Chemical Business of these facilities in obtaining information for the EPA pursuant to the EPA’s request, our Chemical Business management believes that certain facilities within our Chemical Business will be required to make capital improvements to emission equipment in order to comply with the requirements of the Clean Air Act. Our Chemical Business has been in negotiations with the EPA to reach a global settlement in connection with this matter.</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During the later part of the second quarter of 2013, we negotiated an oral global agreement in principle with the EPA/DOJ to settle this matter.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59" w:lineRule="exact"/>
        <w:rPr>
          <w:sz w:val="20"/>
          <w:szCs w:val="20"/>
          <w:color w:val="auto"/>
        </w:rPr>
      </w:pPr>
    </w:p>
    <w:p>
      <w:pPr>
        <w:ind w:left="900" w:hanging="325"/>
        <w:spacing w:after="0" w:line="255"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61"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civil penalty to be paid by our Chemical Business in the amount of $725,000.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Advanced Manufacturing Energy Credits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January 8, 2010, two subsidiaries within the Climate Control Business were awarded Internal Revenue Code §48C tax credits (also referred to as “Advanced Manufacturing Energy Credits”) of approximately $9.6 million. The award was based on anticipated capital expenditures made from February 2009 through June 2014 for machinery that will be used to produce geothermal heat pumps and green modular chillers. As these subsidiaries invest in the qualifying machinery, we will be entitled to an income tax credit equal to 30% of the machinery cost, up to the total credit amount awarded. As of June 30, 2013, we utilized $2.6 million of §48C tax credits and we anticipate utilizing approximately $0.3 million and $1.6 million of these tax credits to partially offset our federal income tax liability for 2012 and 2013, respectively.</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Estimated Plant Turnaround Costs – Remainder of 2013</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Chemical Business expenses the maintenance, repairs and minor renewal costs relating to planned major maintenance activities (“Turnarounds”) as they are incurred and are classified as cost of sales. Based on our current plan for Turnarounds during the remainder of 2013, we estimate that we will incur approximately $0.3 million to $0.5 million of these Turnaround costs. These costs do not include the costs relating to lost absorption or reduced margins due to the associated plants being shut down. We plan to fund these expenditures from our available working capital. However, it is possible that the actual costs could be significantly different from our estimates.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Chemical Business is subject to specific federal and state environmental compliance laws, regulations and guidelines. As a result, our Chemical Business incurred expenses of $2.9 million in the first half of 2013 in connection with environmental regulatory issues. For the remainder of 2013, we expect to incur expenses ranging from $2.5 million to $3.0 million in connection with known environmental regulatory issues. However, it is possible that the actual costs could be significantly different than our estimates.</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LSB is a holding company and, accordingly, its ability to pay cash dividends on its preferred stock and common stock depends in large part on its ability to obtain funds from its subsidiaries. Payment of dividends by LSB is limited under certain limited conditions under the Working Capital Loan Agreement and the terms of the Senior Secured Notes. The ability of ThermaClime (which owns a substantial portion of the companies comprising the Climate Control Business and Chemical Business) and its wholly owned subsidiaries to pay dividends and to make distributions to LSB is restricted by certain covenants contained in the Amended Working Capital Revolver Loan agreement as discussed below under “Loan Agreements-Terms and Conditions”.</w:t>
      </w:r>
    </w:p>
    <w:p>
      <w:pPr>
        <w:spacing w:after="0" w:line="11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Holders of our common stock and preferred stocks are entitled to receive dividends only when and if declared by our Board of Directors. We have not paid cash dividends on our outstanding common stock in many years, and we do not currently anticipate paying cash dividends on our outstanding common stock in the near future. However, our Board of Directors has not made a decision whether or not to pay such dividends on our common stock in 2013</w:t>
      </w:r>
      <w:r>
        <w:rPr>
          <w:rFonts w:ascii="Arial" w:cs="Arial" w:eastAsia="Arial" w:hAnsi="Arial"/>
          <w:sz w:val="16"/>
          <w:szCs w:val="16"/>
          <w:b w:val="1"/>
          <w:bCs w:val="1"/>
          <w:color w:val="auto"/>
        </w:rPr>
        <w:t>.</w:t>
      </w:r>
    </w:p>
    <w:p>
      <w:pPr>
        <w:spacing w:after="0" w:line="10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first quarter of 2013, dividends totaling $300,000 were declared on our outstanding preferred stock and subsequently paid in April 2013 using funds from our working capital. Each share of preferred stock is entitled to receive an annual dividend, only when declared by our Board of Directors, payable as follows:</w:t>
      </w:r>
    </w:p>
    <w:p>
      <w:pPr>
        <w:spacing w:after="0" w:line="59"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All shares of the Series D Preferred and Series B Preferred are owned by the Golsen Group. There are no optional or mandatory redemption rights with respect to the Series B Preferred or Series D Preferred.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Long—Term Debt Covenants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discussed below under “Loan Agreements—Terms and Conditions”, the Amended Working Capital Revolver Loan of ThermaClime and its subsidiaries require, among other things, that ThermaClime meet certain financial covenants. Currently, ThermaClime’s forecast is that ThermaClime will be able to meet all financial covenant requirements for the next twelve months.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Agreements—Terms and Conditions</w:t>
      </w:r>
    </w:p>
    <w:p>
      <w:pPr>
        <w:spacing w:after="0" w:line="90"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color w:val="auto"/>
        </w:rPr>
        <w:t>Senior Secured Notes</w:t>
      </w:r>
      <w:r>
        <w:rPr>
          <w:rFonts w:ascii="Arial" w:cs="Arial" w:eastAsia="Arial" w:hAnsi="Arial"/>
          <w:sz w:val="16"/>
          <w:szCs w:val="16"/>
          <w:color w:val="auto"/>
        </w:rPr>
        <w:t>—On August 7, 2013, LSB sold $425 million aggregate principal amount of the Senior Secured Notes in a 144A transaction</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the exemptions from the registration requirements of the Securities Act of 1933, as amended (the “Act”). The Senior Secured Notes are eligible for resale by the investors under Rule144A under the Act. LSB received net proceeds of approximately $418 million, after commissions and fees. In connection with the closing, LSB entered into an indenture (the “Indenture”) with UMB Bank, as trustee, and UMB Bank will also act as the collateral agent, in connection with the Senior Secured Notes, and will receive customary compensation from us for such services.</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Senior Secured Notes bear interest at the rate of 7.75% per year and mature on August 1, 2019. Interest is to be paid semiannually, beginning on February 1, 2014.</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Senior Secured Notes are general senior secured obligations of LSB. The Senior Secured Notes are jointly and severally and fully and unconditionally guaranteed by all of LSB’s current subsidiaries, with all of the guarantees, except two, being senior secured guarantees and two being senior unsecured guarantees. The Senior Secured Notes will rank equally in right of payment to all of LSB and the guarantors’ existing and future senior secured debt, including the Amended Working Capital Revolver Loan discussed below, and will be senior in right of payment to all of LSB and the guarantors’ future subordinated indebtedness. LSB does not have independent assets or operations.</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Those subsidiaries that provided guarantees of the Senior Secured Notes will be released from such guarantees upon the occurrence of certain events, including the following: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such guarantor as an unrestricted subsidiary;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release or discharge of any guarantee or indebtedness that resulted in the creation of the guarantee of the Senior Secured Notes by such guarantor;</w:t>
      </w:r>
    </w:p>
    <w:p>
      <w:pPr>
        <w:spacing w:after="0" w:line="124" w:lineRule="exact"/>
        <w:rPr>
          <w:rFonts w:ascii="Arial" w:cs="Arial" w:eastAsia="Arial" w:hAnsi="Arial"/>
          <w:sz w:val="15"/>
          <w:szCs w:val="15"/>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sale or other disposition, including by way of merger or otherwise, the sale of its capital stock or the sale of all or substantially all of the assets, of such guarantor; or</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LSB’s exercise of its legal defeasance option or its covenant defeasance option as described in the Indenture with LSB’s obligations under the Indenture are discharged in accordance with the Indenture.</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Senior Secured Notes will be effectively senior to all existing and future unsecured debt of LSB and the guarantors to the extent of the value of the property and assets subject to liens (“Collateral”) and will be effectively senior to all existing and future obligations under the Amended Working Capital Revolver Loan and other debt to the extent of the value of the certain collateral (“Priority Collateral”).</w:t>
      </w:r>
    </w:p>
    <w:p>
      <w:pPr>
        <w:spacing w:after="0" w:line="14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Senior Secured Notes will be secured on a first-priority basis by the Priority Collateral owned by LSB and the guarantors (other than the two unsecured guarantors) providing security and on a second-priority basis by the certain collateral securing the Amended Working Capital Revolver Loan owned by LSB and the guarantors (other than the two unsecured guarantors), in each case subject to certain liens permitted under the Indenture. The Senior Secured Notes will be equal in priority as to the Priority Collateral owned by LSB and the guarantors with respect to any obligations under any equally ranked lien obligations subsequently incurred.</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Senior Secured Notes will be effectively subordinated to all of LSB and the guarantors’ existing and future obligations under the Amended Working Capital Revolver Loan and other debt to the extent of the value of the certain collateral securing such debt and to any of LSB and the guarantors’ existing and future indebtedness that is secured by liens that are not part of the Collateral. The Senior Secured Notes will be structurally subordinated to all of the existing and future indebtedness, preferred stock obligations and other liabilities, including trade payables, of our subsidiaries that do not guarantee the Senior Secured Notes in the future.</w:t>
      </w:r>
    </w:p>
    <w:p>
      <w:pPr>
        <w:spacing w:after="0" w:line="143"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Except under certain conditions, the Senior Secured Notes are not redeemable before August 1, 2016. On or after such date, LSB may redeem the Senior Secured Notes at its option, in whole or in part, upon not less than 30 nor more than 60 days’ notice, at the following redemption prices (expressed as percentages of the principal amount thereof), plus accrued and unpaid interest to the redemption date (subject to the right of Holders of record on the relevant record date to receive interest due on the relevant interest payment date), if redeemed during the twelve-month period commencing on August 1</w:t>
      </w:r>
      <w:r>
        <w:rPr>
          <w:rFonts w:ascii="Arial" w:cs="Arial" w:eastAsia="Arial" w:hAnsi="Arial"/>
          <w:sz w:val="10"/>
          <w:szCs w:val="10"/>
          <w:color w:val="auto"/>
        </w:rPr>
        <w:t>st</w:t>
      </w:r>
      <w:r>
        <w:rPr>
          <w:rFonts w:ascii="Arial" w:cs="Arial" w:eastAsia="Arial" w:hAnsi="Arial"/>
          <w:sz w:val="15"/>
          <w:szCs w:val="15"/>
          <w:color w:val="auto"/>
        </w:rPr>
        <w:t xml:space="preserve"> of the year set forth below:</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Year</w:t>
            </w:r>
          </w:p>
        </w:tc>
        <w:tc>
          <w:tcPr>
            <w:tcW w:w="66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20"/>
        </w:trPr>
        <w:tc>
          <w:tcPr>
            <w:tcW w:w="6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2016</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2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3"/>
              </w:rPr>
              <w:t>103.875%</w:t>
            </w:r>
          </w:p>
        </w:tc>
        <w:tc>
          <w:tcPr>
            <w:tcW w:w="0" w:type="dxa"/>
            <w:vAlign w:val="bottom"/>
          </w:tcPr>
          <w:p>
            <w:pPr>
              <w:spacing w:after="0"/>
              <w:rPr>
                <w:sz w:val="1"/>
                <w:szCs w:val="1"/>
                <w:color w:val="auto"/>
              </w:rPr>
            </w:pPr>
          </w:p>
        </w:tc>
      </w:tr>
      <w:tr>
        <w:trPr>
          <w:trHeight w:val="216"/>
        </w:trPr>
        <w:tc>
          <w:tcPr>
            <w:tcW w:w="6920" w:type="dxa"/>
            <w:vAlign w:val="bottom"/>
            <w:gridSpan w:val="2"/>
          </w:tcPr>
          <w:p>
            <w:pPr>
              <w:spacing w:after="0"/>
              <w:rPr>
                <w:sz w:val="20"/>
                <w:szCs w:val="20"/>
                <w:color w:val="auto"/>
              </w:rPr>
            </w:pPr>
            <w:r>
              <w:rPr>
                <w:rFonts w:ascii="Arial" w:cs="Arial" w:eastAsia="Arial" w:hAnsi="Arial"/>
                <w:sz w:val="18"/>
                <w:szCs w:val="18"/>
                <w:color w:val="auto"/>
              </w:rPr>
              <w:t>2017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101.938%</w:t>
            </w: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 and thereafter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Upon the occurrence of a change of control, as defined in the Indenture, each holder of the Senior Secured Notes will have the right to require that LSB purchase all or a portion of such holder’s notes at a purchase price equal to 101% of the principal amount thereof plus accrued and unpaid interest, if any, to the date of purchase (subject to the right of holders of record on the relevant record date to receive interest due on the relevant interest payment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covenants that, among other things, limit LSB’s ability, with certain exceptions and as defined in the Indenture, to:</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repurchase LSB’ common and preferred stocks;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sale-leaseback transactions;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conjunction with the Senior Secured Notes, we entered into an amendment to the Working Capital Revolver Loan as discussed below.</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Amended Working Capital Revolver Loan</w:t>
      </w:r>
      <w:r>
        <w:rPr>
          <w:rFonts w:ascii="Arial" w:cs="Arial" w:eastAsia="Arial" w:hAnsi="Arial"/>
          <w:sz w:val="16"/>
          <w:szCs w:val="16"/>
          <w:color w:val="auto"/>
        </w:rPr>
        <w:t>—Our wholly-owned subsidiary, ThermaClime, and certain of its wholly-owned subsidiaries, are parties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Working Capital Revolver Loan. On July 31, 2013, we entered into an amendment to the Working Capital Revolver Loan, which amends our existing senior secured revolving credit facility (the “Amended Working Capital Revolver”). The Amended Working Capital Revolver Loan became effective concurrently with the closing of the issuance of Senior Secured Notes discussed above. Upon the Amended Working Capital Revolver Loan becoming effective, such increased the principal amount that ThermaClime and its subsidiaries may borrow on a revolving basis from up to $50.0 million to up to $100.0 million, based on specific percentages of eligible accounts receivable and inventories and permits the Senior Secured Notes and the secured guarantees to be secured on a first-priority basis by the Priority Collateral and on a second-priority basis by the certain collateral securing the Amended Working Capital Revolver Loan and provides that the Amended Working Capital Revolver Loan be secured on a second-priority basis by the Priority Collateral. The Amended Working Capital Revolver Loan will mature on April 13, 2018.</w:t>
      </w:r>
    </w:p>
    <w:p>
      <w:pPr>
        <w:spacing w:after="0" w:line="119"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Amended Working Capital Revolver Loan accrues interest at a base rate (generally equivalent to the prime rate) plus 0.50% if borrowing availability is greater than $25.0 million, otherwise plus 0.75% or, at our option, accrues interest at LIBOR plus 1.50% if borrowing availability is greater than $25.0 million, otherwise LIBOR plus 1.75%. At August 7, 2013, the interest rate was 3.75% based on LIBOR. Interest is paid monthly, if applicable.</w:t>
      </w:r>
    </w:p>
    <w:p>
      <w:pPr>
        <w:spacing w:after="0" w:line="10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August 7, 2013, there were no outstanding borrowings under the Amended Working Capital Revolver Loan. At June 30, 2013, after giving the pro forma effect of this amendment, the net credit available for borrowings under our Amended Working Capital Revolver Loan would have been approximately $80 million, based on our eligible collateral, less outstanding letters of credit as of that date.</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Amended Working Capital Revolver Loan provides for up to $15.0 million of letters of credit. All letters of credit outstanding reduce availability under the Amended Working Capital Revolver Loan. Under the Amended Working Capital Revolver Loan, the lender also requires the Borrowers to pay a letter of credit fee equal to 1% per annum of the undrawn amount of all outstanding letters of credit, an unused line fee equal to .25% per annum for the excess amount available under the Amended Working Capital Revolver Loan not drawn and various other audit, appraisal and valuation charges.</w:t>
      </w:r>
    </w:p>
    <w:p>
      <w:pPr>
        <w:spacing w:after="0" w:line="1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lender has the ability to, upon an event of default, as defined, terminate the Amended Working Capital Revolver Loan and make the balance outstanding, if any, due and payable in full. The terms of the Amended Working Capital Revolver Loan provided that ThermaClime could prepay the Secured Term Loan as discussed above.</w:t>
      </w:r>
    </w:p>
    <w:p>
      <w:pPr>
        <w:spacing w:after="0" w:line="14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Amended Working Capital Revolver Loan requires ThermaClime to meet a minimum fixed charge coverage ratio of not less than 1.10 to 1, if at any time the excess availability (as defined by the Amended Working Capital Revolver Loan), under the Amended Working Capital Revolver Loan is less than or equal to $12.5 million. This ratio will be measured monthly on a trailing twelve month basis and as defined in the agreement. As of June 30, 2013, after giving the pro forma effect of this amendment and as defined in the agreement, the fixed charge coverage ratio would be 6.4 to 1. The Amended Working Capital Revolver Loan contains covenants that, among other things, limit the Borrowers’ (which does not include LSB) ability, without consent of the lender and with certain exceptions, to:</w:t>
      </w:r>
    </w:p>
    <w:p>
      <w:pPr>
        <w:spacing w:after="0" w:line="63"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liens on, sell or otherwise dispose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fundamental corporate changes or changes to our business activities;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certain material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sale-leaseback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other restricted payments, including, without limitation,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repay certain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certain affiliate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mergers, consolidations or other forms of recapitalization;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dispose assets.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Amended Working Capital Revolver Loan allows the borrowers and subsidiaries under the Senior Secured Notes to guarantee those notes. So long as no default or event of default has occurred and is continuing or would result therefrom, ThermaClime may make distributions and pay dividends to LSB in amounts necessary to permit LSB to make required payments of principal and payments of scheduled interest under the Senior Secured Notes, in each case not more than five business days prior to the date such payments are due and not in excess of the actual amounts due. The ability of ThermaClime and its wholly-owned subsidiaries to pay other dividends and to make other distributions to LSB or Consolidated Industries is restricted by certain covenants contained in the Amended Working Capital Revolver Loan, which prohibits ThermaClime from transferring other funds to LSB in the form of cash dividends or other distributions, except for the following (so long as no default or event of default has occurred, is continuing or would result therefrom):</w:t>
      </w:r>
    </w:p>
    <w:p>
      <w:pPr>
        <w:spacing w:after="0" w:line="37" w:lineRule="exact"/>
        <w:rPr>
          <w:sz w:val="20"/>
          <w:szCs w:val="20"/>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not to exceed $7.5 million annually under a certain management agreement between LSB and ThermaClime, provided certain conditions are met;</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repayment of costs and expenses incurred by LSB that are directly allocable to ThermaClime or its subsidiaries for LSB’s provision of services under a certain services agreement;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income taxes that ThermaClime would be required to pay if they were not consolidated with LSB; and</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amount not to exceed 50% of ThermaClime’s consolidated net income during each fiscal year determined in accordance with GAAP, plus income taxes paid to LSB during such fiscal year within the previous bullet above.</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 long as both immediately before and after giving effect to any of the following, excess availability as defined by the Amended Working Capital Revolver Loan is equal to or greater than the greater of (x) 20% of the maximum revolver commitment or (y) $20 million, the Amended Working Capital Revolver will allow each of the borrowers under the Amended Working Capital Revolver Loan to make:</w:t>
      </w:r>
    </w:p>
    <w:p>
      <w:pPr>
        <w:spacing w:after="0" w:line="59"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loans to, or other investments in, LSB in an aggregate amount exceeding $5.0 million at any time outstanding;</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and pay dividends with respect to amounts in excess of $0.5 million during each fiscal year to Consolidated Industries or to LSB or to any subsidiary of Consolidated Industries that is not also a subsidiary of ThermaClime;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joint ventures in an aggregate amount not exceeding $35.0 million;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investments in an aggregate amount not exceeding $50.0 million at any one time outstanding.</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Amended Working Capital Revolver Loan includes customary events of default, including events of default relating to nonpayment of principal and other amounts owing under the Amended Working Capital Revolver Loan from time to time, any material misstatement or misrepresentation and breaches of representations and warranties made, violations of covenants, cross-payment default to indebtedness in excess of $0.1 million, cross-acceleration to indebtedness in excess of $0.1 million, bankruptcy and insolvency events, certain unsatisfied judgments, certain liens, and certain assertions of, or actual invalidity of, certain loan documents.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Amended Working Capital Revolver Loan contains numerous other covenants applicable to the borrowers including, but not limited to, the following:</w:t>
      </w:r>
    </w:p>
    <w:p>
      <w:pPr>
        <w:spacing w:after="0" w:line="113"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 on the incurrence of certain additional indebtedness and liens;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mergers, acquisitions, dissolution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declaration of dividends and distributions to LSB;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on payments to non-borrower affiliates.</w:t>
      </w:r>
    </w:p>
    <w:p>
      <w:pPr>
        <w:spacing w:after="0" w:line="16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Secured Promissory Note</w:t>
      </w:r>
      <w:r>
        <w:rPr>
          <w:rFonts w:ascii="Arial" w:cs="Arial" w:eastAsia="Arial" w:hAnsi="Arial"/>
          <w:sz w:val="16"/>
          <w:szCs w:val="16"/>
          <w:color w:val="auto"/>
        </w:rPr>
        <w:t>—On February 1, 2013, Zena, a subsidiary within our Chemical Business, entered into the Secured Promissory Note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lender in the original principal amount of $35 million. The Secured Promissory Note follows the acquisition by Zena of Working Interests in certain natural gas properties during October 2012. The proceeds of the Secured Promissory Note effectively financed $35 million of the approximately $50 million purchase price of the Working Interests previously paid out of LSB’s working capital. The proceeds of the Secured Promissory Note were used to reimburse our general working capital. The Secured Promissory Note matures on February 1, 2016. Principal and interest are payable monthly based on a five-year amortization at a defined LIBOR rate plus 300 basis points (but not below 3.00% per annum) with a final balloon payment of $15.3 million. The interest rate at June 30, 2013 was 3.27%. The loan is secured by the Working Interests and related properties and proceeds.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to the Bayer Agreement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Subsidiaries within our Chemical Business, EDN and EDC, are party to an agreement (the “Bayer Agreement”) with Bayer Material Science LLC (“Bayer”). EDN operates Bayer’s nitric acid plant (the “Baytown Facility”) located within Bayer’s chemical manufacturing complex. Under the terms of the Bayer Agreement, Bayer purchases from EDN all of Bayer’s requirements for nitric acid for use in Bayer’s chemical manufacturing complex located in Baytown, Texas that provides a pass-through of certain costs plus a profit. In addition, EDN is responsible for the maintenance and operation of the Baytown Facility. If there is a change in control of EDN, Bayer has the right to terminate the Bayer Agreement upon payment of certain fees to EDN. In June 2013, the Bayer Agreement was amended, dated effective July 1, 2014, to extend the term of the agreement for an additional seven years, beginning July 1, 2014. The amendment also provides incentives to EDN for meeting certain safety, environmental, and reliability thresholds.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Amendment to a Long-Term Cost-Plus Supply Agreement</w:t>
      </w:r>
    </w:p>
    <w:p>
      <w:pPr>
        <w:spacing w:after="0" w:line="9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Pursuant to a long-term cost-plus supply agreement, EDC sells to a customer a significant annual volume of industrial grade AN produced at the El Dorado Facility. In April 2013, this agreement was amended to update and correct the specification of AN solution to be manufactured by EDC. The amendment also modified the required notice of termination from two years to one year, with the effective termination date in such notice to be no sooner than April 9, 2015.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believe that our only significant seasonal products are fertilizer and related chemical products sold by our Chemical Business to the agricultural industry. The selling seasons for those products are primarily during the spring and fall planting seasons, which typically extend from March through June and from September through November in the geographical markets in which the majority of our agricultural products are distributed. As a result, our Chemical Business increases its inventory of agricultural products prior to the beginning of each planting season. In addition, the amount and timing of sales to the agricultural markets depend upon weather conditions and other circumstances beyond our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discussion above under “Liquidity and Capital Resources-Dividends” relating to the Golsen Group.</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On March 15, 2013, our Board of Directors appointed Mr. Lance Benham as a new member of our Board of Directors. Mr. Benham’s appointment fills the board vacancy resulting from the passing of Mr. Horace Rhodes in January 2013. Mr. Benham will serve with the class of directors having a term ending at the 2013 annual meeting of stockholders, which will be held on May 23, 2013. In January 2013, Mr. Benham retired as Senior Vice President of SAIC Energy, Environment &amp; Infrastructure, LLC (“SAIC Energy”), a subsidiary of Science Applications International Corporation (“SAIC”). There are no arrangements or understandings between Mr. Benham and any other person pursuant to which Mr. Benham was appointed as a director of LSB. During 2012, we incurred approximately $127,000 with SAIC Energy for engineering services relating to our chemical facilities. During the first six months of 2013, we incurred approximately $2,872,000 with SAIC Energy for engineering services and deconstruction services relating to our chemical facilities. Currently, SAIC is quoting on additional engineering projects.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negotiating or have negotiated an Engineering Procurement and Construction Agreement with SAIC Constructors, LLC, a subsidiary of SAIC, to engineer and construct an ammonia plant and certain support facilities at the El Dorado Facility. We expect SAIC Constructor’s fees in connection with this agreement to be approximately $22 million.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ended June 30, 2013 compared to six months ended June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93,272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143,831</w:t>
            </w:r>
          </w:p>
        </w:tc>
        <w:tc>
          <w:tcPr>
            <w:tcW w:w="4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 (50,559)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70,335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78,109</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(7,774)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31,471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40,399</w:t>
            </w:r>
          </w:p>
        </w:tc>
        <w:tc>
          <w:tcPr>
            <w:tcW w:w="4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(8,928)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880"/>
              <w:spacing w:after="0"/>
              <w:rPr>
                <w:sz w:val="20"/>
                <w:szCs w:val="20"/>
                <w:color w:val="auto"/>
              </w:rPr>
            </w:pPr>
            <w:r>
              <w:rPr>
                <w:rFonts w:ascii="Arial" w:cs="Arial" w:eastAsia="Arial" w:hAnsi="Arial"/>
                <w:sz w:val="18"/>
                <w:szCs w:val="18"/>
                <w:color w:val="auto"/>
              </w:rPr>
              <w:t>Total Chemical</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198,818</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262,339</w:t>
            </w:r>
          </w:p>
        </w:tc>
        <w:tc>
          <w:tcPr>
            <w:tcW w:w="440" w:type="dxa"/>
            <w:vAlign w:val="bottom"/>
          </w:tcPr>
          <w:p>
            <w:pPr>
              <w:spacing w:after="0"/>
              <w:rPr>
                <w:sz w:val="19"/>
                <w:szCs w:val="19"/>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(63,521)</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14,506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67,498</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(52,992)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(18.4)%</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59,494</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(56,915)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Sales—Chemical</w:t>
      </w:r>
    </w:p>
    <w:p>
      <w:pPr>
        <w:spacing w:after="0" w:line="96" w:lineRule="exact"/>
        <w:rPr>
          <w:rFonts w:ascii="Arial" w:cs="Arial" w:eastAsia="Arial" w:hAnsi="Arial"/>
          <w:sz w:val="18"/>
          <w:szCs w:val="18"/>
          <w:color w:val="auto"/>
        </w:rPr>
      </w:pPr>
    </w:p>
    <w:p>
      <w:pPr>
        <w:ind w:left="900" w:hanging="325"/>
        <w:spacing w:after="0"/>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Agricultural products sales decreased primarily due to the downtime at our Cherokee and Pryor Facilities.</w:t>
      </w:r>
    </w:p>
    <w:p>
      <w:pPr>
        <w:spacing w:after="0" w:line="90" w:lineRule="exact"/>
        <w:rPr>
          <w:rFonts w:ascii="Arial" w:cs="Arial" w:eastAsia="Arial" w:hAnsi="Arial"/>
          <w:sz w:val="18"/>
          <w:szCs w:val="18"/>
          <w:color w:val="auto"/>
        </w:rPr>
      </w:pPr>
    </w:p>
    <w:p>
      <w:pPr>
        <w:ind w:left="900" w:hanging="325"/>
        <w:spacing w:after="0" w:line="256"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primarily as the result of the Turnaround performed at our Baytown Facility to coincide with a significant customer’s planned maintenance outage as well as the unplanned downtime at our Cherokee Facility and reduction in production at our El Dorado Facility partially offset by our ability to pass through the higher feedstock cost of ammonia on certain of our contractual pricing agreements with customers.</w:t>
      </w:r>
    </w:p>
    <w:p>
      <w:pPr>
        <w:spacing w:after="0" w:line="62" w:lineRule="exact"/>
        <w:rPr>
          <w:rFonts w:ascii="Arial" w:cs="Arial" w:eastAsia="Arial" w:hAnsi="Arial"/>
          <w:sz w:val="18"/>
          <w:szCs w:val="18"/>
          <w:color w:val="auto"/>
        </w:rPr>
      </w:pPr>
    </w:p>
    <w:p>
      <w:pPr>
        <w:ind w:left="900" w:right="320" w:hanging="325"/>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Mining products sales decreased primarily due to lower volumes as the result of the downtime at the Cherokee Facility and the lower customer demand due to the current low cost of natural gas as an alternative fuel for utility companies, partially offset by our ability to pass through to our customers certain costs pursuant to contractual pricing agreements.</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Natural gas sales relates to working interests in certain natural gas properties acquired in October 2012 by a subsidiary within our Chemical Business. Management considers these working interests as an economic hedge against a potential rise in natural gas prices in the future for a portion of our future natural gas production requirements.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decrease in gross profit was primarily due to lower sales volume, unabsorbed fixed overhead costs and costs associated with purchased ammonia and other products to meet some of our customers’ needs, all of which are attributable to the downtime at our facilities, partially offset by approximately $14 million business interruption insurance recovery recognized during the first half of 2013 compared to the approximately $15 million cumulative impact from the downtime at our Pryor and El Dorado Facilities during the first half of 2012.</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Income—Chemical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operating income includes the decrease in gross profit as discussed above. Additionally, other net expenses increased $2.4 million primarily as a result of dismantle and demolition costs incurred at the El Dorado Facility. Also selling, general and administrative expenses increased $1.5 million primarily due to consulting and other fees related to the DSN plant.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six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115"/>
              <w:spacing w:after="0" w:line="159" w:lineRule="exact"/>
              <w:rPr>
                <w:sz w:val="20"/>
                <w:szCs w:val="20"/>
                <w:color w:val="auto"/>
              </w:rPr>
            </w:pPr>
            <w:r>
              <w:rPr>
                <w:rFonts w:ascii="Arial" w:cs="Arial" w:eastAsia="Arial" w:hAnsi="Arial"/>
                <w:sz w:val="14"/>
                <w:szCs w:val="14"/>
                <w:color w:val="auto"/>
              </w:rPr>
              <w:t>2012</w:t>
            </w:r>
          </w:p>
        </w:tc>
        <w:tc>
          <w:tcPr>
            <w:tcW w:w="620" w:type="dxa"/>
            <w:vAlign w:val="bottom"/>
          </w:tcPr>
          <w:p>
            <w:pPr>
              <w:spacing w:after="0"/>
              <w:rPr>
                <w:sz w:val="13"/>
                <w:szCs w:val="13"/>
                <w:color w:val="auto"/>
              </w:rPr>
            </w:pPr>
          </w:p>
        </w:tc>
        <w:tc>
          <w:tcPr>
            <w:tcW w:w="1180" w:type="dxa"/>
            <w:vAlign w:val="bottom"/>
            <w:gridSpan w:val="3"/>
          </w:tcPr>
          <w:p>
            <w:pPr>
              <w:jc w:val="right"/>
              <w:ind w:right="680"/>
              <w:spacing w:after="0" w:line="159" w:lineRule="exact"/>
              <w:rPr>
                <w:sz w:val="20"/>
                <w:szCs w:val="20"/>
                <w:color w:val="auto"/>
              </w:rPr>
            </w:pPr>
            <w:r>
              <w:rPr>
                <w:rFonts w:ascii="Arial" w:cs="Arial" w:eastAsia="Arial" w:hAnsi="Arial"/>
                <w:sz w:val="14"/>
                <w:szCs w:val="14"/>
                <w:color w:val="auto"/>
                <w:w w:val="97"/>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380"/>
              <w:spacing w:after="0" w:line="142" w:lineRule="exact"/>
              <w:rPr>
                <w:sz w:val="20"/>
                <w:szCs w:val="20"/>
                <w:color w:val="auto"/>
              </w:rPr>
            </w:pPr>
            <w:r>
              <w:rPr>
                <w:rFonts w:ascii="Arial" w:cs="Arial" w:eastAsia="Arial" w:hAnsi="Arial"/>
                <w:sz w:val="14"/>
                <w:szCs w:val="14"/>
                <w:color w:val="auto"/>
                <w:w w:val="90"/>
              </w:rPr>
              <w:t>(Dollars In Thousands)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91,385</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81,868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9,517</w:t>
            </w:r>
          </w:p>
        </w:tc>
        <w:tc>
          <w:tcPr>
            <w:tcW w:w="6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26,646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594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23,580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21,790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6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147,627</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130,304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17,323</w:t>
            </w: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47,385</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40,435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6,950</w:t>
            </w:r>
          </w:p>
        </w:tc>
        <w:tc>
          <w:tcPr>
            <w:tcW w:w="6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line="20" w:lineRule="exact"/>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15,840</w:t>
            </w:r>
          </w:p>
        </w:tc>
        <w:tc>
          <w:tcPr>
            <w:tcW w:w="2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13,151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2,689</w:t>
            </w:r>
          </w:p>
        </w:tc>
        <w:tc>
          <w:tcPr>
            <w:tcW w:w="6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Sales—Climate Control</w:t>
      </w:r>
    </w:p>
    <w:p>
      <w:pPr>
        <w:spacing w:after="0" w:line="96" w:lineRule="exact"/>
        <w:rPr>
          <w:rFonts w:ascii="Arial" w:cs="Arial" w:eastAsia="Arial" w:hAnsi="Arial"/>
          <w:sz w:val="18"/>
          <w:szCs w:val="18"/>
          <w:color w:val="auto"/>
        </w:rPr>
      </w:pPr>
    </w:p>
    <w:p>
      <w:pPr>
        <w:ind w:left="900" w:hanging="325"/>
        <w:spacing w:after="0" w:line="291"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Net sales of our geothermal and water source heat pump products increased primarily as a result of an 18% improvement in sales of our commercial/institutional products due to higher beginning backlog and is partially offset with a 5% decline in sales of our residential products primarily related to the timing of customer scheduled shipments (shipments for the first half of 2012 exceeded orders by approximately $1.7 million) although we continue to believe there is softness in the sector of the single-family residential construction market we serve. During the first half of 2013, we continued to maintain a market share leadership position of approximately 42%, based on preliminary market data supplied by the Air-Conditioning, Heating and Refrigeration Institute (“AHRI”).</w:t>
      </w:r>
    </w:p>
    <w:p>
      <w:pPr>
        <w:spacing w:after="0" w:line="39" w:lineRule="exact"/>
        <w:rPr>
          <w:rFonts w:ascii="Arial" w:cs="Arial" w:eastAsia="Arial" w:hAnsi="Arial"/>
          <w:sz w:val="16"/>
          <w:szCs w:val="16"/>
          <w:color w:val="auto"/>
        </w:rPr>
      </w:pPr>
    </w:p>
    <w:p>
      <w:pPr>
        <w:ind w:left="900" w:right="260" w:hanging="325"/>
        <w:spacing w:after="0" w:line="332" w:lineRule="auto"/>
        <w:tabs>
          <w:tab w:leader="none" w:pos="90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Net sales of our hydronic fan coils increased primarily due to increases in the number of units sold. During the first half of 2013, we continued to have a market share leadership position of approximately 32% based on preliminary market data supplied by the AHRI.</w:t>
      </w:r>
    </w:p>
    <w:p>
      <w:pPr>
        <w:spacing w:after="0" w:line="4" w:lineRule="exact"/>
        <w:rPr>
          <w:rFonts w:ascii="Arial" w:cs="Arial" w:eastAsia="Arial" w:hAnsi="Arial"/>
          <w:sz w:val="16"/>
          <w:szCs w:val="16"/>
          <w:color w:val="auto"/>
        </w:rPr>
      </w:pPr>
    </w:p>
    <w:p>
      <w:pPr>
        <w:ind w:left="900" w:right="180" w:hanging="325"/>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as the result of increased sales of modular chillers and our engineering and construction services, partially offset by a decline in sales of our large custom air handlers.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increase in gross profit in our Climate Control Business was primarily the result of the higher sales volume as discussed above. Gross profit as a percentage of sales improved primarily due to an improvement in raw material costs (copper, steel and aluminum) and overhead absorption related to the higher sales volume.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income increased as the result of the increase in gross profit discussed above partially offset by higher variable selling expenses of $1.6 million (including warranty of $0.7 million, commission of $0.4 million, and freight of $0.4 million) primarily as the result of higher sales volume, increased consulting fees of $1.0 million primarily for services focused on future process and cost savings improvements, and increased personnel costs of $0.9 million primarily related to the increase in the number of employees and healthcare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 for income taxes for the first half of 2013 was $3.6 million compared to an income tax provision of $23.3 million for the same period in 2012. The resulting effective tax rate for the first half of 2013 and 2012 was 37% (excluding the benefit associated with the retroactive tax relief on certain 2012 tax provisions that expired in 2012) and 36%, respectively.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June 30, 2013 compared to three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Chemical Business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Chemical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46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14"/>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760"/>
              <w:spacing w:after="0" w:line="159" w:lineRule="exact"/>
              <w:rPr>
                <w:sz w:val="20"/>
                <w:szCs w:val="20"/>
                <w:color w:val="auto"/>
              </w:rPr>
            </w:pPr>
            <w:r>
              <w:rPr>
                <w:rFonts w:ascii="Arial" w:cs="Arial" w:eastAsia="Arial" w:hAnsi="Arial"/>
                <w:sz w:val="14"/>
                <w:szCs w:val="14"/>
                <w:color w:val="auto"/>
              </w:rPr>
              <w:t>Change</w:t>
            </w:r>
          </w:p>
        </w:tc>
        <w:tc>
          <w:tcPr>
            <w:tcW w:w="86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color w:val="auto"/>
                <w:w w:val="93"/>
              </w:rPr>
              <w:t>(Dollars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Agricultural products</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60,760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83,495</w:t>
            </w:r>
          </w:p>
        </w:tc>
        <w:tc>
          <w:tcPr>
            <w:tcW w:w="4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 (22,735)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Industrial acids and other chemical products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41,757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37,739</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80" w:type="dxa"/>
            <w:vAlign w:val="bottom"/>
          </w:tcPr>
          <w:p>
            <w:pPr>
              <w:ind w:left="440"/>
              <w:spacing w:after="0"/>
              <w:rPr>
                <w:sz w:val="20"/>
                <w:szCs w:val="20"/>
                <w:color w:val="auto"/>
              </w:rPr>
            </w:pPr>
            <w:r>
              <w:rPr>
                <w:rFonts w:ascii="Arial" w:cs="Arial" w:eastAsia="Arial" w:hAnsi="Arial"/>
                <w:sz w:val="18"/>
                <w:szCs w:val="18"/>
                <w:color w:val="auto"/>
              </w:rPr>
              <w:t>Mining products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16,861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16,900</w:t>
            </w:r>
          </w:p>
        </w:tc>
        <w:tc>
          <w:tcPr>
            <w:tcW w:w="440" w:type="dxa"/>
            <w:vAlign w:val="bottom"/>
          </w:tcPr>
          <w:p>
            <w:pPr>
              <w:spacing w:after="0"/>
              <w:rPr>
                <w:sz w:val="18"/>
                <w:szCs w:val="18"/>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color w:val="auto"/>
              </w:rPr>
              <w:t>(39)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Natural gas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880"/>
              <w:spacing w:after="0"/>
              <w:rPr>
                <w:sz w:val="20"/>
                <w:szCs w:val="20"/>
                <w:color w:val="auto"/>
              </w:rPr>
            </w:pPr>
            <w:r>
              <w:rPr>
                <w:rFonts w:ascii="Arial" w:cs="Arial" w:eastAsia="Arial" w:hAnsi="Arial"/>
                <w:sz w:val="18"/>
                <w:szCs w:val="18"/>
                <w:color w:val="auto"/>
              </w:rPr>
              <w:t>Total Chemical</w:t>
            </w: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line="20" w:lineRule="exact"/>
              <w:rPr>
                <w:sz w:val="1"/>
                <w:szCs w:val="1"/>
                <w:color w:val="auto"/>
              </w:rPr>
            </w:pPr>
          </w:p>
        </w:tc>
      </w:tr>
      <w:tr>
        <w:trPr>
          <w:trHeight w:val="222"/>
        </w:trPr>
        <w:tc>
          <w:tcPr>
            <w:tcW w:w="4680" w:type="dxa"/>
            <w:vAlign w:val="bottom"/>
            <w:vMerge w:val="continue"/>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121,328</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138,134</w:t>
            </w:r>
          </w:p>
        </w:tc>
        <w:tc>
          <w:tcPr>
            <w:tcW w:w="440" w:type="dxa"/>
            <w:vAlign w:val="bottom"/>
          </w:tcPr>
          <w:p>
            <w:pPr>
              <w:spacing w:after="0"/>
              <w:rPr>
                <w:sz w:val="19"/>
                <w:szCs w:val="19"/>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(16,806)</w:t>
            </w:r>
          </w:p>
        </w:tc>
        <w:tc>
          <w:tcPr>
            <w:tcW w:w="8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profit—Chemical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12,095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(31,405)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Gross profit percentage—Chemical (1)</w:t>
            </w: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1440" w:type="dxa"/>
            <w:vAlign w:val="bottom"/>
            <w:gridSpan w:val="3"/>
          </w:tcPr>
          <w:p>
            <w:pPr>
              <w:jc w:val="right"/>
              <w:ind w:right="440"/>
              <w:spacing w:after="0"/>
              <w:rPr>
                <w:sz w:val="20"/>
                <w:szCs w:val="20"/>
                <w:color w:val="auto"/>
              </w:rPr>
            </w:pPr>
            <w:r>
              <w:rPr>
                <w:rFonts w:ascii="Arial" w:cs="Arial" w:eastAsia="Arial" w:hAnsi="Arial"/>
                <w:sz w:val="18"/>
                <w:szCs w:val="18"/>
                <w:color w:val="auto"/>
              </w:rPr>
              <w:t>(21.5)%</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income—Chemical</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4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(32,762)</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8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Sales—Chemical</w:t>
      </w:r>
    </w:p>
    <w:p>
      <w:pPr>
        <w:spacing w:after="0" w:line="96" w:lineRule="exact"/>
        <w:rPr>
          <w:rFonts w:ascii="Arial" w:cs="Arial" w:eastAsia="Arial" w:hAnsi="Arial"/>
          <w:sz w:val="18"/>
          <w:szCs w:val="18"/>
          <w:color w:val="auto"/>
        </w:rPr>
      </w:pPr>
    </w:p>
    <w:p>
      <w:pPr>
        <w:ind w:left="900" w:hanging="325"/>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Agricultural products sales decreased primarily due to the downtime at our Cherokee and Pryor Facilities and lower sales prices for agricultural grade AN.</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increased primarily as the result of our ability to pass through the higher feedstock cost of ammonia on certain of our contractual pricing agreements with customers, increased production and sales at the Baytown Facility, partially offset by the decreased production at our Cherokee Facility as the result of downtime.</w:t>
      </w:r>
    </w:p>
    <w:p>
      <w:pPr>
        <w:spacing w:after="0" w:line="59" w:lineRule="exact"/>
        <w:rPr>
          <w:rFonts w:ascii="Arial" w:cs="Arial" w:eastAsia="Arial" w:hAnsi="Arial"/>
          <w:sz w:val="18"/>
          <w:szCs w:val="18"/>
          <w:color w:val="auto"/>
        </w:rPr>
      </w:pPr>
    </w:p>
    <w:p>
      <w:pPr>
        <w:ind w:left="900" w:right="180" w:hanging="325"/>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Mining products sales decreased slightly primarily due to lower volumes as the result of the downtime at the Cherokee Facility offset by our ability to pass through to our customers certain costs pursuant to contractual pricing agreements.</w:t>
      </w:r>
    </w:p>
    <w:p>
      <w:pPr>
        <w:spacing w:after="0" w:line="50" w:lineRule="exact"/>
        <w:rPr>
          <w:rFonts w:ascii="Arial" w:cs="Arial" w:eastAsia="Arial" w:hAnsi="Arial"/>
          <w:sz w:val="18"/>
          <w:szCs w:val="18"/>
          <w:color w:val="auto"/>
        </w:rPr>
      </w:pPr>
    </w:p>
    <w:p>
      <w:pPr>
        <w:ind w:left="900" w:right="700" w:hanging="325"/>
        <w:spacing w:after="0" w:line="268" w:lineRule="auto"/>
        <w:tabs>
          <w:tab w:leader="none" w:pos="9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Natural gas sales relates to working interests in certain natural gas properties acquired in October 2012 by a subsidiary within our Chemical Business.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Profit—Chemical</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decrease in gross profit was primarily due to lower sales volume, unabsorbed fixed overhead costs and costs associated with purchased ammonia and other products to meet some of our customers’ needs, all of which are attributable to the downtime at our facilities, partially offset by approximately $3 million business interruption insurance recovery recognized during the second quarter of 2013 compared to the approximately $8 million cumulative impact from the downtime at our Pryor and El Dorado Facilities during the second quarter of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Income—Chemical</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decrease in operating income includes the decrease in gross profit as discussed above. Additionally, other net expenses increased $0.8 million primarily as a result of dismantle and demolition costs incurred at the El Dorado Facility. Also selling, general and administrative expenses increased $0.5 million primarily due to professional, consulting and other fees.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Climate Control Business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contains certain information about our net sales, gross profit and operating income in our Climate Control segment for the three months ended June 30,</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w w:val="80"/>
              </w:rPr>
              <w:t>Percentage</w:t>
            </w:r>
          </w:p>
        </w:tc>
        <w:tc>
          <w:tcPr>
            <w:tcW w:w="0" w:type="dxa"/>
            <w:vAlign w:val="bottom"/>
          </w:tcPr>
          <w:p>
            <w:pPr>
              <w:spacing w:after="0"/>
              <w:rPr>
                <w:sz w:val="1"/>
                <w:szCs w:val="1"/>
                <w:color w:val="auto"/>
              </w:rPr>
            </w:pPr>
          </w:p>
        </w:tc>
      </w:tr>
      <w:tr>
        <w:trPr>
          <w:trHeight w:val="159"/>
        </w:trPr>
        <w:tc>
          <w:tcPr>
            <w:tcW w:w="6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55"/>
              <w:spacing w:after="0" w:line="159"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75"/>
              <w:spacing w:after="0" w:line="159" w:lineRule="exact"/>
              <w:rPr>
                <w:sz w:val="20"/>
                <w:szCs w:val="20"/>
                <w:color w:val="auto"/>
              </w:rPr>
            </w:pPr>
            <w:r>
              <w:rPr>
                <w:rFonts w:ascii="Arial" w:cs="Arial" w:eastAsia="Arial" w:hAnsi="Arial"/>
                <w:sz w:val="14"/>
                <w:szCs w:val="14"/>
                <w:color w:val="auto"/>
              </w:rPr>
              <w:t>2012</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right"/>
              <w:ind w:right="660"/>
              <w:spacing w:after="0" w:line="159" w:lineRule="exact"/>
              <w:rPr>
                <w:sz w:val="20"/>
                <w:szCs w:val="20"/>
                <w:color w:val="auto"/>
              </w:rPr>
            </w:pPr>
            <w:r>
              <w:rPr>
                <w:rFonts w:ascii="Arial" w:cs="Arial" w:eastAsia="Arial" w:hAnsi="Arial"/>
                <w:sz w:val="14"/>
                <w:szCs w:val="14"/>
                <w:color w:val="auto"/>
                <w:w w:val="89"/>
              </w:rPr>
              <w:t>Change</w:t>
            </w:r>
          </w:p>
        </w:tc>
        <w:tc>
          <w:tcPr>
            <w:tcW w:w="80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97"/>
              </w:rPr>
              <w:t>Change</w:t>
            </w: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140"/>
              <w:spacing w:after="0" w:line="142" w:lineRule="exact"/>
              <w:rPr>
                <w:sz w:val="20"/>
                <w:szCs w:val="20"/>
                <w:color w:val="auto"/>
              </w:rPr>
            </w:pPr>
            <w:r>
              <w:rPr>
                <w:rFonts w:ascii="Arial" w:cs="Arial" w:eastAsia="Arial" w:hAnsi="Arial"/>
                <w:sz w:val="14"/>
                <w:szCs w:val="14"/>
                <w:color w:val="auto"/>
                <w:w w:val="90"/>
              </w:rPr>
              <w:t>(Dollars In Thousands)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Geothermal and water source heat pumps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47,209</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41,095</w:t>
            </w: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$ 6,114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Hydronic fan coils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18,315</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14,900</w:t>
            </w: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3,415</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Other HVAC products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11,833</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11,551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282</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Climate Control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77,357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67,546</w:t>
            </w: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$ 9,811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Gross profit—Climate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25,403</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20,989</w:t>
            </w:r>
          </w:p>
        </w:tc>
        <w:tc>
          <w:tcPr>
            <w:tcW w:w="128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4,414</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Gross profit percentage—Climate Control (1)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8"/>
                <w:szCs w:val="18"/>
                <w:color w:val="auto"/>
              </w:rPr>
              <w:t>Operating income—Climate Control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9,456</w:t>
            </w:r>
          </w:p>
        </w:tc>
        <w:tc>
          <w:tcPr>
            <w:tcW w:w="2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7,313</w:t>
            </w:r>
          </w:p>
        </w:tc>
        <w:tc>
          <w:tcPr>
            <w:tcW w:w="1280" w:type="dxa"/>
            <w:vAlign w:val="bottom"/>
            <w:gridSpan w:val="3"/>
          </w:tcPr>
          <w:p>
            <w:pPr>
              <w:jc w:val="right"/>
              <w:ind w:right="6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2,143</w:t>
            </w: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a percentage of net sales</w:t>
      </w:r>
    </w:p>
    <w:p>
      <w:pPr>
        <w:spacing w:after="0" w:line="24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Net Sales—Climate Control</w:t>
      </w:r>
    </w:p>
    <w:p>
      <w:pPr>
        <w:spacing w:after="0" w:line="96" w:lineRule="exact"/>
        <w:rPr>
          <w:rFonts w:ascii="Arial" w:cs="Arial" w:eastAsia="Arial" w:hAnsi="Arial"/>
          <w:sz w:val="18"/>
          <w:szCs w:val="18"/>
          <w:color w:val="auto"/>
        </w:rPr>
      </w:pPr>
    </w:p>
    <w:p>
      <w:pPr>
        <w:ind w:left="900" w:right="80" w:hanging="325"/>
        <w:spacing w:after="0" w:line="256"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sales of our geothermal and water source heat pump products increased primarily as a result of a 17% improvement in sales of our commercial/institutional products due to higher beginning backlog and stronger product orders during the second quarter of 2013. In addition, residential sales increased for the quarter by 8% primarily attributable to the timing of customer scheduled shipments and increasing backlog during the second quarter of 2012.</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sales of our hydronic fan coils increased primarily due to increases in the number of units sold.</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sales of our other HVAC products increased primarily as the result of increased sales of modular chillers, partially offset with a decline in sales of our large custom air handlers and our engineering and construction services.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Gross Profit—Climate Control</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increase in gross profit in our Climate Control Business was primarily the result of the higher sales volume as discussed above. Gross profit as a percentage of sales improved primarily due to an improvement in raw material costs (copper, steel and aluminum) and overhead absorption related to the higher sales volume.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Income—Climate Control</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income increased as the result of the increase in gross profit discussed above, partially offset by higher variable selling expenses of $0.7 million (including warranty of $0.2 million, commission for $0.2 million, and freight of $0.2 million), primarily as the result of higher sales volume, increased personnel costs of $0.5 million primarily related to the increase in the number of employees and healthcare benefits, and increased consulting fees of $0.5 million for services focused on future process and cost savings improvements.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provision for income taxes for the second quarter of 2013 was $4.4 million compared to an income tax provision of $15.5 million for the same period in 2012. The resulting effective tax rate was 37% for both second quarters of 2013 and 2012.</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 – Six Months Ended June 30, 2013</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Historically, our primary cash needs have been for operating expenses, working capital and capital expenditures. We have financed our cash requirements primarily through internally generated cash flow and various forms of financing. See additional discussions concerning cash flow relating to our Chemical and Climate Control Businesses under “Overview” and “Liquidity and Capital Resources” of this MD&amp;A.</w:t>
      </w:r>
    </w:p>
    <w:p>
      <w:pPr>
        <w:spacing w:after="0" w:line="14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first six months of 2013, net cash provided by continuing operating activities was $6.9 million primarily as the result of net income of $7.4 million plus an adjustment of $13.1 million for depreciation, depletion and amortization of PP&amp;E partially offset by an increase in accounts receivable of $13.7 million, of which $7.8 million relates to our Climate Control Business and $5.8 million relates to our Chemical Business primarily as the result of improved sales during the end of the second quarter of 2013 compared to the end of the fourth quarter of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 – Six Months Ended June 30, 2013</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used by continuing investing activities for the first six months of 2013 was $68.9 million that consisted primarily of $82.6 million for capital expenditures of which $78.7 million is for the benefit of our Chemical Business partially offset by $14.0 million of proceeds from property insurance recovery associated with PP&amp;E.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 – Six Months Ended June 30, 2013</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Net cash provided by continuing financing activities for the first six months of 2013 was $29.7 million that primarily consisted of net proceeds from long-term debt of $39.8 million, largely relating to Secured Promissory Note, partially offset by payments totaling $10.2 million on short-term financing and long-term debt.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our discussion on critical accounting policies and estimates in Item 7 of our 2012 Form 10-K. In addition, the preparation of financial statements requires management to make estimates and assumptions that affect the reported amount of assets, liabilities, revenues and expenses, and disclosures of contingencies. For the first half of 2013, we did not experience a material change in accounting estimates. However, it is reasonably possible that the estimates and assumptions utilized as of June 30, 2013 could change in the near term.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June 30, 2013, we have agreed to indemnify the sureties for payments, up to $9.5 million, made by them in respect of such bonds. All of these insurance bonds are expected to expire or be renewed in 2013.</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do not have any off-balance sheet arrangements as defined in Item 303(a)(4)(ii) of Regulation S-K under the Securities Exchange Act of 1934.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2012 Form 10-K, we had certain contractual obligations, with various maturity dates, related to the following:</w:t>
      </w:r>
    </w:p>
    <w:p>
      <w:pPr>
        <w:spacing w:after="0" w:line="51"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rate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nitric acid plants project,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wastewater pipeline project,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firm purchase commitments and futures/forward contracts,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contractual obligations – carbon credits,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accrued contractual manufacturing, profit sharing and other obligations,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discussed under “Issuance of Senior Secured Notes and Intended Use of Proceeds” and “Liquidity and Capital Resources”, on August 7, 2013, LSB sold $425 million aggregate principal amount of the Senior Secured Notes. The Senior Secured Notes bear interest at the rate of 7.75% per year and mature on August 1, 2019. Interest is to be paid semiannually, beginning on February 1, 2014. A portion of the net proceeds from the Senior Secured Notes was used to pay off the outstanding principal balance of $66.6 relating to the Secured Term Loan. Using a portion of the net proceeds from the Senior Secured Notes, we will proceed with the design, engineering, and construction of an ammonia plant at the El Dorado Facility. The estimated cost for this project ranges from $250 million to $300 million, of which $16.4 million has been incurred and capitalized at June 30, 2013. In addition, on February 1, 2013, Zena entered into a loan with a lender in the original principal amount of $35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General</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results of operations and operating cash flows are impacted by changes in market prices of copper, steel, anhydrous ammonia and natural gas, changes in market currency exchange rates, and changes in market interest rates.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Periodically, our Chemical and Climate Control Businesses enter into forward firm sales commitments for products to be delivered in future periods. As a result, we could be exposed to embedded losses should our product costs exceed the firm sales prices. At June 30, 2013, we had no embedded losses associated with sales commitments with firm sales prices relating to our Chemical Business.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9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Our Chemical Business buys substantial quantities of anhydrous ammonia and natural gas as feedstocks generally at market prices and our Climate Control Business buys substantial quantities of copper and steel for use in manufacturing processes. As part of our raw material price risk management, periodically, our Chemical Business enters into firm purchase commitments and/or futures/forward contracts for anhydrous ammonia and natural gas and our Climate Control Business enters into futures contracts for copper. Our Chemical Business has also acquired working interests in natural gas properties to serve as an economic hedge against potential higher natural gas prices for a portion of our future natural gas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At June 30, 2013, we had no outstanding contracts to purchase natural gas or futures/forward contracts for anhydrous ammonia, natural gas or copper.</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interest rate risk exposure results from our debt portfolio that is impacted by short-term rates, primarily variable-rate borrowings from commercial banks, and long-term rates, primarily fixed-rate notes, some of which prohibit prepayment or require a substantial premium payment with the prepayment.</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part of our interest rate risk management, we periodically purchase and/or enter into various interest rate contracts. At June 30, 2013, we have an interest rate swap, which sets a fixed three-month LIBOR of 3.23% on a declining balance (from $23.8 million to $18.8 million) for the period beginning April 2012 through March 2016. This contract is a free-standing derivative and is accounted for on a mark-to-market basis. At June 30, 2013, the fair value of these contracts (unrealized loss) was $1.4 million.</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of June 30, 2013 and December 31, 2012, the estimated fair value of our variable and fixed rate debt was not significantly different than the debt’s carrying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As of the end of the period covered by this report, we carried out an evaluation, with the participation of our Principal Executive Officer and Principal Financial Officer, of the effectiveness of the design and operation of our disclosure controls and procedures (as defined in Rule 13a-15 under the Securities Exchange Act of 1934). Based upon that evaluation, our Principal Executive Officer and our Principal Financial Officer have concluded that our disclosure controls and procedures were effective. There were no changes to our internal control over financial reporting during the quarter ended June 30, 2013 that have materially affected, or are reasonably likely to materially affect, our internal control over financial reporting.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Certain statements contained within this report may be deemed “Forward-Looking Statements” within the meaning of Section 27A of the Securities Act of 1933, as amended, and Section 21E of the Securities Exchange Act of 1934, as amended.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relate to, among other things:</w:t>
      </w:r>
    </w:p>
    <w:p>
      <w:pPr>
        <w:spacing w:after="0" w:line="35"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economy is poised for modest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shipping substantially all of the orders of our Climate Control Business’ backlog within the next twelve months;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Climate Control Business to experience moderate sales growth in the short-term;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primary cash needs will be to fund our operations, our general obligations and capital expenditures;</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funding our cash needs from the proceeds from the Senior Secured Notes, our working capital, internally generated cash flows, and insurance proceeds;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internally generated cash flows and liquidity could be affected by declines in sales volume, changes in the production efficiency of our facilities, and timing of insurance proceeds;</w:t>
      </w:r>
    </w:p>
    <w:p>
      <w:pPr>
        <w:spacing w:after="0" w:line="50" w:lineRule="exact"/>
        <w:rPr>
          <w:rFonts w:ascii="Arial" w:cs="Arial" w:eastAsia="Arial" w:hAnsi="Arial"/>
          <w:sz w:val="18"/>
          <w:szCs w:val="18"/>
          <w:color w:val="auto"/>
        </w:rPr>
      </w:pPr>
    </w:p>
    <w:p>
      <w:pPr>
        <w:ind w:left="900" w:right="9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working interests as an economic hedge against a potential future rise in natural gas prices for a portion of future natural gas production requirements;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capital costs and expenses in connection with environmental regulatory issues;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accounting estimates and assumptions utilized as of June 30, 2013 could change in the near term;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insurance bonds to expire or be renewed in 2013;</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committed and planned capital expenditures;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Turnarounds;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advanced manufacturing energy credits to be utilized to partially offset our federal tax liability;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relating to environmental and health laws and enforcement policies thereunder;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monthly negative effect on operating results and nitric acid production capacity at the El Dorado Facility until the first half of 2015;</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for the ammonia plant, the new nitric acid plant and concentrator;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to be incurred relating to our process safety management, reliability and mechanical integrity programs;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current outlook for 2013 for our nitrogen fertilizer products and its impact on our results;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nitric acid production to be even lower due to mining industry market conditions which will impact sales but should have minimal impact on gross profit;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how use the net proceeds from Senior Secured Notes will be invested and used;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Climate Control sales in the medium-term and long-term are expected to be primarily driven by growth in new construction, as well as the introduction of new products;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amount of insurance recoveries;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our insurance premiums and interest expenses;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fees relating to an engineering procurement and construction agreement;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current outlook for construction activity for the markets we serve in the commercial/institutional and single-family residential sectors; and</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disadvantage of producing products from purchased ammonia, compared to products directly produced from natural gas, will continue to be significant for the medium and long-term.</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w:t>
      </w:r>
    </w:p>
    <w:p>
      <w:pPr>
        <w:spacing w:after="0" w:line="59"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weather conditions,</w:t>
      </w:r>
    </w:p>
    <w:p>
      <w:pPr>
        <w:sectPr>
          <w:pgSz w:w="11900" w:h="16838" w:orient="portrait"/>
          <w:cols w:equalWidth="0" w:num="1">
            <w:col w:w="11340"/>
          </w:cols>
          <w:pgMar w:left="240" w:top="459" w:right="319" w:bottom="1440" w:gutter="0" w:footer="0" w:header="0"/>
        </w:sectPr>
      </w:pP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340"/>
          </w:cols>
          <w:pgMar w:left="240" w:top="459" w:right="3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changes in key personnel or our work force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effects of terrorist attacks and other acts of violence or war, and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Golsen Group’s effective control over the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our common stock or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to GAAP,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including, but not limited to, environmental regulations, the American Reinvestment and Recovery act, or interpretation of such,</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material changes in the cost of certain precious metals, anhydrous ammonia, natural gas, copper, steel and purchased components,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problems with product equipment,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production rates of our facilities,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obtain necessary raw materials and purchased components,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material changes in accounting estimates,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significant problems with our production equipment resulting in downtime,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fire, explosions or natural disasters,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negotiate a satisfactory final settlement with the EPA and/or DOJ,</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satisfactorily resolve claims with our insurance carriers,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or delays in obtaining necessary permits,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factors described in “Risk Factors” and “Special Note Regarding Forward-Looking Statements” contained in our 2012 Form 10-K.</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1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24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There are no material legal proceedings or material developments in any such legal proceedings pending against us not reported in Item 3 of our 2012 Form 10-K or in Item 1 of Part II of our March 31, 2013 Form 10-Q, except as follows:</w:t>
      </w:r>
    </w:p>
    <w:p>
      <w:pPr>
        <w:spacing w:after="0" w:line="51" w:lineRule="exact"/>
        <w:rPr>
          <w:sz w:val="20"/>
          <w:szCs w:val="20"/>
          <w:color w:val="auto"/>
        </w:rPr>
      </w:pPr>
    </w:p>
    <w:p>
      <w:pPr>
        <w:ind w:left="440" w:hanging="324"/>
        <w:spacing w:after="0" w:line="289"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a national enforcement initiative, the EPA has sent information requests pursuant to Section 114 of the Clean Air Act to most, if not all, of the operators of nitric acid plants in the U.S., including our El Dorado and Cherokee Facilities and the Baytown Facility. These information requests seek information about compliance with certain provisions of the Clean Air Act relating to construction and modification of facilities. If it is determined that the equipment in any of our nitric acid plants are not meeting the requirements of the Clean Air Act, our Chemical Business could be subject to penalties in an amount not to exceed $27,500 per day as to each plant not in compliance and be required to retrofit each facility with the “best available control technology.” During the later part of the second quarter of 2013, we negotiated an oral global agreement in principle with the EPA/DOJ to settle this matter. Settlement of this matter is subject to the parties entering into definitive settlement agreements and consent decrees and such being finalized after the notice and comment period. The proposed oral agreement in principle provides, among other things, the following:</w:t>
      </w:r>
    </w:p>
    <w:p>
      <w:pPr>
        <w:spacing w:after="0" w:line="37" w:lineRule="exact"/>
        <w:rPr>
          <w:rFonts w:ascii="Arial" w:cs="Arial" w:eastAsia="Arial" w:hAnsi="Arial"/>
          <w:sz w:val="16"/>
          <w:szCs w:val="16"/>
          <w:color w:val="auto"/>
        </w:rPr>
      </w:pPr>
    </w:p>
    <w:p>
      <w:pPr>
        <w:ind w:left="900" w:hanging="325"/>
        <w:spacing w:after="0" w:line="255"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of our Chemical Business’ nitric acid plants are to achieve certain emission rates within a certain time period for each plant. In order to achieve these emission rates, six of our Chemical Business’ eight nitric acid plants will require additional pollution control technology equipment to achieve the emission rates agreed upon. We have already completed necessary modifications at two of our Chemical Business’ existing nitric acid plants. The cost of the necessary pollution control equipment is estimated to range from $2.0 million to $3.0 million for each of the remaining six nitric acid plants;</w:t>
      </w:r>
    </w:p>
    <w:p>
      <w:pPr>
        <w:spacing w:after="0" w:line="61" w:lineRule="exact"/>
        <w:rPr>
          <w:rFonts w:ascii="Arial" w:cs="Arial" w:eastAsia="Arial" w:hAnsi="Arial"/>
          <w:sz w:val="18"/>
          <w:szCs w:val="18"/>
          <w:color w:val="auto"/>
        </w:rPr>
      </w:pPr>
    </w:p>
    <w:p>
      <w:pPr>
        <w:ind w:left="900" w:right="100" w:hanging="325"/>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our Chemical Business will provide a reforestation mitigation project that is unrelated to our emissions or activities and will not be located at one of our plant sites, which we estimate will cost approximately $150,000;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civil penalty to be paid by our Chemical Business in the amount of $725,000 (which includes the $100,000 civil penalty to the ODEQ discussed below).</w:t>
      </w:r>
    </w:p>
    <w:p>
      <w:pPr>
        <w:spacing w:after="0" w:line="50" w:lineRule="exact"/>
        <w:rPr>
          <w:rFonts w:ascii="Arial" w:cs="Arial" w:eastAsia="Arial" w:hAnsi="Arial"/>
          <w:sz w:val="18"/>
          <w:szCs w:val="18"/>
          <w:color w:val="auto"/>
        </w:rPr>
      </w:pPr>
    </w:p>
    <w:p>
      <w:pPr>
        <w:ind w:left="440" w:right="20" w:hanging="324"/>
        <w:spacing w:after="0" w:line="290"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ODEQ is conducting an investigation into whether the Pryor Facility was in compliance with certain rules and regulations of the ODEQ and the facility’s permit and whether the Pryor Facility’s reports of certain air emissions relating primarily to 2011 were intentionally reported incorrectly to the ODEQ. Pursuant to the request of the ODEQ, PCC has submitted information and a report to the ODEQ as to the reports filed by the Pryor Facility relating to the air emissions in question and has and continues to cooperate with the ODEQ in connection with this investigation. However, on February 20, 2013, investigators with the ODEQ obtained documents from the Pryor Facility in connection with this investigation pursuant to a search warrant and interviewed several employees at the facility. As of the date of this report, we are not aware of any recommendations made or to be made by the ODEQ with respect to formal legal action to be taken or recommended as a result of the ongoing investigation.</w:t>
      </w:r>
    </w:p>
    <w:p>
      <w:pPr>
        <w:spacing w:after="0" w:line="37" w:lineRule="exact"/>
        <w:rPr>
          <w:rFonts w:ascii="Arial" w:cs="Arial" w:eastAsia="Arial" w:hAnsi="Arial"/>
          <w:sz w:val="16"/>
          <w:szCs w:val="16"/>
          <w:color w:val="auto"/>
        </w:rPr>
      </w:pPr>
    </w:p>
    <w:p>
      <w:pPr>
        <w:ind w:left="440" w:right="100" w:hanging="324"/>
        <w:spacing w:after="0" w:line="287" w:lineRule="auto"/>
        <w:tabs>
          <w:tab w:leader="none" w:pos="4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By letter dated April 19, 2013, ODEQ, based on its inspection of our Pryor Facility conducted in December 2012, identified 14 issues of alleged non-compliance and concern from the evaluation relating to federal and state air quality regulations, some of which were the subject of the ongoing investigation by ODEQ described above. ODEQ requested that PCC submit to ODEQ certain additional records regarding air emissions, calculations demonstrating compliance with certain air emissions, and a compliance plan providing for remedial measures for certain alleged noncompliance matters. ODEQ has advised PCC that compliance with such requests may allow PCC to avoid receipt of a notice of violation. PCC engaged in discussions with ODEQ to resolve all matters identified in the April 19, 2013, letter. On July 2, 2013, a settlement was reached to resolve the allegations of the April 19, 2013 letter. Three of the violations were already resolved through the global settlement with the EPA/DOJ discussed above, and ODEQ agreed to resolve the remaining 11 violations for $100,000 (which amount is included in the $725,000 civil penalty discussed above), with the settlement being addressed as an addition to the global settlement discussed above. This settlement is unrelated to the pending ODEQ investigation at the Pryor Facility described above which remains ongoing to our knowledge.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40" w:right="20" w:hanging="324"/>
        <w:spacing w:after="0" w:line="286" w:lineRule="auto"/>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During April 2013, an explosion and fire occurred at the West Fertilizer Co. (“West Fertilizer”), located in West, Texas, causing death, bodily injury and substantial property damage. West Fertilizer is not owned or controlled by us, but West Fertilizer had been a customer of EDC, purchasing ammonium nitrate (“AN”) from EDC from time to time. LSB and EDC have received letters from counsel purporting to represent subrogated insurance carriers, personal injury claimants and persons who suffered property damages informing them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Other manufacturers of AN also supplied AN to West Fertilizer. The lawsuits that have been filed name West Fertilizer and another supplier of AN as defendants, but neither EDC nor LSB have been named in any of these suits. EDC does not believe that its product was in storage at West Fertilizer at the time of the explosion. Furthermore, EDC does not believe that its product would have been a contributing factor in the explosion even if it had been stored at West Fertilizer at the time of the explosion. EDC has retained a firm specializing in cause and origin investigations, with particular experience with fertilizer facilities, to assist EDC in its own investigation. LSB and EDC have placed its liability insurance carrier on notice of this matter, which policies have aggregate limits of general liability totaling $100 million, with a self-insured retention of $250,000.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changes from the risk factors as previous disclosed in Item 1A to Part I of our 2012 Form 10-K, except as follows.</w:t>
      </w:r>
    </w:p>
    <w:p>
      <w:pPr>
        <w:spacing w:after="0" w:line="24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Despite continuing investment to upgrade and replace equipment on an ongoing basis, the age of facilities of our Chemical Business increases the risk for unplanned downtime which may be significant.</w:t>
      </w:r>
    </w:p>
    <w:p>
      <w:pPr>
        <w:spacing w:after="0" w:line="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Chemical Business is comprised of operating units of various ages and levels of automated control. While we have continued to make significant annual capital improvements, potential age or control related issues have occurred in the past and may occur in the future, which could cause damage to the equipment and ancillary facilities. During the first half of 2013, certain of our chemical facilities continued to have planned and unplanned downtime as a result of certain maintenance and equipment issues. As an example, after the ammonia converter was replaced and the Pryor Facility resumed operations in April 2013, certain of its operations were out of production periodically during May, June and July 2013 for equipment repairs or maintenance. It is customary when performing major equipment replacements at a facility for there to be subsequent unplanned downtime in order to ensure the facility is running at appropriate levels and there is not undue stress due to chemical imbalances. As a result, we may experience additional downtime at the Pryor Facility in the future.</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equipment required for the manufacture of our chemical products is specialized, and the time for replacement of such equipment can be lengthy, resulting in extended downtime in the affected unit. Although we utilize various reliability and inspection programs and maintain a significant inventory of spare equipment, which are intended to mitigate the extent of production losses, unplanned outages may still occur. As a result, these planned and unplanned downtime events at our chemical facilities have in the past and could in the future adversely impact our operating results, liquidity and financial condition.</w:t>
      </w:r>
    </w:p>
    <w:p>
      <w:pPr>
        <w:spacing w:after="0" w:line="18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Current and future legislative or regulatory requirements impacting our Chemical Business may result in increased costs and decreased revenues, cash flows and liquidity or could have other negative impacts on our Chemical Business.</w:t>
      </w:r>
    </w:p>
    <w:p>
      <w:pPr>
        <w:spacing w:after="0" w:line="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businesses are subject to numerous safety and environmental laws and regulations, primarily relating to our Chemical Business. The manufacture and distribution of chemical products are activities which entail safety and environmental risks and impose obligations under safety and environmental laws and regulations, many of which provide for substantial fines and potential criminal sanctions for violations. Although we believe we have established processes to monitor, review and manage our businesses to comply with the numerous safety and environmental laws and regulations, our Chemical Business has in the past, and may in the future, be subject to fines, penalties and sanctions for violations and substantial expenditures for cleanup costs and other liabilities relating to the handling, manufacture, use, emission, discharge or disposal of effluents at or from the Chemical Business’ facilities. Further, a number of our Chemical Business’ facilities are dependent on environmental permits to operate, the loss or modification of which could have a material adverse effect on their operations and our financial condition.</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Changes to the production equipment at our chemical facilities as may be required in order to comply with safety and environmental regulations may require substantial capital expenditures.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Explosions and/or losses at other chemical facilities not owned by us could also result in new or additional legislation or regulatory changes, particularly relating to public safety, which could negatively impact our Chemical Business.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summary, new or changed laws and regulations could have an adverse effect on our operating results, liquidity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96"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xml:space="preserve"> The Company has included the following exhibits in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480" w:type="dxa"/>
            <w:vAlign w:val="bottom"/>
          </w:tcPr>
          <w:p>
            <w:pPr>
              <w:ind w:left="240"/>
              <w:spacing w:after="0"/>
              <w:rPr>
                <w:sz w:val="20"/>
                <w:szCs w:val="20"/>
                <w:color w:val="auto"/>
              </w:rPr>
            </w:pPr>
            <w:r>
              <w:rPr>
                <w:rFonts w:ascii="Arial" w:cs="Arial" w:eastAsia="Arial" w:hAnsi="Arial"/>
                <w:sz w:val="18"/>
                <w:szCs w:val="18"/>
                <w:color w:val="auto"/>
                <w:w w:val="91"/>
              </w:rPr>
              <w:t>Third Amendment to AN Supply Agreement, dated effective April 9, 2013, which the Company hereby incorporates by reference from Exhibit</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99.1 to the Company’s Form 8-K, filed May 1, 2013.</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480" w:type="dxa"/>
            <w:vAlign w:val="bottom"/>
          </w:tcPr>
          <w:p>
            <w:pPr>
              <w:ind w:left="240"/>
              <w:spacing w:after="0"/>
              <w:rPr>
                <w:sz w:val="20"/>
                <w:szCs w:val="20"/>
                <w:color w:val="auto"/>
              </w:rPr>
            </w:pPr>
            <w:r>
              <w:rPr>
                <w:rFonts w:ascii="Arial" w:cs="Arial" w:eastAsia="Arial" w:hAnsi="Arial"/>
                <w:sz w:val="18"/>
                <w:szCs w:val="18"/>
                <w:color w:val="auto"/>
                <w:w w:val="89"/>
              </w:rPr>
              <w:t>Eighth Amendment to the Amended and Restated Loan and Security Agreement, dated as of July 31, 2013, by and among LSB Industries, Inc.,</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0"/>
              </w:rPr>
              <w:t>Consolidated Industries Corp., ThermaClime, L.L.C. and each of its subsidiaries that are Signatories, the Lenders signatory thereto and Wells</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Fargo Capital Finance, Inc., as the arranger and administrative agent for the Lenders.</w:t>
            </w: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Third Amendment to Nitric Acid Supply, Operating and Maintenance Agreement between El Dorado Nitrogen, L.P., El Dorado Chemical</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2"/>
              </w:rPr>
              <w:t>Company and Bayer MaterialScience LLC, dated June 25, 2013. CERTAIN INFORMATION WITHIN THIS EXHIBIT HAS BEEN OMITTED</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4"/>
              </w:rPr>
              <w:t>AS IT IS SUBJECT OF A REQUEST FOR CONFIDENTIAL TREATMENT UNDER THE FREEDOM OF INFORMATION ACT AND THE</w:t>
            </w:r>
          </w:p>
        </w:tc>
      </w:tr>
      <w:tr>
        <w:trPr>
          <w:trHeight w:val="216"/>
        </w:trPr>
        <w:tc>
          <w:tcPr>
            <w:tcW w:w="920" w:type="dxa"/>
            <w:vAlign w:val="bottom"/>
          </w:tcPr>
          <w:p>
            <w:pPr>
              <w:spacing w:after="0"/>
              <w:rPr>
                <w:sz w:val="18"/>
                <w:szCs w:val="18"/>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w w:val="93"/>
              </w:rPr>
              <w:t>SECURITIES EXCHANGE ACT OF 1934, AS AMENDED. THE OMITTED INFORMATION HAS BEEN FILED SEPARATELY WITH THE</w:t>
            </w:r>
          </w:p>
        </w:tc>
      </w:tr>
      <w:tr>
        <w:trPr>
          <w:trHeight w:val="222"/>
        </w:trPr>
        <w:tc>
          <w:tcPr>
            <w:tcW w:w="920" w:type="dxa"/>
            <w:vAlign w:val="bottom"/>
          </w:tcPr>
          <w:p>
            <w:pPr>
              <w:spacing w:after="0"/>
              <w:rPr>
                <w:sz w:val="19"/>
                <w:szCs w:val="19"/>
                <w:color w:val="auto"/>
              </w:rPr>
            </w:pPr>
          </w:p>
        </w:tc>
        <w:tc>
          <w:tcPr>
            <w:tcW w:w="10480" w:type="dxa"/>
            <w:vAlign w:val="bottom"/>
          </w:tcPr>
          <w:p>
            <w:pPr>
              <w:ind w:left="240"/>
              <w:spacing w:after="0"/>
              <w:rPr>
                <w:sz w:val="20"/>
                <w:szCs w:val="20"/>
                <w:color w:val="auto"/>
              </w:rPr>
            </w:pPr>
            <w:r>
              <w:rPr>
                <w:rFonts w:ascii="Arial" w:cs="Arial" w:eastAsia="Arial" w:hAnsi="Arial"/>
                <w:sz w:val="18"/>
                <w:szCs w:val="18"/>
                <w:color w:val="auto"/>
              </w:rPr>
              <w:t>SECRETARY OF THE SECURITIES AND EXCHANGE COMMISSION FOR THE PURPOSES OF THIS REQUEST.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pursuant to Sarbanes-Oxley Act of 2002, Section 302.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Jack E. Golsen, Chief Executive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240"/>
              <w:spacing w:after="0"/>
              <w:rPr>
                <w:sz w:val="20"/>
                <w:szCs w:val="20"/>
                <w:color w:val="auto"/>
              </w:rPr>
            </w:pPr>
            <w:r>
              <w:rPr>
                <w:rFonts w:ascii="Arial" w:cs="Arial" w:eastAsia="Arial" w:hAnsi="Arial"/>
                <w:sz w:val="18"/>
                <w:szCs w:val="18"/>
                <w:color w:val="auto"/>
              </w:rPr>
              <w:t>Certification of Tony M. Shelby, Chief Financial Officer, furnished pursuant to Sarbanes-Oxley Act of 2002, Section 906.</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96" w:lineRule="exact"/>
        <w:rPr>
          <w:sz w:val="20"/>
          <w:szCs w:val="20"/>
          <w:color w:val="auto"/>
        </w:rPr>
      </w:pPr>
    </w:p>
    <w:p>
      <w:pPr>
        <w:jc w:val="both"/>
        <w:ind w:left="220" w:right="40" w:hanging="212"/>
        <w:spacing w:after="0" w:line="259"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9th day of August 2013.</w:t>
      </w:r>
    </w:p>
    <w:p>
      <w:pPr>
        <w:spacing w:after="0" w:line="17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LSB INDUSTRIES, INC.</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Executive Vice President of Finance and Chief Financial</w:t>
      </w:r>
    </w:p>
    <w:p>
      <w:pPr>
        <w:spacing w:after="0" w:line="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p>
      <w:pPr>
        <w:spacing w:after="0" w:line="232"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Harold L. Rieker, Jr.</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Vice President and Principal Accounting Officer</w:t>
      </w:r>
    </w:p>
    <w:p>
      <w:pPr>
        <w:spacing w:after="0" w:line="200" w:lineRule="exact"/>
        <w:rPr>
          <w:sz w:val="20"/>
          <w:szCs w:val="20"/>
          <w:color w:val="auto"/>
        </w:rPr>
      </w:pP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240" w:top="459" w:right="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AMENDED AND RESTATED LOAN AND SECURITY AGREEMENT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EIGHTH AMENDMENT, dated as of July 31, 2013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Amended and Restated Loan and Security Agreement dated as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November 5, 2007 (as amended prior to the date hereof, the “</w:t>
      </w:r>
      <w:r>
        <w:rPr>
          <w:rFonts w:ascii="Arial" w:cs="Arial" w:eastAsia="Arial" w:hAnsi="Arial"/>
          <w:sz w:val="16"/>
          <w:szCs w:val="16"/>
          <w:u w:val="single" w:color="auto"/>
          <w:color w:val="auto"/>
        </w:rPr>
        <w:t>Loan Agreement</w:t>
      </w:r>
      <w:r>
        <w:rPr>
          <w:rFonts w:ascii="Arial" w:cs="Arial" w:eastAsia="Arial" w:hAnsi="Arial"/>
          <w:sz w:val="16"/>
          <w:szCs w:val="16"/>
          <w:color w:val="auto"/>
        </w:rPr>
        <w:t>”), by and among (i) LSB INDUSTRIES, INC., a Delaware corporation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Consolidated Industries Corp., an Oklahoma corporation (“</w:t>
      </w:r>
      <w:r>
        <w:rPr>
          <w:rFonts w:ascii="Arial" w:cs="Arial" w:eastAsia="Arial" w:hAnsi="Arial"/>
          <w:sz w:val="16"/>
          <w:szCs w:val="16"/>
          <w:u w:val="single" w:color="auto"/>
          <w:color w:val="auto"/>
        </w:rPr>
        <w:t>Consolidated Industries</w:t>
      </w:r>
      <w:r>
        <w:rPr>
          <w:rFonts w:ascii="Arial" w:cs="Arial" w:eastAsia="Arial" w:hAnsi="Arial"/>
          <w:sz w:val="16"/>
          <w:szCs w:val="16"/>
          <w:color w:val="auto"/>
        </w:rPr>
        <w:t>” and together with the Parent, each a “</w:t>
      </w:r>
      <w:r>
        <w:rPr>
          <w:rFonts w:ascii="Arial" w:cs="Arial" w:eastAsia="Arial" w:hAnsi="Arial"/>
          <w:sz w:val="16"/>
          <w:szCs w:val="16"/>
          <w:u w:val="single" w:color="auto"/>
          <w:color w:val="auto"/>
        </w:rPr>
        <w:t>Guarantor</w:t>
      </w:r>
      <w:r>
        <w:rPr>
          <w:rFonts w:ascii="Arial" w:cs="Arial" w:eastAsia="Arial" w:hAnsi="Arial"/>
          <w:sz w:val="16"/>
          <w:szCs w:val="16"/>
          <w:color w:val="auto"/>
        </w:rPr>
        <w:t>” and collectively,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Guarantors</w:t>
      </w:r>
      <w:r>
        <w:rPr>
          <w:rFonts w:ascii="Arial" w:cs="Arial" w:eastAsia="Arial" w:hAnsi="Arial"/>
          <w:sz w:val="16"/>
          <w:szCs w:val="16"/>
          <w:color w:val="auto"/>
        </w:rPr>
        <w:t>”), THERMACLIME, L.L.C., an Oklahoma limited liability company (“</w:t>
      </w:r>
      <w:r>
        <w:rPr>
          <w:rFonts w:ascii="Arial" w:cs="Arial" w:eastAsia="Arial" w:hAnsi="Arial"/>
          <w:sz w:val="16"/>
          <w:szCs w:val="16"/>
          <w:u w:val="single" w:color="auto"/>
          <w:color w:val="auto"/>
        </w:rPr>
        <w:t>ThermaClime</w:t>
      </w:r>
      <w:r>
        <w:rPr>
          <w:rFonts w:ascii="Arial" w:cs="Arial" w:eastAsia="Arial" w:hAnsi="Arial"/>
          <w:sz w:val="16"/>
          <w:szCs w:val="16"/>
          <w:color w:val="auto"/>
        </w:rPr>
        <w:t>”), and each of the Subsidiaries of ThermaClime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signature pages thereof (such Subsidiaries, together with ThermaClime, each a “</w:t>
      </w:r>
      <w:r>
        <w:rPr>
          <w:rFonts w:ascii="Arial" w:cs="Arial" w:eastAsia="Arial" w:hAnsi="Arial"/>
          <w:sz w:val="16"/>
          <w:szCs w:val="16"/>
          <w:u w:val="single" w:color="auto"/>
          <w:color w:val="auto"/>
        </w:rPr>
        <w:t>Borrower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(ii) the lenders identified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signature pages thereof (each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and (iii) WELLS FARGO CAPITAL FINANCE, INC., a California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formerly known as Wells Fargo Foothill, Inc., as the arranger and administrative agent for the Lenders (the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65"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WHEREAS, the Borrowers, the Guarantors, the Lenders, and the Agent desire to enter into this Amendment so as to amend the Loan Agreement as set forth herein subject to the terms and conditions hereof.</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NOW THEREFORE, in consideration of the premises and other good and valuable consideration, the parties hereto hereby agree as follows:</w:t>
      </w:r>
    </w:p>
    <w:p>
      <w:pPr>
        <w:spacing w:after="0" w:line="113" w:lineRule="exact"/>
        <w:rPr>
          <w:sz w:val="20"/>
          <w:szCs w:val="20"/>
          <w:color w:val="auto"/>
        </w:rPr>
      </w:pPr>
    </w:p>
    <w:p>
      <w:pPr>
        <w:ind w:right="180" w:firstLine="921"/>
        <w:spacing w:after="0" w:line="268" w:lineRule="auto"/>
        <w:tabs>
          <w:tab w:leader="none" w:pos="108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All capitalized terms used in this Amendment (including, without limitation, in the recitals hereto) and not otherwise defined shall have their respective meanings set forth in the Loan Agreement.</w:t>
      </w:r>
    </w:p>
    <w:p>
      <w:pPr>
        <w:spacing w:after="0" w:line="50" w:lineRule="exact"/>
        <w:rPr>
          <w:rFonts w:ascii="Arial" w:cs="Arial" w:eastAsia="Arial" w:hAnsi="Arial"/>
          <w:sz w:val="18"/>
          <w:szCs w:val="18"/>
          <w:color w:val="auto"/>
        </w:rPr>
      </w:pPr>
    </w:p>
    <w:p>
      <w:pPr>
        <w:ind w:left="1100" w:hanging="179"/>
        <w:spacing w:after="0"/>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New Definitions</w:t>
      </w:r>
      <w:r>
        <w:rPr>
          <w:rFonts w:ascii="Arial" w:cs="Arial" w:eastAsia="Arial" w:hAnsi="Arial"/>
          <w:sz w:val="16"/>
          <w:szCs w:val="16"/>
          <w:color w:val="auto"/>
        </w:rPr>
        <w:t>. Section 1.1 of the Loan Agreement is hereby amended by adding the following defined terms in proper alphabetical order:</w:t>
      </w:r>
    </w:p>
    <w:p>
      <w:pPr>
        <w:spacing w:after="0" w:line="113" w:lineRule="exact"/>
        <w:rPr>
          <w:sz w:val="20"/>
          <w:szCs w:val="20"/>
          <w:color w:val="auto"/>
        </w:rPr>
      </w:pPr>
    </w:p>
    <w:p>
      <w:pPr>
        <w:ind w:left="460" w:right="740" w:firstLine="87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Covenant Condition</w:t>
      </w:r>
      <w:r>
        <w:rPr>
          <w:rFonts w:ascii="Arial" w:cs="Arial" w:eastAsia="Arial" w:hAnsi="Arial"/>
          <w:sz w:val="16"/>
          <w:szCs w:val="16"/>
          <w:color w:val="auto"/>
        </w:rPr>
        <w:t>” means, as of any date of determination, (i) no Default or Event of Default has occurred and is continuing and (ii) Excess Availability is equal to or greater than the greater of (x) 20% of the Maximum Revolver Commitment or (y) $20,000,000.”</w:t>
      </w:r>
    </w:p>
    <w:p>
      <w:pPr>
        <w:spacing w:after="0" w:line="4" w:lineRule="exact"/>
        <w:rPr>
          <w:sz w:val="20"/>
          <w:szCs w:val="20"/>
          <w:color w:val="auto"/>
        </w:rPr>
      </w:pPr>
    </w:p>
    <w:p>
      <w:pPr>
        <w:ind w:left="460" w:firstLine="87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Eighth Amendment</w:t>
      </w:r>
      <w:r>
        <w:rPr>
          <w:rFonts w:ascii="Arial" w:cs="Arial" w:eastAsia="Arial" w:hAnsi="Arial"/>
          <w:sz w:val="18"/>
          <w:szCs w:val="18"/>
          <w:color w:val="auto"/>
        </w:rPr>
        <w:t>” means that certain Eighth Amendment to the Amended and Restated Loan and Security Agreement, dated as of July 31, 2013 among the Parent, Consolidated Industries, the Borrowers, the Lenders and the Agent.”</w:t>
      </w:r>
    </w:p>
    <w:p>
      <w:pPr>
        <w:spacing w:after="0" w:line="51" w:lineRule="exact"/>
        <w:rPr>
          <w:sz w:val="20"/>
          <w:szCs w:val="20"/>
          <w:color w:val="auto"/>
        </w:rPr>
      </w:pPr>
    </w:p>
    <w:p>
      <w:pPr>
        <w:ind w:left="460" w:right="520" w:firstLine="87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Eighth Amendment Effective Date</w:t>
      </w:r>
      <w:r>
        <w:rPr>
          <w:rFonts w:ascii="Arial" w:cs="Arial" w:eastAsia="Arial" w:hAnsi="Arial"/>
          <w:sz w:val="18"/>
          <w:szCs w:val="18"/>
          <w:color w:val="auto"/>
        </w:rPr>
        <w:t>” means the date that all of the conditions set forth in Section 16 of the Eighth Amendment shall be satisfied (or waived by the Agent in its sole discretion).”</w:t>
      </w:r>
    </w:p>
    <w:p>
      <w:pPr>
        <w:spacing w:after="0" w:line="51" w:lineRule="exact"/>
        <w:rPr>
          <w:sz w:val="20"/>
          <w:szCs w:val="20"/>
          <w:color w:val="auto"/>
        </w:rPr>
      </w:pPr>
    </w:p>
    <w:p>
      <w:pPr>
        <w:ind w:left="460" w:right="580" w:firstLine="87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LSB Notes</w:t>
      </w:r>
      <w:r>
        <w:rPr>
          <w:rFonts w:ascii="Arial" w:cs="Arial" w:eastAsia="Arial" w:hAnsi="Arial"/>
          <w:sz w:val="18"/>
          <w:szCs w:val="18"/>
          <w:color w:val="auto"/>
        </w:rPr>
        <w:t>” means the general senior secured notes of Parent maturing in 2019 in the aggregate principal amount of $400,000,000 to $450,000,000.”</w:t>
      </w:r>
    </w:p>
    <w:p>
      <w:pPr>
        <w:sectPr>
          <w:pgSz w:w="11900" w:h="16838" w:orient="portrait"/>
          <w:cols w:equalWidth="0" w:num="1">
            <w:col w:w="11420"/>
          </w:cols>
          <w:pgMar w:left="240" w:top="125" w:right="239" w:bottom="1440" w:gutter="0" w:footer="0" w:header="0"/>
        </w:sectPr>
      </w:pPr>
    </w:p>
    <w:bookmarkStart w:id="59" w:name="page60"/>
    <w:bookmarkEnd w:id="59"/>
    <w:p>
      <w:pPr>
        <w:ind w:right="160" w:firstLine="87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Third Party Hedge Agreement</w:t>
      </w:r>
      <w:r>
        <w:rPr>
          <w:rFonts w:ascii="Arial" w:cs="Arial" w:eastAsia="Arial" w:hAnsi="Arial"/>
          <w:sz w:val="16"/>
          <w:szCs w:val="16"/>
          <w:color w:val="auto"/>
        </w:rPr>
        <w:t>” means any and all transactions, agreements, or documents now existing or hereafter entered into between any Borrower or its Subsidiaries and any party other than a Bank Product Provider, which provide for an interest rate, credit, commodity or equity swap, cap, floor, collar, forward foreign exchange transaction, currency swap, cross currency rate swap, currency option, or any combination of, or option with respect to, these or similar transactions, for the purpose of hedging that Borrower’s or its Subsidiaries’ exposure to fluctuations in interest or exchange rates, loan, credit exchange, security or currency valuations or commodity prices.”</w:t>
      </w:r>
    </w:p>
    <w:p>
      <w:pPr>
        <w:spacing w:after="0" w:line="35" w:lineRule="exact"/>
        <w:rPr>
          <w:sz w:val="20"/>
          <w:szCs w:val="20"/>
          <w:color w:val="auto"/>
        </w:rPr>
      </w:pPr>
    </w:p>
    <w:p>
      <w:pPr>
        <w:ind w:right="320" w:firstLine="87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Hedge Obligations</w:t>
      </w:r>
      <w:r>
        <w:rPr>
          <w:rFonts w:ascii="Arial" w:cs="Arial" w:eastAsia="Arial" w:hAnsi="Arial"/>
          <w:sz w:val="18"/>
          <w:szCs w:val="18"/>
          <w:color w:val="auto"/>
        </w:rPr>
        <w:t>” means any and all obligations or liabilities, whether absolute or contingent, due or to become due, now existing or hereafter arising, of each Borrower and its Subsidiaries arising under, owing pursuant to, or existing in respect of Third Party Hedge Agreements.”</w:t>
      </w:r>
    </w:p>
    <w:p>
      <w:pPr>
        <w:spacing w:after="0" w:line="59" w:lineRule="exact"/>
        <w:rPr>
          <w:sz w:val="20"/>
          <w:szCs w:val="20"/>
          <w:color w:val="auto"/>
        </w:rPr>
      </w:pPr>
    </w:p>
    <w:p>
      <w:pPr>
        <w:ind w:left="-460" w:right="340" w:firstLine="921"/>
        <w:spacing w:after="0" w:line="268" w:lineRule="auto"/>
        <w:tabs>
          <w:tab w:leader="none" w:pos="62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Maximum Revolver Amount</w:t>
      </w:r>
      <w:r>
        <w:rPr>
          <w:rFonts w:ascii="Arial" w:cs="Arial" w:eastAsia="Arial" w:hAnsi="Arial"/>
          <w:sz w:val="18"/>
          <w:szCs w:val="18"/>
          <w:color w:val="auto"/>
        </w:rPr>
        <w:t>. The definition of “Maximum Revolver Amount” in Section 1.1 of the Loan Agreement is hereby amended and restated in its entirety to read as follows: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Maximum Revolver Amount</w:t>
      </w:r>
      <w:r>
        <w:rPr>
          <w:rFonts w:ascii="Arial" w:cs="Arial" w:eastAsia="Arial" w:hAnsi="Arial"/>
          <w:sz w:val="16"/>
          <w:szCs w:val="16"/>
          <w:color w:val="auto"/>
        </w:rPr>
        <w:t>” means $100,000,000 minus the aggregate principal amount of the Term Loan then outstanding.”</w:t>
      </w:r>
    </w:p>
    <w:p>
      <w:pPr>
        <w:spacing w:after="0" w:line="113" w:lineRule="exact"/>
        <w:rPr>
          <w:sz w:val="20"/>
          <w:szCs w:val="20"/>
          <w:color w:val="auto"/>
        </w:rPr>
      </w:pPr>
    </w:p>
    <w:p>
      <w:pPr>
        <w:ind w:left="-460" w:right="280" w:firstLine="921"/>
        <w:spacing w:after="0" w:line="268" w:lineRule="auto"/>
        <w:tabs>
          <w:tab w:leader="none" w:pos="6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Permitted Investments</w:t>
      </w:r>
      <w:r>
        <w:rPr>
          <w:rFonts w:ascii="Arial" w:cs="Arial" w:eastAsia="Arial" w:hAnsi="Arial"/>
          <w:sz w:val="18"/>
          <w:szCs w:val="18"/>
          <w:color w:val="auto"/>
        </w:rPr>
        <w:t>. The definition of “Permitted Investments” in Section 1.1 of the Loan Agreement is hereby amended and restated in its entirety to read as follows:</w:t>
      </w:r>
    </w:p>
    <w:p>
      <w:pPr>
        <w:spacing w:after="0" w:line="51" w:lineRule="exact"/>
        <w:rPr>
          <w:sz w:val="20"/>
          <w:szCs w:val="20"/>
          <w:color w:val="auto"/>
        </w:rPr>
      </w:pPr>
    </w:p>
    <w:p>
      <w:pPr>
        <w:ind w:right="80" w:firstLine="876"/>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Investments</w:t>
      </w:r>
      <w:r>
        <w:rPr>
          <w:rFonts w:ascii="Arial" w:cs="Arial" w:eastAsia="Arial" w:hAnsi="Arial"/>
          <w:sz w:val="15"/>
          <w:szCs w:val="15"/>
          <w:color w:val="auto"/>
        </w:rPr>
        <w:t xml:space="preserve">” means (a) Investments in Cash Equivalents, (b) Investments in negotiable instruments for collection, (c) advances made in connection with purchases of goods or services in the ordinary course of business, (d) Investments by any Borrower or Guarantor in any other Borrower or any Guarantor (other than Parent), (e) guarantees by a Borrower or Guarantor of Indebtedness permitted under </w:t>
      </w:r>
      <w:r>
        <w:rPr>
          <w:rFonts w:ascii="Arial" w:cs="Arial" w:eastAsia="Arial" w:hAnsi="Arial"/>
          <w:sz w:val="15"/>
          <w:szCs w:val="15"/>
          <w:u w:val="single" w:color="auto"/>
          <w:color w:val="auto"/>
        </w:rPr>
        <w:t>Section 7.1(e)</w:t>
      </w:r>
      <w:r>
        <w:rPr>
          <w:rFonts w:ascii="Arial" w:cs="Arial" w:eastAsia="Arial" w:hAnsi="Arial"/>
          <w:sz w:val="15"/>
          <w:szCs w:val="15"/>
          <w:color w:val="auto"/>
        </w:rPr>
        <w:t xml:space="preserve">, (f) guarantees permitted under </w:t>
      </w:r>
      <w:r>
        <w:rPr>
          <w:rFonts w:ascii="Arial" w:cs="Arial" w:eastAsia="Arial" w:hAnsi="Arial"/>
          <w:sz w:val="15"/>
          <w:szCs w:val="15"/>
          <w:u w:val="single" w:color="auto"/>
          <w:color w:val="auto"/>
        </w:rPr>
        <w:t>Section 7.6, (g)</w:t>
      </w:r>
      <w:r>
        <w:rPr>
          <w:rFonts w:ascii="Arial" w:cs="Arial" w:eastAsia="Arial" w:hAnsi="Arial"/>
          <w:sz w:val="15"/>
          <w:szCs w:val="15"/>
          <w:color w:val="auto"/>
        </w:rPr>
        <w:t xml:space="preserve"> other Investments set forth on </w:t>
      </w:r>
      <w:r>
        <w:rPr>
          <w:rFonts w:ascii="Arial" w:cs="Arial" w:eastAsia="Arial" w:hAnsi="Arial"/>
          <w:sz w:val="15"/>
          <w:szCs w:val="15"/>
          <w:u w:val="single" w:color="auto"/>
          <w:color w:val="auto"/>
        </w:rPr>
        <w:t>Schedule 7.13</w:t>
      </w:r>
      <w:r>
        <w:rPr>
          <w:rFonts w:ascii="Arial" w:cs="Arial" w:eastAsia="Arial" w:hAnsi="Arial"/>
          <w:sz w:val="15"/>
          <w:szCs w:val="15"/>
          <w:color w:val="auto"/>
        </w:rPr>
        <w:t xml:space="preserve"> hereto, (h) Investments made by any Borrower or Guarantor (other than the Parent) in the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with respect to amounts in excess of $5,000,000 at any time outstanding, both immediately before and after giving effect to the making of any such excess Investment, the Covenant Condition has been satisfied, (i) Investments in any newly created Subsidiary by means of purchase or other acquisition of the equity interests of such Subsidiary including by way of merger,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there is no investment of Collateral,</w:t>
      </w:r>
    </w:p>
    <w:p>
      <w:pPr>
        <w:spacing w:after="0" w:line="5" w:lineRule="exact"/>
        <w:rPr>
          <w:sz w:val="20"/>
          <w:szCs w:val="20"/>
          <w:color w:val="auto"/>
        </w:rPr>
      </w:pPr>
    </w:p>
    <w:p>
      <w:pPr>
        <w:ind w:firstLine="4"/>
        <w:spacing w:after="0" w:line="253" w:lineRule="auto"/>
        <w:tabs>
          <w:tab w:leader="none" w:pos="2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prior to ThermaClime’s distribution or dividend of the Special Distribution Amount to Parent pursuant to </w:t>
      </w:r>
      <w:r>
        <w:rPr>
          <w:rFonts w:ascii="Arial" w:cs="Arial" w:eastAsia="Arial" w:hAnsi="Arial"/>
          <w:sz w:val="18"/>
          <w:szCs w:val="18"/>
          <w:u w:val="single" w:color="auto"/>
          <w:color w:val="auto"/>
        </w:rPr>
        <w:t>Section 7.11(a)(ii)</w:t>
      </w:r>
      <w:r>
        <w:rPr>
          <w:rFonts w:ascii="Arial" w:cs="Arial" w:eastAsia="Arial" w:hAnsi="Arial"/>
          <w:sz w:val="18"/>
          <w:szCs w:val="18"/>
          <w:color w:val="auto"/>
        </w:rPr>
        <w:t xml:space="preserve">, the Borrowers may make Investments in an aggregate amount not exceeding the Special Distribution Amount in the Special Permitted Investments, (k) Investments in joint ventures in an aggregate amount not exceeding $35,000,000, and (l) additional Investments in an aggregate amount not exceeding $50,000,000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both immediately before and after giving effect to the making of any Investments pursuant to clause (k) or (l), the Covenant Condition has been satisfied.”</w:t>
      </w:r>
    </w:p>
    <w:p>
      <w:pPr>
        <w:sectPr>
          <w:pgSz w:w="11900" w:h="16838" w:orient="portrait"/>
          <w:cols w:equalWidth="0" w:num="1">
            <w:col w:w="10880"/>
          </w:cols>
          <w:pgMar w:left="700" w:top="280" w:right="319" w:bottom="1440" w:gutter="0" w:footer="0" w:header="0"/>
        </w:sectPr>
      </w:pPr>
    </w:p>
    <w:bookmarkStart w:id="60" w:name="page61"/>
    <w:bookmarkEnd w:id="60"/>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 </w:t>
      </w:r>
      <w:r>
        <w:rPr>
          <w:rFonts w:ascii="Arial" w:cs="Arial" w:eastAsia="Arial" w:hAnsi="Arial"/>
          <w:sz w:val="16"/>
          <w:szCs w:val="16"/>
          <w:u w:val="single" w:color="auto"/>
          <w:color w:val="auto"/>
        </w:rPr>
        <w:t>Permitted Liens</w:t>
      </w:r>
      <w:r>
        <w:rPr>
          <w:rFonts w:ascii="Arial" w:cs="Arial" w:eastAsia="Arial" w:hAnsi="Arial"/>
          <w:sz w:val="16"/>
          <w:szCs w:val="16"/>
          <w:color w:val="auto"/>
        </w:rPr>
        <w:t>. The definition of “Permitted Liens” in Section 1.1 of the Loan Agreement is hereby amended and restated in its entirety to read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84" w:lineRule="exact"/>
        <w:rPr>
          <w:sz w:val="20"/>
          <w:szCs w:val="20"/>
          <w:color w:val="auto"/>
        </w:rPr>
      </w:pPr>
    </w:p>
    <w:p>
      <w:pPr>
        <w:ind w:left="460" w:firstLine="876"/>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(a) Liens held by Agent for the benefit of Agent and the Lenders, (b) Liens for unpaid taxes that either (i) are not yet delinquent, or (ii) do not constitute an Event of Default hereunder and are the subject of Permitted Protests, (c) Liens set forth on </w:t>
      </w:r>
      <w:r>
        <w:rPr>
          <w:rFonts w:ascii="Arial" w:cs="Arial" w:eastAsia="Arial" w:hAnsi="Arial"/>
          <w:sz w:val="15"/>
          <w:szCs w:val="15"/>
          <w:u w:val="single" w:color="auto"/>
          <w:color w:val="auto"/>
        </w:rPr>
        <w:t>Schedule P-1</w:t>
      </w:r>
      <w:r>
        <w:rPr>
          <w:rFonts w:ascii="Arial" w:cs="Arial" w:eastAsia="Arial" w:hAnsi="Arial"/>
          <w:sz w:val="15"/>
          <w:szCs w:val="15"/>
          <w:color w:val="auto"/>
        </w:rPr>
        <w:t>, (d) the interests of lessors under operating leases, (e) purchase money Liens or the interests of lessors under Capital Leases to the extent that such Liens or interests secure Permitted Purchase Money Indebtedness and so long as such Lien attaches only to the asset purchased or acquired and the proceeds thereof,</w:t>
      </w:r>
    </w:p>
    <w:p>
      <w:pPr>
        <w:spacing w:after="0" w:line="3" w:lineRule="exact"/>
        <w:rPr>
          <w:sz w:val="20"/>
          <w:szCs w:val="20"/>
          <w:color w:val="auto"/>
        </w:rPr>
      </w:pPr>
    </w:p>
    <w:p>
      <w:pPr>
        <w:ind w:left="460" w:right="20" w:firstLine="4"/>
        <w:spacing w:after="0" w:line="284" w:lineRule="auto"/>
        <w:tabs>
          <w:tab w:leader="none" w:pos="6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Liens arising by operation of law in favor of warehousemen, landlords, carriers, mechanics, materialmen, laborers, or suppliers, incurred in the ordinary course of Borrowers’ business and not in connection with the borrowing of money, and which Liens either (i) are for sums not yet delinquent, or (ii) are the subject of Permitted Protests, (g) Liens arising from deposits made in connection with obtaining worker’s compensation or other unemployment insurance, social security and other similar laws (h) Liens or deposits to secure performance of bids, tenders, or leases incurred in the ordinary course of Borrowers’ business and not in connection with the borrowing of money, (i) Liens granted as security for surety, payment, performance or appeal bonds in connection with obtaining such bonds in the ordinary course of Borrowers’ business, (j) Liens resulting from any judgment or award that is not an Event of Default hereunder, (k) with respect to any Real Property, easements, exceptions, reservations, encroachments, restrictions, rights of way, zoning restrictions and other similar title policy exceptions or encumbrances that do not materially interfere with or impair the use or operation thereof by Borrowers; (l) Liens on the BofA Collateral in favor of BofA (as collateral agent) on the Restatement Effective Date securing the repayment of the BofA Loans and all other obligations under the BofA Loan Agreement; (m) Liens of the Orica Account Purchaser on the Specified Orica Accounts sold by a Borrower to the Orica Account Purchaser in accordance with Section 7.4(c) hereof; (n) Liens in favor of BofA on the Specified BofA Accounts, which Specified BofA Accounts shall only contain proceeds of insurance in connection with the Specified Casualty; (o) Liens in favor of Bank of America, N.A. and Merrill, Lynch, Pierce, Fenner &amp; Smith Incorporated upon deposits of cash in the Specified BofA Accounts to the extent incurred in connection with the maintenance of such deposit accounts in the ordinary course of business; (p) Liens arising in connection with Third Party Hedging Obligations; (q) Liens securing the LSB Notes so long as (i) to the extent any such Liens are on assets not currently constituting Collateral, the Agent is granted a second priority Lien on such assets and (ii) such Liens are subject to an intercreditor agreement in form and substance satisfactory to the Agent, and (r) other Liens securing obligations or Indebtedness not in excess of $50,000,000 in the aggregate at any one time outstanding.”</w:t>
      </w:r>
    </w:p>
    <w:p>
      <w:pPr>
        <w:spacing w:after="0" w:line="46" w:lineRule="exact"/>
        <w:rPr>
          <w:rFonts w:ascii="Arial" w:cs="Arial" w:eastAsia="Arial" w:hAnsi="Arial"/>
          <w:sz w:val="16"/>
          <w:szCs w:val="16"/>
          <w:color w:val="auto"/>
        </w:rPr>
      </w:pPr>
    </w:p>
    <w:p>
      <w:pPr>
        <w:ind w:right="260" w:firstLine="921"/>
        <w:spacing w:after="0" w:line="268" w:lineRule="auto"/>
        <w:tabs>
          <w:tab w:leader="none" w:pos="1088"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Permitted Purchase Money Indebtedness</w:t>
      </w:r>
      <w:r>
        <w:rPr>
          <w:rFonts w:ascii="Arial" w:cs="Arial" w:eastAsia="Arial" w:hAnsi="Arial"/>
          <w:sz w:val="18"/>
          <w:szCs w:val="18"/>
          <w:color w:val="auto"/>
        </w:rPr>
        <w:t>. The definition of “Permitted Purchase Money Indebtedness” in Section 1.1 of the Loan Agreement is hereby amended and restated in its entirety to read as follows:</w:t>
      </w:r>
    </w:p>
    <w:p>
      <w:pPr>
        <w:spacing w:after="0" w:line="51"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““Permitted Purchase Money Indebtedness” means, as of any date of determination, Purchase Money Indebtedness not to exceed the greater of</w:t>
      </w:r>
    </w:p>
    <w:p>
      <w:pPr>
        <w:spacing w:after="0" w:line="50" w:lineRule="exact"/>
        <w:rPr>
          <w:sz w:val="20"/>
          <w:szCs w:val="20"/>
          <w:color w:val="auto"/>
        </w:rPr>
      </w:pPr>
    </w:p>
    <w:p>
      <w:pPr>
        <w:ind w:left="460" w:right="100" w:firstLine="4"/>
        <w:spacing w:after="0" w:line="261" w:lineRule="auto"/>
        <w:tabs>
          <w:tab w:leader="none" w:pos="709" w:val="left"/>
        </w:tabs>
        <w:numPr>
          <w:ilvl w:val="0"/>
          <w:numId w:val="44"/>
        </w:numPr>
        <w:rPr>
          <w:rFonts w:ascii="Arial" w:cs="Arial" w:eastAsia="Arial" w:hAnsi="Arial"/>
          <w:sz w:val="18"/>
          <w:szCs w:val="18"/>
          <w:color w:val="auto"/>
        </w:rPr>
      </w:pPr>
      <w:r>
        <w:rPr>
          <w:rFonts w:ascii="Arial" w:cs="Arial" w:eastAsia="Arial" w:hAnsi="Arial"/>
          <w:sz w:val="18"/>
          <w:szCs w:val="18"/>
          <w:color w:val="auto"/>
        </w:rPr>
        <w:t>$35,000,000 and (y) 5.0% of the total consolidated assets of the Borrowers and their Subsidiaries as reflected on their balance sheet in accordance with GAAP.”</w:t>
      </w:r>
    </w:p>
    <w:p>
      <w:pPr>
        <w:sectPr>
          <w:pgSz w:w="11900" w:h="16838" w:orient="portrait"/>
          <w:cols w:equalWidth="0" w:num="1">
            <w:col w:w="11420"/>
          </w:cols>
          <w:pgMar w:left="240" w:top="280"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7. </w:t>
      </w:r>
      <w:r>
        <w:rPr>
          <w:rFonts w:ascii="Arial" w:cs="Arial" w:eastAsia="Arial" w:hAnsi="Arial"/>
          <w:sz w:val="18"/>
          <w:szCs w:val="18"/>
          <w:u w:val="single" w:color="auto"/>
          <w:color w:val="auto"/>
        </w:rPr>
        <w:t>Section 2.1(a)</w:t>
      </w:r>
      <w:r>
        <w:rPr>
          <w:rFonts w:ascii="Arial" w:cs="Arial" w:eastAsia="Arial" w:hAnsi="Arial"/>
          <w:sz w:val="18"/>
          <w:szCs w:val="18"/>
          <w:color w:val="auto"/>
        </w:rPr>
        <w:t>. Section 2.1(a) of the Loan Agreement is hereby amended and restated in its entirety to read as follows:</w:t>
      </w:r>
    </w:p>
    <w:p>
      <w:pPr>
        <w:spacing w:after="0" w:line="90" w:lineRule="exact"/>
        <w:rPr>
          <w:sz w:val="20"/>
          <w:szCs w:val="20"/>
          <w:color w:val="auto"/>
        </w:rPr>
      </w:pPr>
    </w:p>
    <w:p>
      <w:pPr>
        <w:jc w:val="both"/>
        <w:ind w:right="120" w:firstLine="420"/>
        <w:spacing w:after="0" w:line="284" w:lineRule="auto"/>
        <w:rPr>
          <w:sz w:val="20"/>
          <w:szCs w:val="20"/>
          <w:color w:val="auto"/>
        </w:rPr>
      </w:pPr>
      <w:r>
        <w:rPr>
          <w:rFonts w:ascii="Arial" w:cs="Arial" w:eastAsia="Arial" w:hAnsi="Arial"/>
          <w:sz w:val="16"/>
          <w:szCs w:val="16"/>
          <w:color w:val="auto"/>
        </w:rPr>
        <w:t>“(a) Subject to the terms and conditions of this Agreement, and during the term of this Agreement, each Lender with a Revolver Commitment agrees (severally, not jointly or jointly and severally) to make advances (“</w:t>
      </w:r>
      <w:r>
        <w:rPr>
          <w:rFonts w:ascii="Arial" w:cs="Arial" w:eastAsia="Arial" w:hAnsi="Arial"/>
          <w:sz w:val="16"/>
          <w:szCs w:val="16"/>
          <w:u w:val="single" w:color="auto"/>
          <w:color w:val="auto"/>
        </w:rPr>
        <w:t>Advances</w:t>
      </w:r>
      <w:r>
        <w:rPr>
          <w:rFonts w:ascii="Arial" w:cs="Arial" w:eastAsia="Arial" w:hAnsi="Arial"/>
          <w:sz w:val="16"/>
          <w:szCs w:val="16"/>
          <w:color w:val="auto"/>
        </w:rPr>
        <w:t>”) to Borrowers in an amount at any one time outstanding not to exceed such Lender’s Pro Rata Share of an amount equal to the lesser of (i) the Maximum Revolver Amount less the Letter of Credit Usage or</w:t>
      </w:r>
    </w:p>
    <w:p>
      <w:pPr>
        <w:spacing w:after="0" w:line="1" w:lineRule="exact"/>
        <w:rPr>
          <w:sz w:val="20"/>
          <w:szCs w:val="20"/>
          <w:color w:val="auto"/>
        </w:rPr>
      </w:pPr>
    </w:p>
    <w:p>
      <w:pPr>
        <w:ind w:right="260" w:firstLine="1"/>
        <w:spacing w:after="0" w:line="261" w:lineRule="auto"/>
        <w:tabs>
          <w:tab w:leader="none" w:pos="25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Borrowing Base less the Letter of Credit Usage. For purposes of this Agreement, “Borrowing Base,” as of any date of determination, shall mean the result of the following for all Borrowers:</w:t>
      </w:r>
    </w:p>
    <w:p>
      <w:pPr>
        <w:spacing w:after="0" w:line="56" w:lineRule="exact"/>
        <w:rPr>
          <w:rFonts w:ascii="Arial" w:cs="Arial" w:eastAsia="Arial" w:hAnsi="Arial"/>
          <w:sz w:val="18"/>
          <w:szCs w:val="18"/>
          <w:color w:val="auto"/>
        </w:rPr>
      </w:pPr>
    </w:p>
    <w:p>
      <w:pPr>
        <w:ind w:left="1120" w:hanging="27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lesser of</w:t>
      </w:r>
    </w:p>
    <w:p>
      <w:pPr>
        <w:spacing w:after="0" w:line="90" w:lineRule="exact"/>
        <w:rPr>
          <w:rFonts w:ascii="Arial" w:cs="Arial" w:eastAsia="Arial" w:hAnsi="Arial"/>
          <w:sz w:val="18"/>
          <w:szCs w:val="18"/>
          <w:color w:val="auto"/>
        </w:rPr>
      </w:pPr>
    </w:p>
    <w:p>
      <w:pPr>
        <w:ind w:left="2100" w:hanging="255"/>
        <w:spacing w:after="0"/>
        <w:tabs>
          <w:tab w:leader="none" w:pos="21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85% of the amount of Eligible Accounts of such Borrowers, less the amount, if any, of the sum of the Dilution Reserve,</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left="2100" w:hanging="255"/>
        <w:spacing w:after="0"/>
        <w:tabs>
          <w:tab w:leader="none" w:pos="21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an amount equal to such Borrowers’ Collections with respect to Accounts for the immediately preceding 75 day period,</w:t>
      </w:r>
    </w:p>
    <w:p>
      <w:pPr>
        <w:spacing w:after="0" w:line="3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8"/>
          <w:szCs w:val="18"/>
          <w:color w:val="auto"/>
        </w:rPr>
        <w:t>plus</w:t>
      </w:r>
    </w:p>
    <w:p>
      <w:pPr>
        <w:spacing w:after="0" w:line="83" w:lineRule="exact"/>
        <w:rPr>
          <w:rFonts w:ascii="Arial" w:cs="Arial" w:eastAsia="Arial" w:hAnsi="Arial"/>
          <w:sz w:val="16"/>
          <w:szCs w:val="16"/>
          <w:color w:val="auto"/>
        </w:rPr>
      </w:pPr>
    </w:p>
    <w:p>
      <w:pPr>
        <w:ind w:left="1120" w:hanging="279"/>
        <w:spacing w:after="0"/>
        <w:tabs>
          <w:tab w:leader="none" w:pos="11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lowest of</w:t>
      </w:r>
    </w:p>
    <w:p>
      <w:pPr>
        <w:spacing w:after="0" w:line="90" w:lineRule="exact"/>
        <w:rPr>
          <w:rFonts w:ascii="Arial" w:cs="Arial" w:eastAsia="Arial" w:hAnsi="Arial"/>
          <w:sz w:val="18"/>
          <w:szCs w:val="18"/>
          <w:color w:val="auto"/>
        </w:rPr>
      </w:pPr>
    </w:p>
    <w:p>
      <w:pPr>
        <w:ind w:left="2100" w:hanging="255"/>
        <w:spacing w:after="0"/>
        <w:tabs>
          <w:tab w:leader="none" w:pos="21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$60,000,000, and</w:t>
      </w:r>
    </w:p>
    <w:p>
      <w:pPr>
        <w:spacing w:after="0" w:line="90" w:lineRule="exact"/>
        <w:rPr>
          <w:rFonts w:ascii="Arial" w:cs="Arial" w:eastAsia="Arial" w:hAnsi="Arial"/>
          <w:sz w:val="18"/>
          <w:szCs w:val="18"/>
          <w:color w:val="auto"/>
        </w:rPr>
      </w:pPr>
    </w:p>
    <w:p>
      <w:pPr>
        <w:ind w:left="2100" w:hanging="255"/>
        <w:spacing w:after="0"/>
        <w:tabs>
          <w:tab w:leader="none" w:pos="21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sum of</w:t>
      </w:r>
    </w:p>
    <w:p>
      <w:pPr>
        <w:spacing w:after="0" w:line="90" w:lineRule="exact"/>
        <w:rPr>
          <w:rFonts w:ascii="Arial" w:cs="Arial" w:eastAsia="Arial" w:hAnsi="Arial"/>
          <w:sz w:val="18"/>
          <w:szCs w:val="18"/>
          <w:color w:val="auto"/>
        </w:rPr>
      </w:pPr>
    </w:p>
    <w:p>
      <w:pPr>
        <w:ind w:left="1480" w:right="740" w:firstLine="725"/>
        <w:spacing w:after="0" w:line="268" w:lineRule="auto"/>
        <w:tabs>
          <w:tab w:leader="none" w:pos="2450" w:val="left"/>
        </w:tabs>
        <w:numPr>
          <w:ilvl w:val="3"/>
          <w:numId w:val="45"/>
        </w:numPr>
        <w:rPr>
          <w:rFonts w:ascii="Arial" w:cs="Arial" w:eastAsia="Arial" w:hAnsi="Arial"/>
          <w:sz w:val="18"/>
          <w:szCs w:val="18"/>
          <w:color w:val="auto"/>
        </w:rPr>
      </w:pPr>
      <w:r>
        <w:rPr>
          <w:rFonts w:ascii="Arial" w:cs="Arial" w:eastAsia="Arial" w:hAnsi="Arial"/>
          <w:sz w:val="18"/>
          <w:szCs w:val="18"/>
          <w:color w:val="auto"/>
        </w:rPr>
        <w:t>the lesser of (i) 70% of the value of such Borrowers’ Eligible Inventory, and (ii) 85% of the Net Orderly Liquidation Value of such Borrowers’ Eligible Inventory, plus</w:t>
      </w:r>
    </w:p>
    <w:p>
      <w:pPr>
        <w:spacing w:after="0" w:line="50" w:lineRule="exact"/>
        <w:rPr>
          <w:rFonts w:ascii="Arial" w:cs="Arial" w:eastAsia="Arial" w:hAnsi="Arial"/>
          <w:sz w:val="18"/>
          <w:szCs w:val="18"/>
          <w:color w:val="auto"/>
        </w:rPr>
      </w:pPr>
    </w:p>
    <w:p>
      <w:pPr>
        <w:ind w:left="1480" w:right="180" w:firstLine="725"/>
        <w:spacing w:after="0" w:line="332" w:lineRule="auto"/>
        <w:tabs>
          <w:tab w:leader="none" w:pos="2450" w:val="left"/>
        </w:tabs>
        <w:numPr>
          <w:ilvl w:val="3"/>
          <w:numId w:val="45"/>
        </w:numPr>
        <w:rPr>
          <w:rFonts w:ascii="Arial" w:cs="Arial" w:eastAsia="Arial" w:hAnsi="Arial"/>
          <w:sz w:val="16"/>
          <w:szCs w:val="16"/>
          <w:color w:val="auto"/>
        </w:rPr>
      </w:pPr>
      <w:r>
        <w:rPr>
          <w:rFonts w:ascii="Arial" w:cs="Arial" w:eastAsia="Arial" w:hAnsi="Arial"/>
          <w:sz w:val="16"/>
          <w:szCs w:val="16"/>
          <w:color w:val="auto"/>
        </w:rPr>
        <w:t>the lesser of (i) 60% (or, in the case of Climate Control Raw Inventory, 65%) of the value of such Borrowers’ Eligible Raw Inventory, and (ii) 85% of the Net Orderly Liquidation Value of such Borrowers’ Eligible Raw Inventory, minus</w:t>
      </w:r>
    </w:p>
    <w:p>
      <w:pPr>
        <w:spacing w:after="0" w:line="4" w:lineRule="exact"/>
        <w:rPr>
          <w:rFonts w:ascii="Arial" w:cs="Arial" w:eastAsia="Arial" w:hAnsi="Arial"/>
          <w:sz w:val="16"/>
          <w:szCs w:val="16"/>
          <w:color w:val="auto"/>
        </w:rPr>
      </w:pPr>
    </w:p>
    <w:p>
      <w:pPr>
        <w:ind w:left="1120" w:hanging="279"/>
        <w:spacing w:after="0"/>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(z) the sum of (1) the Bank Products Reserve, and (2) the aggregate amount of reserves, if any, established by Agent under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2.1(b).”</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auto"/>
        </w:rPr>
        <w:t>Section 3.4</w:t>
      </w:r>
      <w:r>
        <w:rPr>
          <w:rFonts w:ascii="Arial" w:cs="Arial" w:eastAsia="Arial" w:hAnsi="Arial"/>
          <w:sz w:val="18"/>
          <w:szCs w:val="18"/>
          <w:color w:val="auto"/>
        </w:rPr>
        <w:t>. Section 3.4 of the Loan Agreement is hereby amended and restated in its entirety to read as follows:</w:t>
      </w:r>
    </w:p>
    <w:p>
      <w:pPr>
        <w:sectPr>
          <w:pgSz w:w="11900" w:h="16838" w:orient="portrait"/>
          <w:cols w:equalWidth="0" w:num="1">
            <w:col w:w="10500"/>
          </w:cols>
          <w:pgMar w:left="1160" w:top="280" w:right="239" w:bottom="1440" w:gutter="0" w:footer="0" w:header="0"/>
        </w:sectPr>
      </w:pPr>
    </w:p>
    <w:bookmarkStart w:id="62" w:name="page63"/>
    <w:bookmarkEnd w:id="62"/>
    <w:p>
      <w:pPr>
        <w:ind w:left="920" w:right="40" w:firstLine="42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3.4</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This Agreement shall become effective upon the execution and delivery hereof by the Borrowers, the Agent, and the Lenders and shall continue in full force and effect for a term ending on April 13, 2018 (the “</w:t>
      </w:r>
      <w:r>
        <w:rPr>
          <w:rFonts w:ascii="Arial" w:cs="Arial" w:eastAsia="Arial" w:hAnsi="Arial"/>
          <w:sz w:val="18"/>
          <w:szCs w:val="18"/>
          <w:u w:val="single" w:color="auto"/>
          <w:color w:val="auto"/>
        </w:rPr>
        <w:t>Maturity Date</w:t>
      </w:r>
      <w:r>
        <w:rPr>
          <w:rFonts w:ascii="Arial" w:cs="Arial" w:eastAsia="Arial" w:hAnsi="Arial"/>
          <w:sz w:val="18"/>
          <w:szCs w:val="18"/>
          <w:color w:val="auto"/>
        </w:rPr>
        <w:t>”). The foregoing notwithstanding, the Lender Group, upon the election of the Required Lenders, shall have the right to terminate its obligations under this Agreement immediately and without notice upon the occurrence and during the continuation of an Event of Default.”</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auto"/>
        </w:rPr>
        <w:t>Section 7.1</w:t>
      </w:r>
      <w:r>
        <w:rPr>
          <w:rFonts w:ascii="Arial" w:cs="Arial" w:eastAsia="Arial" w:hAnsi="Arial"/>
          <w:sz w:val="18"/>
          <w:szCs w:val="18"/>
          <w:color w:val="auto"/>
        </w:rPr>
        <w:t>. Section 7.1(h) of the Loan Agreement is hereby amended and restated in its entirety to read as follows:</w:t>
      </w:r>
    </w:p>
    <w:p>
      <w:pPr>
        <w:spacing w:after="0" w:line="90" w:lineRule="exact"/>
        <w:rPr>
          <w:sz w:val="20"/>
          <w:szCs w:val="20"/>
          <w:color w:val="auto"/>
        </w:rPr>
      </w:pPr>
    </w:p>
    <w:p>
      <w:pPr>
        <w:ind w:left="920" w:right="160" w:firstLine="420"/>
        <w:spacing w:after="0" w:line="268" w:lineRule="auto"/>
        <w:rPr>
          <w:sz w:val="20"/>
          <w:szCs w:val="20"/>
          <w:color w:val="auto"/>
        </w:rPr>
      </w:pPr>
      <w:r>
        <w:rPr>
          <w:rFonts w:ascii="Arial" w:cs="Arial" w:eastAsia="Arial" w:hAnsi="Arial"/>
          <w:sz w:val="18"/>
          <w:szCs w:val="18"/>
          <w:color w:val="auto"/>
        </w:rPr>
        <w:t>“(h) other Indebtedness owing by any Borrower or any Subsidiary of a Borrower to any Subsidiary of Parent that is not also a Subsidiary of ThermaClime;”</w:t>
      </w:r>
    </w:p>
    <w:p>
      <w:pPr>
        <w:spacing w:after="0" w:line="132" w:lineRule="exact"/>
        <w:rPr>
          <w:sz w:val="20"/>
          <w:szCs w:val="20"/>
          <w:color w:val="auto"/>
        </w:rPr>
      </w:pPr>
    </w:p>
    <w:p>
      <w:pPr>
        <w:jc w:val="right"/>
        <w:ind w:left="920" w:right="2220"/>
        <w:spacing w:after="0" w:line="469" w:lineRule="auto"/>
        <w:rPr>
          <w:sz w:val="20"/>
          <w:szCs w:val="20"/>
          <w:color w:val="auto"/>
        </w:rPr>
      </w:pPr>
      <w:r>
        <w:rPr>
          <w:rFonts w:ascii="Arial" w:cs="Arial" w:eastAsia="Arial" w:hAnsi="Arial"/>
          <w:sz w:val="15"/>
          <w:szCs w:val="15"/>
          <w:color w:val="auto"/>
        </w:rPr>
        <w:t>Furthermore, Section 7.1(i) of the Loan Agreement is hereby amended and restated in its entirety to read as follows: “(i) other Indebtedness in an aggregate principal amount not to exceed $50,000,000 outstanding at any time;”</w:t>
      </w:r>
    </w:p>
    <w:p>
      <w:pPr>
        <w:spacing w:after="0" w:line="1" w:lineRule="exact"/>
        <w:rPr>
          <w:sz w:val="20"/>
          <w:szCs w:val="20"/>
          <w:color w:val="auto"/>
        </w:rPr>
      </w:pPr>
    </w:p>
    <w:p>
      <w:pPr>
        <w:jc w:val="both"/>
        <w:ind w:right="220" w:firstLine="913"/>
        <w:spacing w:after="0" w:line="332" w:lineRule="auto"/>
        <w:rPr>
          <w:sz w:val="20"/>
          <w:szCs w:val="20"/>
          <w:color w:val="auto"/>
        </w:rPr>
      </w:pPr>
      <w:r>
        <w:rPr>
          <w:rFonts w:ascii="Arial" w:cs="Arial" w:eastAsia="Arial" w:hAnsi="Arial"/>
          <w:sz w:val="16"/>
          <w:szCs w:val="16"/>
          <w:color w:val="auto"/>
        </w:rPr>
        <w:t>Furthermore, Section 7.1 of the Loan Agreement is hereby amended by (i) deleting the “and” from the end of clause (k) thereto, (ii) deleting the period from the end of clause (l) thereto and substituting “;” therefor, and (iii) inserting a new clause (m) immediately following clause (l), to read as follows:</w:t>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 Indebtedness of the Borrowers and their Subsidiaries in respect of guarantees of the LSB Notes; 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Furthermore, Section 7.1 of the Loan Agreement is hereby amended by inserting a new clause (n) immediately following clause (m), to read as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65" w:lineRule="exact"/>
        <w:rPr>
          <w:sz w:val="20"/>
          <w:szCs w:val="20"/>
          <w:color w:val="auto"/>
        </w:rPr>
      </w:pPr>
    </w:p>
    <w:p>
      <w:pPr>
        <w:ind w:right="60" w:firstLine="1484"/>
        <w:spacing w:after="0" w:line="259" w:lineRule="auto"/>
        <w:rPr>
          <w:sz w:val="20"/>
          <w:szCs w:val="20"/>
          <w:color w:val="auto"/>
        </w:rPr>
      </w:pPr>
      <w:r>
        <w:rPr>
          <w:rFonts w:ascii="Arial" w:cs="Arial" w:eastAsia="Arial" w:hAnsi="Arial"/>
          <w:sz w:val="18"/>
          <w:szCs w:val="18"/>
          <w:color w:val="auto"/>
        </w:rPr>
        <w:t xml:space="preserve">“(n) Indebtedness in respect of Third Party Hedge Obligations, so long as both immediately before and after giving effect to the incurrence of any such Indebtedness, the Covenant Condition is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Covenant Condition shall not apply to the Hedge Obligations entered into with a Bank Product Provider.”</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Section 7.6</w:t>
      </w:r>
      <w:r>
        <w:rPr>
          <w:rFonts w:ascii="Arial" w:cs="Arial" w:eastAsia="Arial" w:hAnsi="Arial"/>
          <w:sz w:val="18"/>
          <w:szCs w:val="18"/>
          <w:color w:val="auto"/>
        </w:rPr>
        <w:t>. Section 7.6 of the Loan Agreement is hereby amended and restated in its entirety to read as follows:</w:t>
      </w:r>
    </w:p>
    <w:p>
      <w:pPr>
        <w:spacing w:after="0" w:line="84" w:lineRule="exact"/>
        <w:rPr>
          <w:sz w:val="20"/>
          <w:szCs w:val="20"/>
          <w:color w:val="auto"/>
        </w:rPr>
      </w:pPr>
    </w:p>
    <w:p>
      <w:pPr>
        <w:ind w:left="920" w:firstLine="42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7.6</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Guarantee</w:t>
      </w:r>
      <w:r>
        <w:rPr>
          <w:rFonts w:ascii="Arial" w:cs="Arial" w:eastAsia="Arial" w:hAnsi="Arial"/>
          <w:sz w:val="16"/>
          <w:szCs w:val="16"/>
          <w:b w:val="1"/>
          <w:bCs w:val="1"/>
          <w:color w:val="auto"/>
        </w:rPr>
        <w:t>.</w:t>
      </w:r>
      <w:r>
        <w:rPr>
          <w:rFonts w:ascii="Arial" w:cs="Arial" w:eastAsia="Arial" w:hAnsi="Arial"/>
          <w:sz w:val="16"/>
          <w:szCs w:val="16"/>
          <w:color w:val="auto"/>
        </w:rPr>
        <w:t xml:space="preserve"> Guarantee or otherwise become in any way liable with respect to the obligations of any third Person except (i) by endorsement of instruments or items of payment for deposit to the account of Borrowers or which are transmitted or turned over to Agent, (ii) for guarantees of the LSB Notes, (iii) for guarantees of Indebtedness permitted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guarantees set forth on Schedule 5.20 and (iv) for guarantees of performance, surety or appeal bonds of any Borrower or Guarantor (other than the Parent).”</w:t>
      </w:r>
    </w:p>
    <w:p>
      <w:pPr>
        <w:sectPr>
          <w:pgSz w:w="11900" w:h="16838" w:orient="portrait"/>
          <w:cols w:equalWidth="0" w:num="1">
            <w:col w:w="11300"/>
          </w:cols>
          <w:pgMar w:left="240" w:top="274" w:right="359" w:bottom="1440" w:gutter="0" w:footer="0" w:header="0"/>
        </w:sectPr>
      </w:pPr>
    </w:p>
    <w:bookmarkStart w:id="63" w:name="page64"/>
    <w:bookmarkEnd w:id="6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 </w:t>
      </w:r>
      <w:r>
        <w:rPr>
          <w:rFonts w:ascii="Arial" w:cs="Arial" w:eastAsia="Arial" w:hAnsi="Arial"/>
          <w:sz w:val="18"/>
          <w:szCs w:val="18"/>
          <w:u w:val="single" w:color="auto"/>
          <w:color w:val="auto"/>
        </w:rPr>
        <w:t>Section 7.8(a)</w:t>
      </w:r>
      <w:r>
        <w:rPr>
          <w:rFonts w:ascii="Arial" w:cs="Arial" w:eastAsia="Arial" w:hAnsi="Arial"/>
          <w:sz w:val="18"/>
          <w:szCs w:val="18"/>
          <w:color w:val="auto"/>
        </w:rPr>
        <w:t>. Section 7.8(a) of the Loan Agreement is hereby amended and restated in its entirety to read as follows:</w:t>
      </w:r>
    </w:p>
    <w:p>
      <w:pPr>
        <w:spacing w:after="0" w:line="90" w:lineRule="exact"/>
        <w:rPr>
          <w:sz w:val="20"/>
          <w:szCs w:val="20"/>
          <w:color w:val="auto"/>
        </w:rPr>
      </w:pPr>
    </w:p>
    <w:p>
      <w:pPr>
        <w:ind w:left="920" w:firstLine="420"/>
        <w:spacing w:after="0" w:line="288" w:lineRule="auto"/>
        <w:rPr>
          <w:sz w:val="20"/>
          <w:szCs w:val="20"/>
          <w:color w:val="auto"/>
        </w:rPr>
      </w:pPr>
      <w:r>
        <w:rPr>
          <w:rFonts w:ascii="Arial" w:cs="Arial" w:eastAsia="Arial" w:hAnsi="Arial"/>
          <w:sz w:val="16"/>
          <w:szCs w:val="16"/>
          <w:color w:val="auto"/>
        </w:rPr>
        <w:t xml:space="preserve">“(a) Except in connection with a refinancing permitted by </w:t>
      </w:r>
      <w:r>
        <w:rPr>
          <w:rFonts w:ascii="Arial" w:cs="Arial" w:eastAsia="Arial" w:hAnsi="Arial"/>
          <w:sz w:val="16"/>
          <w:szCs w:val="16"/>
          <w:u w:val="single" w:color="auto"/>
          <w:color w:val="auto"/>
        </w:rPr>
        <w:t>Section 7.1(d)</w:t>
      </w:r>
      <w:r>
        <w:rPr>
          <w:rFonts w:ascii="Arial" w:cs="Arial" w:eastAsia="Arial" w:hAnsi="Arial"/>
          <w:sz w:val="16"/>
          <w:szCs w:val="16"/>
          <w:color w:val="auto"/>
        </w:rPr>
        <w:t xml:space="preserve">, prepay, redeem, defease, purchase, or otherwise acquire any Indebtedness of any Borrower or any Guarantor, other than the Obligations in accordance with this Agreement and as otherwise permitted in </w:t>
      </w:r>
      <w:r>
        <w:rPr>
          <w:rFonts w:ascii="Arial" w:cs="Arial" w:eastAsia="Arial" w:hAnsi="Arial"/>
          <w:sz w:val="16"/>
          <w:szCs w:val="16"/>
          <w:u w:val="single" w:color="auto"/>
          <w:color w:val="auto"/>
        </w:rPr>
        <w:t>Section 7.8(b)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7.4(b)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ThermaClime may prepay the Indebtedness set forth on Schedule I to the Third Amendment, in amounts not to exceed the principal amounts set forth in such schedule plus accrued interest, so long as (i) no Default or Event of Default has occurred and is continuing or would result therefrom, (ii) EBITDA for the fiscal quarter immediately preceding the date of such repurchase is not less than $5,000,000 and (iii) after giving effect to such prepayment, Excess Availability is not less than $15,000,000;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Borrowers may prepay the BofA Loans from (1)(x) cash on hand or (y) the proceeds of Advances so long as, after giving effect to any such prepayment, Excess Availability is equal to or greater than the greater of (A) $10,000,000 and (B) an amount equal to 20% of the Total Commitment at the time of such prepayment or (2) proceeds from the LSB Notes;”</w:t>
      </w:r>
    </w:p>
    <w:p>
      <w:pPr>
        <w:spacing w:after="0" w:line="3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Section 7.11</w:t>
      </w:r>
      <w:r>
        <w:rPr>
          <w:rFonts w:ascii="Arial" w:cs="Arial" w:eastAsia="Arial" w:hAnsi="Arial"/>
          <w:sz w:val="18"/>
          <w:szCs w:val="18"/>
          <w:color w:val="auto"/>
        </w:rPr>
        <w:t>. Section 7.11(e) of the Loan Agreement is hereby amended and restated in its entirety to read as follows:</w:t>
      </w:r>
    </w:p>
    <w:p>
      <w:pPr>
        <w:spacing w:after="0" w:line="90" w:lineRule="exact"/>
        <w:rPr>
          <w:sz w:val="20"/>
          <w:szCs w:val="20"/>
          <w:color w:val="auto"/>
        </w:rPr>
      </w:pPr>
    </w:p>
    <w:p>
      <w:pPr>
        <w:ind w:left="920" w:firstLine="420"/>
        <w:spacing w:after="0" w:line="335" w:lineRule="auto"/>
        <w:rPr>
          <w:sz w:val="20"/>
          <w:szCs w:val="20"/>
          <w:color w:val="auto"/>
        </w:rPr>
      </w:pPr>
      <w:r>
        <w:rPr>
          <w:rFonts w:ascii="Arial" w:cs="Arial" w:eastAsia="Arial" w:hAnsi="Arial"/>
          <w:sz w:val="15"/>
          <w:szCs w:val="15"/>
          <w:color w:val="auto"/>
        </w:rPr>
        <w:t>“(e) each Borrower and each of its Subsidiaries may make other distributions and pay dividends to Consolidated Industries or to Parent or to any Subsidiary of Consolidated Industries that is not also a Subsidiary of ThermaClime, provided that with respect to amounts in excess of $500,000 during each fiscal year, both immediately before and after giving effect to any such excess payments, the Covenant Condition has been satisfied;”</w:t>
      </w:r>
    </w:p>
    <w:p>
      <w:pPr>
        <w:spacing w:after="0" w:line="88"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Furthermore, Section 7.11 of the Loan Agreement is hereby amended by (i) deleting the period from the end of clause (f) thereto and substituting “; and” therefor, and (ii) inserting new clause (g) immediately following clause (f), to read as follows:</w:t>
      </w:r>
    </w:p>
    <w:p>
      <w:pPr>
        <w:spacing w:after="0" w:line="51"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color w:val="auto"/>
        </w:rPr>
        <w:t>“(g) so long as no Default or Event of Default has occurred and is continuing or would result therefrom, (i) ThermaClime may make distributions and pay dividends to Consolidated Industries or to Parent, in amounts necessary to permit Parent to make required payments of principal and payments of scheduled interest under the LSB Notes (as in effect on the date hereof), in each case not more than 5 Business Days prior to the date such payments are due and not in excess of the actual amounts due.”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Section 7.20(a)(iii)</w:t>
      </w:r>
      <w:r>
        <w:rPr>
          <w:rFonts w:ascii="Arial" w:cs="Arial" w:eastAsia="Arial" w:hAnsi="Arial"/>
          <w:sz w:val="18"/>
          <w:szCs w:val="18"/>
          <w:color w:val="auto"/>
        </w:rPr>
        <w:t>. Section 7.20(a)(iii) of the Loan Agreement is hereby amended and restated in its entirety to read as follows:</w:t>
      </w:r>
    </w:p>
    <w:p>
      <w:pPr>
        <w:spacing w:after="0" w:line="90" w:lineRule="exact"/>
        <w:rPr>
          <w:sz w:val="20"/>
          <w:szCs w:val="20"/>
          <w:color w:val="auto"/>
        </w:rPr>
      </w:pPr>
    </w:p>
    <w:p>
      <w:pPr>
        <w:ind w:left="920" w:right="40" w:firstLine="420"/>
        <w:spacing w:after="0" w:line="259" w:lineRule="auto"/>
        <w:rPr>
          <w:sz w:val="20"/>
          <w:szCs w:val="20"/>
          <w:color w:val="auto"/>
        </w:rPr>
      </w:pPr>
      <w:r>
        <w:rPr>
          <w:rFonts w:ascii="Arial" w:cs="Arial" w:eastAsia="Arial" w:hAnsi="Arial"/>
          <w:sz w:val="18"/>
          <w:szCs w:val="18"/>
          <w:color w:val="auto"/>
        </w:rPr>
        <w:t>“(iii) Fixed Charge Coverage Ratio. At any time Excess Availability is less than or equal to 12.5% of the Total Commitment (the “</w:t>
      </w:r>
      <w:r>
        <w:rPr>
          <w:rFonts w:ascii="Arial" w:cs="Arial" w:eastAsia="Arial" w:hAnsi="Arial"/>
          <w:sz w:val="18"/>
          <w:szCs w:val="18"/>
          <w:u w:val="single" w:color="auto"/>
          <w:color w:val="auto"/>
        </w:rPr>
        <w:t>FCCR</w:t>
      </w:r>
      <w:r>
        <w:rPr>
          <w:rFonts w:ascii="Arial" w:cs="Arial" w:eastAsia="Arial" w:hAnsi="Arial"/>
          <w:sz w:val="18"/>
          <w:szCs w:val="18"/>
          <w:color w:val="auto"/>
        </w:rPr>
        <w:t xml:space="preserve"> </w:t>
      </w:r>
      <w:r>
        <w:rPr>
          <w:rFonts w:ascii="Arial" w:cs="Arial" w:eastAsia="Arial" w:hAnsi="Arial"/>
          <w:sz w:val="18"/>
          <w:szCs w:val="18"/>
          <w:u w:val="single" w:color="auto"/>
          <w:color w:val="auto"/>
        </w:rPr>
        <w:t>Trigger Date</w:t>
      </w:r>
      <w:r>
        <w:rPr>
          <w:rFonts w:ascii="Arial" w:cs="Arial" w:eastAsia="Arial" w:hAnsi="Arial"/>
          <w:sz w:val="18"/>
          <w:szCs w:val="18"/>
          <w:color w:val="auto"/>
        </w:rPr>
        <w:t>”), a Fixed Charge Coverage Ratio of not less than 1.10:1.00, measured monthly commencing on the FCCR Trigger Date with the most recently ended month, on a trailing twelve month basis.”</w:t>
      </w:r>
    </w:p>
    <w:p>
      <w:pPr>
        <w:sectPr>
          <w:pgSz w:w="11900" w:h="16838" w:orient="portrait"/>
          <w:cols w:equalWidth="0" w:num="1">
            <w:col w:w="11360"/>
          </w:cols>
          <w:pgMar w:left="240" w:top="280" w:right="299" w:bottom="1440" w:gutter="0" w:footer="0" w:header="0"/>
        </w:sectPr>
      </w:pPr>
    </w:p>
    <w:bookmarkStart w:id="64" w:name="page65"/>
    <w:bookmarkEnd w:id="64"/>
    <w:p>
      <w:pPr>
        <w:ind w:left="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 </w:t>
      </w:r>
      <w:r>
        <w:rPr>
          <w:rFonts w:ascii="Arial" w:cs="Arial" w:eastAsia="Arial" w:hAnsi="Arial"/>
          <w:sz w:val="18"/>
          <w:szCs w:val="18"/>
          <w:u w:val="single" w:color="auto"/>
          <w:color w:val="auto"/>
        </w:rPr>
        <w:t>Section 8.9</w:t>
      </w:r>
      <w:r>
        <w:rPr>
          <w:rFonts w:ascii="Arial" w:cs="Arial" w:eastAsia="Arial" w:hAnsi="Arial"/>
          <w:sz w:val="18"/>
          <w:szCs w:val="18"/>
          <w:color w:val="auto"/>
        </w:rPr>
        <w:t>. Section 8.9 of the Loan Agreement is hereby amended and restated in its entirety to read as follows:</w:t>
      </w:r>
    </w:p>
    <w:p>
      <w:pPr>
        <w:spacing w:after="0" w:line="84" w:lineRule="exact"/>
        <w:rPr>
          <w:sz w:val="20"/>
          <w:szCs w:val="20"/>
          <w:color w:val="auto"/>
        </w:rPr>
      </w:pPr>
    </w:p>
    <w:p>
      <w:pPr>
        <w:ind w:left="880" w:firstLine="42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8.9</w:t>
      </w:r>
      <w:r>
        <w:rPr>
          <w:rFonts w:ascii="Arial" w:cs="Arial" w:eastAsia="Arial" w:hAnsi="Arial"/>
          <w:sz w:val="18"/>
          <w:szCs w:val="18"/>
          <w:color w:val="auto"/>
        </w:rPr>
        <w:t xml:space="preserve"> If there is a default in any material agreement (including, without limitation, the LSB Notes) to which any Borrower, any Guarantor (other than the Parent, Consolidated Industries and Cherokee) or any of its Subsidiaries is a party and such default (a)(i) occurs at the final maturity of the obligations thereunder, or (ii) results in a right by the other party thereto, irrespective of whether exercised, to accelerate the maturity of the applicable Borrower’s, Guarantor’s or its Subsidiaries’ obligations thereunder, to terminate such agreement, or to refuse to renew such agreement pursuant to an automatic renewal right therein, and (b) involves Indebtedness or an obligation for the payment of money in an aggregate amount in excess of $1,000,000;”</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Schedule C-1</w:t>
      </w:r>
      <w:r>
        <w:rPr>
          <w:rFonts w:ascii="Arial" w:cs="Arial" w:eastAsia="Arial" w:hAnsi="Arial"/>
          <w:sz w:val="18"/>
          <w:szCs w:val="18"/>
          <w:color w:val="auto"/>
        </w:rPr>
        <w:t>. Schedule C-1 of the Loan Agreement is hereby amended and restated in its entirety to read as follows: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Commitments</w:t>
      </w:r>
    </w:p>
    <w:p>
      <w:pPr>
        <w:spacing w:after="0" w:line="19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color w:val="auto"/>
                <w:w w:val="87"/>
              </w:rPr>
              <w:t>Lender</w:t>
            </w:r>
          </w:p>
        </w:tc>
        <w:tc>
          <w:tcPr>
            <w:tcW w:w="356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0"/>
              </w:rPr>
              <w:t>Revolver</w:t>
            </w:r>
          </w:p>
        </w:tc>
        <w:tc>
          <w:tcPr>
            <w:tcW w:w="50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color w:val="auto"/>
                <w:w w:val="83"/>
              </w:rPr>
              <w:t>Total</w:t>
            </w:r>
          </w:p>
        </w:tc>
        <w:tc>
          <w:tcPr>
            <w:tcW w:w="0" w:type="dxa"/>
            <w:vAlign w:val="bottom"/>
          </w:tcPr>
          <w:p>
            <w:pPr>
              <w:spacing w:after="0"/>
              <w:rPr>
                <w:sz w:val="1"/>
                <w:szCs w:val="1"/>
                <w:color w:val="auto"/>
              </w:rPr>
            </w:pPr>
          </w:p>
        </w:tc>
      </w:tr>
      <w:tr>
        <w:trPr>
          <w:trHeight w:val="166"/>
        </w:trPr>
        <w:tc>
          <w:tcPr>
            <w:tcW w:w="40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Pr>
          <w:p>
            <w:pPr>
              <w:jc w:val="center"/>
              <w:spacing w:after="0" w:line="146" w:lineRule="exact"/>
              <w:rPr>
                <w:sz w:val="20"/>
                <w:szCs w:val="20"/>
                <w:color w:val="auto"/>
              </w:rPr>
            </w:pPr>
            <w:r>
              <w:rPr>
                <w:rFonts w:ascii="Arial" w:cs="Arial" w:eastAsia="Arial" w:hAnsi="Arial"/>
                <w:sz w:val="14"/>
                <w:szCs w:val="14"/>
                <w:color w:val="auto"/>
                <w:w w:val="90"/>
              </w:rPr>
              <w:t>Commitment</w:t>
            </w:r>
          </w:p>
        </w:tc>
        <w:tc>
          <w:tcPr>
            <w:tcW w:w="500" w:type="dxa"/>
            <w:vAlign w:val="bottom"/>
          </w:tcPr>
          <w:p>
            <w:pPr>
              <w:spacing w:after="0"/>
              <w:rPr>
                <w:sz w:val="14"/>
                <w:szCs w:val="14"/>
                <w:color w:val="auto"/>
              </w:rPr>
            </w:pPr>
          </w:p>
        </w:tc>
        <w:tc>
          <w:tcPr>
            <w:tcW w:w="1080" w:type="dxa"/>
            <w:vAlign w:val="bottom"/>
            <w:gridSpan w:val="2"/>
          </w:tcPr>
          <w:p>
            <w:pPr>
              <w:jc w:val="center"/>
              <w:ind w:right="100"/>
              <w:spacing w:after="0" w:line="146" w:lineRule="exact"/>
              <w:rPr>
                <w:sz w:val="20"/>
                <w:szCs w:val="20"/>
                <w:color w:val="auto"/>
              </w:rPr>
            </w:pPr>
            <w:r>
              <w:rPr>
                <w:rFonts w:ascii="Arial" w:cs="Arial" w:eastAsia="Arial" w:hAnsi="Arial"/>
                <w:sz w:val="14"/>
                <w:szCs w:val="14"/>
                <w:color w:val="auto"/>
                <w:w w:val="88"/>
              </w:rPr>
              <w:t>Commitment</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Foothill, Inc.</w:t>
            </w:r>
          </w:p>
        </w:tc>
        <w:tc>
          <w:tcPr>
            <w:tcW w:w="21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$100,000,000</w:t>
            </w:r>
          </w:p>
        </w:tc>
        <w:tc>
          <w:tcPr>
            <w:tcW w:w="5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All Lenders</w:t>
            </w:r>
          </w:p>
        </w:tc>
        <w:tc>
          <w:tcPr>
            <w:tcW w:w="3140" w:type="dxa"/>
            <w:vAlign w:val="bottom"/>
            <w:gridSpan w:val="2"/>
          </w:tcPr>
          <w:p>
            <w:pPr>
              <w:jc w:val="center"/>
              <w:ind w:left="2052"/>
              <w:spacing w:after="0"/>
              <w:rPr>
                <w:sz w:val="20"/>
                <w:szCs w:val="20"/>
                <w:color w:val="auto"/>
              </w:rPr>
            </w:pPr>
            <w:r>
              <w:rPr>
                <w:rFonts w:ascii="Arial" w:cs="Arial" w:eastAsia="Arial" w:hAnsi="Arial"/>
                <w:sz w:val="18"/>
                <w:szCs w:val="18"/>
                <w:color w:val="auto"/>
                <w:w w:val="87"/>
              </w:rPr>
              <w:t>$100,000,000</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$100,000,000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0" w:right="320" w:firstLine="921"/>
        <w:spacing w:after="0" w:line="259" w:lineRule="auto"/>
        <w:tabs>
          <w:tab w:leader="none" w:pos="1136"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fulfillment, in a manner satisfactory to the Agent, of each of the following conditions precedent (the first date upon which all such conditions shall have been satisfied being herein called the “</w:t>
      </w:r>
      <w:r>
        <w:rPr>
          <w:rFonts w:ascii="Arial" w:cs="Arial" w:eastAsia="Arial" w:hAnsi="Arial"/>
          <w:sz w:val="18"/>
          <w:szCs w:val="18"/>
          <w:u w:val="single" w:color="auto"/>
          <w:color w:val="auto"/>
        </w:rPr>
        <w:t>Eighth Amendment 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w:t>
      </w:r>
    </w:p>
    <w:p>
      <w:pPr>
        <w:spacing w:after="0" w:line="59" w:lineRule="exact"/>
        <w:rPr>
          <w:rFonts w:ascii="Arial" w:cs="Arial" w:eastAsia="Arial" w:hAnsi="Arial"/>
          <w:sz w:val="18"/>
          <w:szCs w:val="18"/>
          <w:color w:val="auto"/>
        </w:rPr>
      </w:pPr>
    </w:p>
    <w:p>
      <w:pPr>
        <w:ind w:left="420" w:right="140" w:firstLine="443"/>
        <w:spacing w:after="0" w:line="289" w:lineRule="auto"/>
        <w:tabs>
          <w:tab w:leader="none" w:pos="10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Representations and Warranties; No Event of Default. The representations and warranties contained herein, in Section 5 of the Loan Agreement and in each other Loan Document and certificate or other writing delivered to the Agent or any Lender pursuant hereto on or prior to the Eighth Amendment Effective Date (as updated prior to the date hereof in accordance with the Loan Agreement) shall be correct in all material respects on and as of the Eighth Amendment Effective Date as though made on and as of such date, except to the extent that such representations and warranties (or any schedules related thereto) expressly relate solely to an earlier date (in which case such representations and warranties shall be true and correct in all material respects on and as of such date); and after giving effect to the amendments, consents and waivers set forth herein, no Default or Event of Default shall have occurred and be continuing on the Eighth Amendment Effective Date or would result from this Amendment becoming effective in accordance with its terms.</w:t>
      </w:r>
    </w:p>
    <w:p>
      <w:pPr>
        <w:sectPr>
          <w:pgSz w:w="11900" w:h="16838" w:orient="portrait"/>
          <w:cols w:equalWidth="0" w:num="1">
            <w:col w:w="11360"/>
          </w:cols>
          <w:pgMar w:left="280" w:top="280" w:right="259" w:bottom="1440" w:gutter="0" w:footer="0" w:header="0"/>
        </w:sectPr>
      </w:pPr>
    </w:p>
    <w:bookmarkStart w:id="65" w:name="page66"/>
    <w:bookmarkEnd w:id="65"/>
    <w:p>
      <w:pPr>
        <w:ind w:left="-921" w:right="280" w:firstLine="1492"/>
        <w:spacing w:after="0" w:line="268" w:lineRule="auto"/>
        <w:tabs>
          <w:tab w:leader="none" w:pos="811"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of Amendment Fee. The Borrowers shall have paid to the Agent an amendment fee equal to $75,000. The Borrowers hereby authorize the Agent to draw this amendment fee against the Loan Account on the Eighth Amendment Effective Date.</w:t>
      </w:r>
    </w:p>
    <w:p>
      <w:pPr>
        <w:spacing w:after="0" w:line="50" w:lineRule="exact"/>
        <w:rPr>
          <w:rFonts w:ascii="Arial" w:cs="Arial" w:eastAsia="Arial" w:hAnsi="Arial"/>
          <w:sz w:val="18"/>
          <w:szCs w:val="18"/>
          <w:color w:val="auto"/>
        </w:rPr>
      </w:pPr>
    </w:p>
    <w:p>
      <w:pPr>
        <w:ind w:left="-921" w:right="200" w:firstLine="1492"/>
        <w:spacing w:after="0" w:line="332" w:lineRule="auto"/>
        <w:tabs>
          <w:tab w:leader="none" w:pos="801"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Delivery of Documents. The Agent shall have received on or before the Eighth Amendment Effective Date the following, each in form and substance satisfactory to the Agent and, unless indicated otherwise, dated the Eighth Amendment Effective Date:</w:t>
      </w:r>
    </w:p>
    <w:p>
      <w:pPr>
        <w:spacing w:after="0" w:line="4" w:lineRule="exact"/>
        <w:rPr>
          <w:rFonts w:ascii="Arial" w:cs="Arial" w:eastAsia="Arial" w:hAnsi="Arial"/>
          <w:sz w:val="16"/>
          <w:szCs w:val="16"/>
          <w:color w:val="auto"/>
        </w:rPr>
      </w:pPr>
    </w:p>
    <w:p>
      <w:pPr>
        <w:ind w:left="1239" w:hanging="212"/>
        <w:spacing w:after="0"/>
        <w:tabs>
          <w:tab w:leader="none" w:pos="1239" w:val="left"/>
        </w:tabs>
        <w:numPr>
          <w:ilvl w:val="2"/>
          <w:numId w:val="48"/>
        </w:numPr>
        <w:rPr>
          <w:rFonts w:ascii="Arial" w:cs="Arial" w:eastAsia="Arial" w:hAnsi="Arial"/>
          <w:sz w:val="18"/>
          <w:szCs w:val="18"/>
          <w:color w:val="auto"/>
        </w:rPr>
      </w:pPr>
      <w:r>
        <w:rPr>
          <w:rFonts w:ascii="Arial" w:cs="Arial" w:eastAsia="Arial" w:hAnsi="Arial"/>
          <w:sz w:val="18"/>
          <w:szCs w:val="18"/>
          <w:color w:val="auto"/>
        </w:rPr>
        <w:t>counterparts of this Amendment duly executed by the Borrowers, the Agent and the Lenders;</w:t>
      </w:r>
    </w:p>
    <w:p>
      <w:pPr>
        <w:spacing w:after="0" w:line="90" w:lineRule="exact"/>
        <w:rPr>
          <w:rFonts w:ascii="Arial" w:cs="Arial" w:eastAsia="Arial" w:hAnsi="Arial"/>
          <w:sz w:val="18"/>
          <w:szCs w:val="18"/>
          <w:color w:val="auto"/>
        </w:rPr>
      </w:pPr>
    </w:p>
    <w:p>
      <w:pPr>
        <w:ind w:left="-921" w:right="180" w:firstLine="1948"/>
        <w:spacing w:after="0" w:line="256" w:lineRule="auto"/>
        <w:tabs>
          <w:tab w:leader="none" w:pos="1277"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certificate from the Secretary or Assistant Secretary of each Borrower, Consolidated Industries and Parent attesting to the resolutions of such Borrower’s or Guarantor’s Board of Directors or Board of Managers, as applicable, or committee thereof authorizing its execution, delivery, and performance of this Amendment and the other Loan Documents (as amended by this Amendment) to which such Borrower or Guarantor is a party and authorizing specific officers of such Borrower to execute the same;</w:t>
      </w:r>
    </w:p>
    <w:p>
      <w:pPr>
        <w:spacing w:after="0" w:line="62" w:lineRule="exact"/>
        <w:rPr>
          <w:rFonts w:ascii="Arial" w:cs="Arial" w:eastAsia="Arial" w:hAnsi="Arial"/>
          <w:sz w:val="18"/>
          <w:szCs w:val="18"/>
          <w:color w:val="auto"/>
        </w:rPr>
      </w:pPr>
    </w:p>
    <w:p>
      <w:pPr>
        <w:ind w:left="-921" w:right="60" w:firstLine="1948"/>
        <w:spacing w:after="0" w:line="332" w:lineRule="auto"/>
        <w:tabs>
          <w:tab w:leader="none" w:pos="1326" w:val="left"/>
        </w:tabs>
        <w:numPr>
          <w:ilvl w:val="2"/>
          <w:numId w:val="48"/>
        </w:numPr>
        <w:rPr>
          <w:rFonts w:ascii="Arial" w:cs="Arial" w:eastAsia="Arial" w:hAnsi="Arial"/>
          <w:sz w:val="16"/>
          <w:szCs w:val="16"/>
          <w:color w:val="auto"/>
        </w:rPr>
      </w:pPr>
      <w:r>
        <w:rPr>
          <w:rFonts w:ascii="Arial" w:cs="Arial" w:eastAsia="Arial" w:hAnsi="Arial"/>
          <w:sz w:val="16"/>
          <w:szCs w:val="16"/>
          <w:color w:val="auto"/>
        </w:rPr>
        <w:t>copies of each Borrower’s, Consolidated Industries’ and Parent’s Governing Documents, as amended, modified, or supplemented to the Eighth Amendment Effective Date, certified by the Secretary or Assistant Secretary of such Borrower or such Guarantor; and</w:t>
      </w:r>
    </w:p>
    <w:p>
      <w:pPr>
        <w:spacing w:after="0" w:line="4" w:lineRule="exact"/>
        <w:rPr>
          <w:rFonts w:ascii="Arial" w:cs="Arial" w:eastAsia="Arial" w:hAnsi="Arial"/>
          <w:sz w:val="16"/>
          <w:szCs w:val="16"/>
          <w:color w:val="auto"/>
        </w:rPr>
      </w:pPr>
    </w:p>
    <w:p>
      <w:pPr>
        <w:jc w:val="both"/>
        <w:ind w:left="-921" w:right="60" w:firstLine="1948"/>
        <w:spacing w:after="0" w:line="259" w:lineRule="auto"/>
        <w:tabs>
          <w:tab w:leader="none" w:pos="1316" w:val="left"/>
        </w:tabs>
        <w:numPr>
          <w:ilvl w:val="2"/>
          <w:numId w:val="48"/>
        </w:numPr>
        <w:rPr>
          <w:rFonts w:ascii="Arial" w:cs="Arial" w:eastAsia="Arial" w:hAnsi="Arial"/>
          <w:sz w:val="18"/>
          <w:szCs w:val="18"/>
          <w:color w:val="auto"/>
        </w:rPr>
      </w:pPr>
      <w:r>
        <w:rPr>
          <w:rFonts w:ascii="Arial" w:cs="Arial" w:eastAsia="Arial" w:hAnsi="Arial"/>
          <w:sz w:val="18"/>
          <w:szCs w:val="18"/>
          <w:color w:val="auto"/>
        </w:rPr>
        <w:t>a certificate of status with respect to each Borrower, Consolidated Industries and Parent, dated no earlier than 60 days prior to the Eighth Amendment Effective Date, such certificate to be issued by the appropriate officer of the jurisdiction of organization of such Borrower or such Guarantor, which certificate shall indicate that such Borrower or such Guarantor is in good standing in such jurisdiction.</w:t>
      </w:r>
    </w:p>
    <w:p>
      <w:pPr>
        <w:spacing w:after="0" w:line="59" w:lineRule="exact"/>
        <w:rPr>
          <w:rFonts w:ascii="Arial" w:cs="Arial" w:eastAsia="Arial" w:hAnsi="Arial"/>
          <w:sz w:val="18"/>
          <w:szCs w:val="18"/>
          <w:color w:val="auto"/>
        </w:rPr>
      </w:pPr>
    </w:p>
    <w:p>
      <w:pPr>
        <w:ind w:left="-921" w:right="260" w:firstLine="1492"/>
        <w:spacing w:after="0" w:line="332" w:lineRule="auto"/>
        <w:tabs>
          <w:tab w:leader="none" w:pos="81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Effectiveness of the LSB Notes. (i) The LSB Notes shall have been issued and the proceeds therefrom shall have been received by the Parent, and (ii) the proceeds from the LSB Notes shall be used, in part, to repay in full the BofA Loans and all obligations related thereto.</w:t>
      </w:r>
    </w:p>
    <w:p>
      <w:pPr>
        <w:spacing w:after="0" w:line="4" w:lineRule="exact"/>
        <w:rPr>
          <w:rFonts w:ascii="Arial" w:cs="Arial" w:eastAsia="Arial" w:hAnsi="Arial"/>
          <w:sz w:val="16"/>
          <w:szCs w:val="16"/>
          <w:color w:val="auto"/>
        </w:rPr>
      </w:pPr>
    </w:p>
    <w:p>
      <w:pPr>
        <w:ind w:left="-921" w:right="340" w:firstLine="921"/>
        <w:spacing w:after="0" w:line="268"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Borrower, and only with respect to parts (b) and (c) below, Parent and Consolidated Industries, hereby represents and warrants to the Agent and the Lenders as follows:</w:t>
      </w:r>
    </w:p>
    <w:p>
      <w:pPr>
        <w:spacing w:after="0" w:line="50" w:lineRule="exact"/>
        <w:rPr>
          <w:rFonts w:ascii="Arial" w:cs="Arial" w:eastAsia="Arial" w:hAnsi="Arial"/>
          <w:sz w:val="18"/>
          <w:szCs w:val="18"/>
          <w:color w:val="auto"/>
        </w:rPr>
      </w:pPr>
    </w:p>
    <w:p>
      <w:pPr>
        <w:ind w:left="-921" w:firstLine="1492"/>
        <w:spacing w:after="0" w:line="290" w:lineRule="auto"/>
        <w:tabs>
          <w:tab w:leader="none" w:pos="801" w:val="left"/>
        </w:tabs>
        <w:numPr>
          <w:ilvl w:val="1"/>
          <w:numId w:val="49"/>
        </w:numPr>
        <w:rPr>
          <w:rFonts w:ascii="Arial" w:cs="Arial" w:eastAsia="Arial" w:hAnsi="Arial"/>
          <w:sz w:val="16"/>
          <w:szCs w:val="16"/>
          <w:color w:val="auto"/>
        </w:rPr>
      </w:pPr>
      <w:r>
        <w:rPr>
          <w:rFonts w:ascii="Arial" w:cs="Arial" w:eastAsia="Arial" w:hAnsi="Arial"/>
          <w:sz w:val="16"/>
          <w:szCs w:val="16"/>
          <w:color w:val="auto"/>
        </w:rPr>
        <w:t>Representations and Warranties; No Event of Default. The representations and warranties herein, in Section 5 of the Loan Agreement (as updated prior to the date hereof in accordance with the Loan Agreement), and in each other Loan Document and certificate or other writing delivered to the Agent or any Lender pursuant hereto on or prior to the Eighth Amendment Effective Date are correct in all material respects on and as of the Eighth Amendment Effective Date as though made on and as of such date, except to the extent that such representations and warranties (or any schedules related thereto) expressly relate solely to an earlier date (in which case such representations and warranties are true and correct in all material respects on and as of such date); and after giving effect to the amendments, consents and waivers set forth herein, no Default or Event of Default has occurred and is continuing on the Eighth Amendment Effective Date or would result from this Amendment becoming effective in accordance with its terms;</w:t>
      </w:r>
    </w:p>
    <w:p>
      <w:pPr>
        <w:sectPr>
          <w:pgSz w:w="11900" w:h="16838" w:orient="portrait"/>
          <w:cols w:equalWidth="0" w:num="1">
            <w:col w:w="10479"/>
          </w:cols>
          <w:pgMar w:left="1161" w:top="280" w:right="259" w:bottom="1440" w:gutter="0" w:footer="0" w:header="0"/>
        </w:sectPr>
      </w:pPr>
    </w:p>
    <w:bookmarkStart w:id="66" w:name="page67"/>
    <w:bookmarkEnd w:id="66"/>
    <w:p>
      <w:pPr>
        <w:ind w:left="-921" w:firstLine="1492"/>
        <w:spacing w:after="0" w:line="254" w:lineRule="auto"/>
        <w:tabs>
          <w:tab w:leader="none" w:pos="811" w:val="left"/>
        </w:tabs>
        <w:numPr>
          <w:ilvl w:val="1"/>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Organization, Good Standing, Etc. Parent, Consolidated Industries and each Borrower (i) is a corporation duly organized, validly existing and in good standing under the laws of the state of its organization, (ii) has all requisite power and authority to execute, deliver and perform this Amendment and the other Loan Documents to which it is a party being executed in connection with this Amendment, and to perform its respective obligations under the Loan Agreement, as amended hereby, and (iii) is duly qualified to do business and is in good standing in each jurisdiction in which the character of the properties owned or leased by it or in which the transaction of its business makes such qualification necessary except where the failure to be so qualified reasonably could not be expected to have a Material Adverse Change.</w:t>
      </w:r>
    </w:p>
    <w:p>
      <w:pPr>
        <w:spacing w:after="0" w:line="63" w:lineRule="exact"/>
        <w:rPr>
          <w:rFonts w:ascii="Arial" w:cs="Arial" w:eastAsia="Arial" w:hAnsi="Arial"/>
          <w:sz w:val="18"/>
          <w:szCs w:val="18"/>
          <w:color w:val="auto"/>
        </w:rPr>
      </w:pPr>
    </w:p>
    <w:p>
      <w:pPr>
        <w:ind w:left="-921" w:right="60" w:firstLine="1492"/>
        <w:spacing w:after="0" w:line="290" w:lineRule="auto"/>
        <w:tabs>
          <w:tab w:leader="none" w:pos="801" w:val="left"/>
        </w:tabs>
        <w:numPr>
          <w:ilvl w:val="1"/>
          <w:numId w:val="50"/>
        </w:numPr>
        <w:rPr>
          <w:rFonts w:ascii="Arial" w:cs="Arial" w:eastAsia="Arial" w:hAnsi="Arial"/>
          <w:sz w:val="16"/>
          <w:szCs w:val="16"/>
          <w:color w:val="auto"/>
        </w:rPr>
      </w:pPr>
      <w:r>
        <w:rPr>
          <w:rFonts w:ascii="Arial" w:cs="Arial" w:eastAsia="Arial" w:hAnsi="Arial"/>
          <w:sz w:val="16"/>
          <w:szCs w:val="16"/>
          <w:color w:val="auto"/>
        </w:rPr>
        <w:t>Authorization, Etc. The execution, delivery and performance by each Borrower, Parent and Consolidated Industries of this Amendment, and the performance by each Borrower, Parent and Consolidated Industries of the Loan Agreement and the other Loan Documents to which it is a party, each as amended hereby, (i) have been duly authorized by all necessary action on the part of such Borrower, Parent or Consolidated Industries, (ii) do not and will not contravene such Borrower’s, Parent’s or Consolidated Industries’ charter or by-laws, any applicable law or any material contractual restriction binding on it or any of its properties, (iii) do not and will not result in or require the creation of any Lien (other than pursuant to any Loan Document) upon or with respect to any of its properties, and (iv) do not and will not result in any suspension, revocation, impairment, forfeiture or nonrenewal of any permit, license, authorization or approval applicable to its operations or any of its properties.</w:t>
      </w:r>
    </w:p>
    <w:p>
      <w:pPr>
        <w:spacing w:after="0" w:line="37" w:lineRule="exact"/>
        <w:rPr>
          <w:rFonts w:ascii="Arial" w:cs="Arial" w:eastAsia="Arial" w:hAnsi="Arial"/>
          <w:sz w:val="16"/>
          <w:szCs w:val="16"/>
          <w:color w:val="auto"/>
        </w:rPr>
      </w:pPr>
    </w:p>
    <w:p>
      <w:pPr>
        <w:ind w:left="259" w:hanging="259"/>
        <w:spacing w:after="0"/>
        <w:tabs>
          <w:tab w:leader="none" w:pos="25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21" w:firstLine="1492"/>
        <w:spacing w:after="0" w:line="289" w:lineRule="auto"/>
        <w:tabs>
          <w:tab w:leader="none" w:pos="801" w:val="left"/>
        </w:tabs>
        <w:numPr>
          <w:ilvl w:val="1"/>
          <w:numId w:val="51"/>
        </w:numPr>
        <w:rPr>
          <w:rFonts w:ascii="Arial" w:cs="Arial" w:eastAsia="Arial" w:hAnsi="Arial"/>
          <w:sz w:val="16"/>
          <w:szCs w:val="16"/>
          <w:color w:val="auto"/>
        </w:rPr>
      </w:pPr>
      <w:r>
        <w:rPr>
          <w:rFonts w:ascii="Arial" w:cs="Arial" w:eastAsia="Arial" w:hAnsi="Arial"/>
          <w:sz w:val="16"/>
          <w:szCs w:val="16"/>
          <w:color w:val="auto"/>
        </w:rPr>
        <w:t>Continued Effectiveness of the Loan Agreement. Except as otherwise expressly provided herein, the Loan Agreement and the other Loan Documents are, and shall continue to be, in full force and effect and are hereby ratified and confirmed in all respects, except that on and after the Eighth Amendment Effective Date (i) all references in the Loan Agreement to “this Agreement”, “hereto”, “hereof”, “hereunder” or words of like import referring to the Loan Agreement shall mean the Loan Agreement as amended by this Amendment, and (ii) all references in the other Loan Documents to which any Borrower is a party to the “Loan Agreement”, “thereto”, “thereof”, “thereunder” or words of like import referring to the Loan Agreement shall mean the Loan Agreement as amended by this Amendment. Except as expressly provided herein, the execution, delivery and effectiveness of this Amendment shall not operate as an amendment, modification or waiver of any right, power or remedy of the Lender under the Loan Agreement or any other Loan Document, nor constitute an amendment of any provision of the Loan Agreement or any other Loan Document.</w:t>
      </w:r>
    </w:p>
    <w:p>
      <w:pPr>
        <w:sectPr>
          <w:pgSz w:w="11900" w:h="16838" w:orient="portrait"/>
          <w:cols w:equalWidth="0" w:num="1">
            <w:col w:w="10479"/>
          </w:cols>
          <w:pgMar w:left="1161" w:top="280" w:right="259" w:bottom="1440" w:gutter="0" w:footer="0" w:header="0"/>
        </w:sectPr>
      </w:pPr>
    </w:p>
    <w:bookmarkStart w:id="67" w:name="page68"/>
    <w:bookmarkEnd w:id="67"/>
    <w:p>
      <w:pPr>
        <w:ind w:right="160" w:firstLine="1492"/>
        <w:spacing w:after="0" w:line="332"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This Amendment may be executed in any number of counterparts and by different parties hereto in separate counterparts, each of which shall be deemed to be an original, but all of which taken together shall constitute one and the same agreement.</w:t>
      </w:r>
    </w:p>
    <w:p>
      <w:pPr>
        <w:spacing w:after="0" w:line="4" w:lineRule="exact"/>
        <w:rPr>
          <w:rFonts w:ascii="Arial" w:cs="Arial" w:eastAsia="Arial" w:hAnsi="Arial"/>
          <w:sz w:val="16"/>
          <w:szCs w:val="16"/>
          <w:color w:val="auto"/>
        </w:rPr>
      </w:pPr>
    </w:p>
    <w:p>
      <w:pPr>
        <w:ind w:left="1740" w:hanging="248"/>
        <w:spacing w:after="0"/>
        <w:tabs>
          <w:tab w:leader="none" w:pos="1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Headings. Section headings herein are included for convenience of reference only and shall not constitute a part of this Amendment for</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other purpose.</w:t>
      </w:r>
    </w:p>
    <w:p>
      <w:pPr>
        <w:spacing w:after="0" w:line="83" w:lineRule="exact"/>
        <w:rPr>
          <w:rFonts w:ascii="Arial" w:cs="Arial" w:eastAsia="Arial" w:hAnsi="Arial"/>
          <w:sz w:val="16"/>
          <w:szCs w:val="16"/>
          <w:color w:val="auto"/>
        </w:rPr>
      </w:pPr>
    </w:p>
    <w:p>
      <w:pPr>
        <w:ind w:left="1740" w:hanging="248"/>
        <w:spacing w:after="0"/>
        <w:tabs>
          <w:tab w:leader="none" w:pos="17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Governing Law. This Amendment shall be governed by, and construed in accordance with, the law of the State of New York.</w:t>
      </w:r>
    </w:p>
    <w:p>
      <w:pPr>
        <w:spacing w:after="0" w:line="113" w:lineRule="exact"/>
        <w:rPr>
          <w:rFonts w:ascii="Arial" w:cs="Arial" w:eastAsia="Arial" w:hAnsi="Arial"/>
          <w:sz w:val="16"/>
          <w:szCs w:val="16"/>
          <w:color w:val="auto"/>
        </w:rPr>
      </w:pPr>
    </w:p>
    <w:p>
      <w:pPr>
        <w:ind w:right="280" w:firstLine="1492"/>
        <w:spacing w:after="0" w:line="357" w:lineRule="auto"/>
        <w:tabs>
          <w:tab w:leader="none" w:pos="1722" w:val="left"/>
        </w:tabs>
        <w:numPr>
          <w:ilvl w:val="0"/>
          <w:numId w:val="52"/>
        </w:numPr>
        <w:rPr>
          <w:rFonts w:ascii="Arial" w:cs="Arial" w:eastAsia="Arial" w:hAnsi="Arial"/>
          <w:sz w:val="15"/>
          <w:szCs w:val="15"/>
          <w:color w:val="auto"/>
        </w:rPr>
      </w:pPr>
      <w:r>
        <w:rPr>
          <w:rFonts w:ascii="Arial" w:cs="Arial" w:eastAsia="Arial" w:hAnsi="Arial"/>
          <w:sz w:val="15"/>
          <w:szCs w:val="15"/>
          <w:color w:val="auto"/>
        </w:rPr>
        <w:t>Costs and Expenses. The Borrowers jointly and severally agree to pay on demand all reasonable fees, costs and expenses of the Agent and each Lender in connection with the preparation, execution and delivery of this Amendment and the other related agreements, instruments and documents.</w:t>
      </w:r>
    </w:p>
    <w:p>
      <w:pPr>
        <w:ind w:right="200" w:firstLine="1492"/>
        <w:spacing w:after="0" w:line="298" w:lineRule="auto"/>
        <w:tabs>
          <w:tab w:leader="none" w:pos="1703"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Amendment as Loan Document. Each Borrower hereby acknowledges and agrees that this Amendment constitutes a “Loan Document” under the Loan Agreement. Accordingly, it shall be an Event of Default under the Loan Agreement (i) if any representation or warranty made by a Borrower under or in connection with this Amendment shall have been untrue, false or misleading in any material respect when made or (ii) if Borrowers fail to perform, keep, or observe any term, provision, condition, covenant, or agreement contained in this Amendment.</w:t>
      </w:r>
    </w:p>
    <w:p>
      <w:pPr>
        <w:spacing w:after="0" w:line="31" w:lineRule="exact"/>
        <w:rPr>
          <w:rFonts w:ascii="Arial" w:cs="Arial" w:eastAsia="Arial" w:hAnsi="Arial"/>
          <w:sz w:val="16"/>
          <w:szCs w:val="16"/>
          <w:color w:val="auto"/>
        </w:rPr>
      </w:pPr>
    </w:p>
    <w:p>
      <w:pPr>
        <w:ind w:firstLine="1492"/>
        <w:spacing w:after="0" w:line="286" w:lineRule="auto"/>
        <w:tabs>
          <w:tab w:leader="none" w:pos="1732" w:val="left"/>
        </w:tabs>
        <w:numPr>
          <w:ilvl w:val="0"/>
          <w:numId w:val="52"/>
        </w:numPr>
        <w:rPr>
          <w:rFonts w:ascii="Arial" w:cs="Arial" w:eastAsia="Arial" w:hAnsi="Arial"/>
          <w:sz w:val="16"/>
          <w:szCs w:val="16"/>
          <w:color w:val="auto"/>
        </w:rPr>
      </w:pPr>
      <w:r>
        <w:rPr>
          <w:rFonts w:ascii="Arial" w:cs="Arial" w:eastAsia="Arial" w:hAnsi="Arial"/>
          <w:sz w:val="16"/>
          <w:szCs w:val="16"/>
          <w:color w:val="auto"/>
        </w:rPr>
        <w:t>General Release. Each Borrower and Guarantor hereby acknowledges and agrees that no Borrower or Guarantor has, as of the date of this Amendment, any defense, counterclaim, offset, cross-complaint, claim or demand of any kind or nature whatsoever that can be asserted to reduce or eliminate all or any part of its liability to repay the obligations or to seek affirmative relief or damages of any kind or nature from the Agent, any member of the Lender Group or any other Lender-Related Persons. Each Borrower and Guarantor hereby voluntarily and knowingly releases and forever discharges the Agent, each member of the Lender Group, the other Lender-Related Persons and each of their respective predecessors, agents, employees, attorneys, successors and assigns (collectively, the “</w:t>
      </w:r>
      <w:r>
        <w:rPr>
          <w:rFonts w:ascii="Arial" w:cs="Arial" w:eastAsia="Arial" w:hAnsi="Arial"/>
          <w:sz w:val="16"/>
          <w:szCs w:val="16"/>
          <w:u w:val="single" w:color="auto"/>
          <w:color w:val="auto"/>
        </w:rPr>
        <w:t>Released Parties</w:t>
      </w:r>
      <w:r>
        <w:rPr>
          <w:rFonts w:ascii="Arial" w:cs="Arial" w:eastAsia="Arial" w:hAnsi="Arial"/>
          <w:sz w:val="16"/>
          <w:szCs w:val="16"/>
          <w:color w:val="auto"/>
        </w:rPr>
        <w:t>”) from all possible claims, demands, actions, causes of action, damages, costs, expenses and liabilities whatsoever, whether known or unknown, anticipated or unanticipated, suspected or unsuspected, fixed, contingent or conditional, or at law or in equity, in any case originating in whole or in part on or before the date this Amendment is executed that any Borrower or Guarantor may now or hereafter have against the Released Parties, if any, irrespective of whether any such claims arise out of contract, tort, violation of law or regulations, or otherwise, and that arise from any Loans, the exercise of any rights and remedies under the Loan Agreement or other Loan Documents, and/or negotiation for and execution of this Amendment, including, without limitation, any contracting for, charging, taking, reserving, collecting or receiving interest in excess of the highest lawful rate applicable.</w:t>
      </w:r>
    </w:p>
    <w:p>
      <w:pPr>
        <w:sectPr>
          <w:pgSz w:w="11900" w:h="16838" w:orient="portrait"/>
          <w:cols w:equalWidth="0" w:num="1">
            <w:col w:w="11420"/>
          </w:cols>
          <w:pgMar w:left="240" w:top="280" w:right="239" w:bottom="1440" w:gutter="0" w:footer="0" w:header="0"/>
        </w:sectPr>
      </w:pPr>
    </w:p>
    <w:bookmarkStart w:id="68" w:name="page69"/>
    <w:bookmarkEnd w:id="68"/>
    <w:p>
      <w:pPr>
        <w:ind w:left="-100" w:firstLine="1492"/>
        <w:spacing w:after="0" w:line="256" w:lineRule="auto"/>
        <w:tabs>
          <w:tab w:leader="none" w:pos="1632"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Waiver of Jury Trial. EACH BORROWER, THE AGENT AND THE LENDERS HEREBY IRREVOCABLY WAIVE THEIR RESPECTIVE RIGHTS TO A JURY TRIAL OF ANY CLAIM OR CAUSE OF ACTION BASED UPON OR ARISING OUT OF THIS AMENDMENT OR ANY OF THE TRANSACTIONS CONTEMPLATED HEREIN, INCLUDING CONTRACT CLAIMS, TORT CLAIMS, BREACH OF DUTY CLAIMS, AND ALL OTHER COMMON LAW OR STATUTORY CLAIMS.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REMAINDER OF THIS PAGE HAS BEEN INTENTIONALLY LEFT BLANK]</w:t>
      </w:r>
    </w:p>
    <w:p>
      <w:pPr>
        <w:sectPr>
          <w:pgSz w:w="11900" w:h="16838" w:orient="portrait"/>
          <w:cols w:equalWidth="0" w:num="1">
            <w:col w:w="11220"/>
          </w:cols>
          <w:pgMar w:left="340" w:top="280" w:right="33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to be executed and delivered as of the date first above written.</w:t>
      </w:r>
    </w:p>
    <w:p>
      <w:pPr>
        <w:spacing w:after="0" w:line="246"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Parent</w:t>
      </w:r>
      <w:r>
        <w:rPr>
          <w:rFonts w:ascii="Arial" w:cs="Arial" w:eastAsia="Arial" w:hAnsi="Arial"/>
          <w:sz w:val="18"/>
          <w:szCs w:val="18"/>
          <w:color w:val="auto"/>
        </w:rPr>
        <w:t>:</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LSB INDUSTRIES, INC.,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 Delaware corporation</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Consolidated Industries</w:t>
      </w:r>
      <w:r>
        <w:rPr>
          <w:rFonts w:ascii="Arial" w:cs="Arial" w:eastAsia="Arial" w:hAnsi="Arial"/>
          <w:sz w:val="18"/>
          <w:szCs w:val="18"/>
          <w:color w:val="auto"/>
        </w:rPr>
        <w:t>:</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CONSOLIDATED INDUSTRIES CORP.,</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THERMACLIME, L.L.C.,</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 Oklahoma limited liability company</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CHEROKEE NITROGEN COMPANY,</w:t>
      </w:r>
    </w:p>
    <w:p>
      <w:pPr>
        <w:spacing w:after="0" w:line="2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3949065</wp:posOffset>
            </wp:positionH>
            <wp:positionV relativeFrom="paragraph">
              <wp:posOffset>10795</wp:posOffset>
            </wp:positionV>
            <wp:extent cx="2718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9680"/>
          </w:cols>
          <w:pgMar w:left="1160" w:top="280" w:right="1059" w:bottom="1440" w:gutter="0" w:footer="0" w:header="0"/>
        </w:sectPr>
      </w:pPr>
    </w:p>
    <w:bookmarkStart w:id="70" w:name="page71"/>
    <w:bookmarkEnd w:id="70"/>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CLIMATE MASTER,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 Delaware corporation</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CLIMATECRAFT,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CLIMACOOL, CORP.,</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INTERNATIONAL ENVIRONMENTAL CORPORATION,</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THERMACLIME TECHNOLOGIES,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10180"/>
          </w:cols>
          <w:pgMar w:left="1440" w:top="274" w:right="279" w:bottom="1440" w:gutter="0" w:footer="0" w:header="0"/>
        </w:sectPr>
      </w:pPr>
    </w:p>
    <w:bookmarkStart w:id="71" w:name="page72"/>
    <w:bookmarkEnd w:id="71"/>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KOAX CORP., </w:t>
      </w:r>
      <w:r>
        <w:rPr>
          <w:rFonts w:ascii="Arial" w:cs="Arial" w:eastAsia="Arial" w:hAnsi="Arial"/>
          <w:sz w:val="18"/>
          <w:szCs w:val="18"/>
          <w:color w:val="auto"/>
        </w:rPr>
        <w:t>an Oklahoma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LSB CHEMICAL CORP.,</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XPEDIAIR, INC., </w:t>
      </w:r>
      <w:r>
        <w:rPr>
          <w:rFonts w:ascii="Arial" w:cs="Arial" w:eastAsia="Arial" w:hAnsi="Arial"/>
          <w:sz w:val="16"/>
          <w:szCs w:val="16"/>
          <w:color w:val="auto"/>
        </w:rPr>
        <w:t>an Oklahoma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EL DORADO CHEMICAL COMPANY,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6860"/>
        <w:spacing w:after="0"/>
        <w:rPr>
          <w:sz w:val="20"/>
          <w:szCs w:val="20"/>
          <w:color w:val="auto"/>
        </w:rPr>
      </w:pPr>
      <w:r>
        <w:rPr>
          <w:rFonts w:ascii="Arial" w:cs="Arial" w:eastAsia="Arial" w:hAnsi="Arial"/>
          <w:sz w:val="16"/>
          <w:szCs w:val="16"/>
          <w:b w:val="1"/>
          <w:bCs w:val="1"/>
          <w:color w:val="auto"/>
        </w:rPr>
        <w:t xml:space="preserve">CHEMEX I CORP., </w:t>
      </w:r>
      <w:r>
        <w:rPr>
          <w:rFonts w:ascii="Arial" w:cs="Arial" w:eastAsia="Arial" w:hAnsi="Arial"/>
          <w:sz w:val="16"/>
          <w:szCs w:val="16"/>
          <w:color w:val="auto"/>
        </w:rPr>
        <w:t>an Oklahoma corporation</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274" w:right="1440" w:bottom="1440" w:gutter="0" w:footer="0" w:header="0"/>
        </w:sectPr>
      </w:pPr>
    </w:p>
    <w:bookmarkStart w:id="72" w:name="page73"/>
    <w:bookmarkEnd w:id="72"/>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TRISON CONSTRUCTION, INC.,</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corporation</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EDC AG PRODUCTS COMPANY L.L.C.</w:t>
      </w:r>
      <w:r>
        <w:rPr>
          <w:rFonts w:ascii="Arial" w:cs="Arial" w:eastAsia="Arial" w:hAnsi="Arial"/>
          <w:sz w:val="16"/>
          <w:szCs w:val="16"/>
          <w:color w:val="auto"/>
        </w:rPr>
        <w:t>,</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pacing w:after="0" w:line="213"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EL DORADO AMMONIA L.L.C.</w:t>
      </w:r>
      <w:r>
        <w:rPr>
          <w:rFonts w:ascii="Arial" w:cs="Arial" w:eastAsia="Arial" w:hAnsi="Arial"/>
          <w:sz w:val="18"/>
          <w:szCs w:val="18"/>
          <w:color w:val="auto"/>
        </w:rPr>
        <w:t>,</w:t>
      </w:r>
    </w:p>
    <w:p>
      <w:pPr>
        <w:spacing w:after="0" w:line="2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 Oklahoma limited liability company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Tony M. Shelby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Executive Vice President</w:t>
      </w:r>
    </w:p>
    <w:p>
      <w:pPr>
        <w:sectPr>
          <w:pgSz w:w="11900" w:h="16838" w:orient="portrait"/>
          <w:cols w:equalWidth="0" w:num="1">
            <w:col w:w="9019"/>
          </w:cols>
          <w:pgMar w:left="1440" w:top="274" w:right="1440" w:bottom="1440" w:gutter="0" w:footer="0" w:header="0"/>
        </w:sectPr>
      </w:pPr>
    </w:p>
    <w:bookmarkStart w:id="73" w:name="page74"/>
    <w:bookmarkEnd w:id="73"/>
    <w:p>
      <w:pPr>
        <w:ind w:left="56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and Lender: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WELLS FARGO CAPITAL FINANCE, INC.,</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 California corporation, as Agent and Lender</w:t>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 Mouledous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Matt Mouledous</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ectPr>
          <w:pgSz w:w="11900" w:h="16838" w:orient="portrait"/>
          <w:cols w:equalWidth="0" w:num="1">
            <w:col w:w="9100"/>
          </w:cols>
          <w:pgMar w:left="1440" w:top="280" w:right="135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 to the Nitric Acid Supply, Operating and Maintenance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by and among El Dorado Nitrogen, L.P. El Dorado Chemical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Bayer MaterialScience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Amendment”)</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This Third Amendment dated as of this 25</w:t>
      </w:r>
      <w:r>
        <w:rPr>
          <w:rFonts w:ascii="Arial" w:cs="Arial" w:eastAsia="Arial" w:hAnsi="Arial"/>
          <w:sz w:val="11"/>
          <w:szCs w:val="11"/>
          <w:color w:val="auto"/>
        </w:rPr>
        <w:t>th</w:t>
      </w:r>
      <w:r>
        <w:rPr>
          <w:rFonts w:ascii="Arial" w:cs="Arial" w:eastAsia="Arial" w:hAnsi="Arial"/>
          <w:sz w:val="18"/>
          <w:szCs w:val="18"/>
          <w:color w:val="auto"/>
        </w:rPr>
        <w:t xml:space="preserve"> day of June, 2013 and having an effective date of July 1, 2014 (“Effective Date”), modifies and amends the above-mentioned Nitric Acid Supply, Operating and Maintenance Agreement, by and between Bayer MaterialScience LLC, a Delaware limited liability company (hereinafter referred to as “BMS”), El Dorado Nitrogen, L.P., a Texas limited partnership (hereinafter referred to as “EDNLP”) and El Dorado Chemical Company, an Oklahoma corporation (hereinafter referred to as “El Dorado”).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RECITALS</w:t>
      </w:r>
    </w:p>
    <w:p>
      <w:pPr>
        <w:spacing w:after="0" w:line="90"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EDNLP, El Dorado and BMS are parties to that certain Nitric Acid Supply, Operating and Maintenance Agreement, having an 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October 23, 2008 and amended by the First Amendment effective July 1, 2009 and the Second Amendment dated June 16, 2010 (as amended, the “Agreement”),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and have agreed to amend the Agreement,</w:t>
      </w:r>
    </w:p>
    <w:p>
      <w:pPr>
        <w:spacing w:after="0" w:line="171"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hereinafter contained, and intending to be legally bound, the parties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w:t>
      </w:r>
    </w:p>
    <w:p>
      <w:pPr>
        <w:spacing w:after="0" w:line="96"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herein not otherwise defined herein shall have the meaning specified in the Agreement.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1.31, Egress Fee</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1.31, Egress Fee</w:t>
      </w:r>
      <w:r>
        <w:rPr>
          <w:rFonts w:ascii="Arial" w:cs="Arial" w:eastAsia="Arial" w:hAnsi="Arial"/>
          <w:sz w:val="18"/>
          <w:szCs w:val="18"/>
          <w:color w:val="auto"/>
        </w:rPr>
        <w:t xml:space="preserve"> in its entirety and replace with the following:</w:t>
      </w:r>
    </w:p>
    <w:p>
      <w:pPr>
        <w:spacing w:after="0" w:line="90" w:lineRule="exact"/>
        <w:rPr>
          <w:rFonts w:ascii="Arial" w:cs="Arial" w:eastAsia="Arial" w:hAnsi="Arial"/>
          <w:sz w:val="18"/>
          <w:szCs w:val="18"/>
          <w:color w:val="auto"/>
        </w:rPr>
      </w:pPr>
    </w:p>
    <w:p>
      <w:pPr>
        <w:ind w:left="460" w:right="64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Egress Fee</w:t>
      </w:r>
      <w:r>
        <w:rPr>
          <w:rFonts w:ascii="Arial" w:cs="Arial" w:eastAsia="Arial" w:hAnsi="Arial"/>
          <w:sz w:val="18"/>
          <w:szCs w:val="18"/>
          <w:color w:val="auto"/>
        </w:rPr>
        <w:t>—The throughput charge of *** per ton of Surplus Nitric Acid (one hundred percent assay basis) shipped from the Nitric Acid Facility pursuant to Section 5.2 hereof.”</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Section 1.39, Expiration Termination Fee</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1.39, Expiration Termination Fee</w:t>
      </w:r>
      <w:r>
        <w:rPr>
          <w:rFonts w:ascii="Arial" w:cs="Arial" w:eastAsia="Arial" w:hAnsi="Arial"/>
          <w:sz w:val="18"/>
          <w:szCs w:val="18"/>
          <w:color w:val="auto"/>
        </w:rPr>
        <w:t xml:space="preserve"> in its entirety and replace with the following:</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Termination Fee</w:t>
      </w:r>
      <w:r>
        <w:rPr>
          <w:rFonts w:ascii="Arial" w:cs="Arial" w:eastAsia="Arial" w:hAnsi="Arial"/>
          <w:sz w:val="18"/>
          <w:szCs w:val="18"/>
          <w:color w:val="auto"/>
        </w:rPr>
        <w:t xml:space="preserve"> – Shall mean ***.”</w:t>
      </w:r>
    </w:p>
    <w:p>
      <w:pPr>
        <w:spacing w:after="0" w:line="9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Section 1.62, Operating Fee Monthly Charge</w:t>
      </w:r>
      <w:r>
        <w:rPr>
          <w:rFonts w:ascii="Arial" w:cs="Arial" w:eastAsia="Arial" w:hAnsi="Arial"/>
          <w:sz w:val="16"/>
          <w:szCs w:val="16"/>
          <w:color w:val="auto"/>
        </w:rPr>
        <w:t xml:space="preserve">. Delete </w:t>
      </w:r>
      <w:r>
        <w:rPr>
          <w:rFonts w:ascii="Arial" w:cs="Arial" w:eastAsia="Arial" w:hAnsi="Arial"/>
          <w:sz w:val="16"/>
          <w:szCs w:val="16"/>
          <w:u w:val="single" w:color="auto"/>
          <w:color w:val="auto"/>
        </w:rPr>
        <w:t>Section 1.62, Operating Fee Monthly Charge</w:t>
      </w:r>
      <w:r>
        <w:rPr>
          <w:rFonts w:ascii="Arial" w:cs="Arial" w:eastAsia="Arial" w:hAnsi="Arial"/>
          <w:sz w:val="16"/>
          <w:szCs w:val="16"/>
          <w:color w:val="auto"/>
        </w:rPr>
        <w:t xml:space="preserve"> in its entirety and replace with the following:</w:t>
      </w:r>
    </w:p>
    <w:p>
      <w:pPr>
        <w:spacing w:after="0" w:line="17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125" w:right="239" w:bottom="1440" w:gutter="0" w:footer="0" w:header="0"/>
        </w:sectPr>
      </w:pPr>
    </w:p>
    <w:bookmarkStart w:id="75" w:name="page76"/>
    <w:bookmarkEnd w:id="75"/>
    <w:p>
      <w:pPr>
        <w:jc w:val="both"/>
        <w:ind w:left="460" w:right="5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Base Operating Fee Monthly Charge</w:t>
      </w:r>
      <w:r>
        <w:rPr>
          <w:rFonts w:ascii="Arial" w:cs="Arial" w:eastAsia="Arial" w:hAnsi="Arial"/>
          <w:sz w:val="16"/>
          <w:szCs w:val="16"/>
          <w:color w:val="auto"/>
        </w:rPr>
        <w:t>—Shall mean a fixed fee of *** per year divided by 12. The Base Operating Fee Monthly Charge is subject to adjustment upon mutual written agreement after the Initial Term and upon the expiration of each subsequent Renewal Term. The Base Operating Fee Monthly Charge may be increased if the criteria defined in Base Operating Fee Monthly Charge Adjustments are met.”</w:t>
      </w:r>
    </w:p>
    <w:p>
      <w:pPr>
        <w:spacing w:after="0" w:line="26" w:lineRule="exact"/>
        <w:rPr>
          <w:sz w:val="20"/>
          <w:szCs w:val="20"/>
          <w:color w:val="auto"/>
        </w:rPr>
      </w:pPr>
    </w:p>
    <w:p>
      <w:pPr>
        <w:ind w:left="460" w:right="72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Section 1.62(A), Base Operating Fee Monthly Charge Adjustments</w:t>
      </w:r>
      <w:r>
        <w:rPr>
          <w:rFonts w:ascii="Arial" w:cs="Arial" w:eastAsia="Arial" w:hAnsi="Arial"/>
          <w:sz w:val="18"/>
          <w:szCs w:val="18"/>
          <w:color w:val="auto"/>
        </w:rPr>
        <w:t xml:space="preserve">. Add </w:t>
      </w:r>
      <w:r>
        <w:rPr>
          <w:rFonts w:ascii="Arial" w:cs="Arial" w:eastAsia="Arial" w:hAnsi="Arial"/>
          <w:sz w:val="18"/>
          <w:szCs w:val="18"/>
          <w:u w:val="single" w:color="auto"/>
          <w:color w:val="auto"/>
        </w:rPr>
        <w:t>Section 1.62(A), Base Operating Fee Monthly Charge Adjustments</w:t>
      </w:r>
      <w:r>
        <w:rPr>
          <w:rFonts w:ascii="Arial" w:cs="Arial" w:eastAsia="Arial" w:hAnsi="Arial"/>
          <w:sz w:val="18"/>
          <w:szCs w:val="18"/>
          <w:color w:val="auto"/>
        </w:rPr>
        <w:t xml:space="preserve"> after </w:t>
      </w:r>
      <w:r>
        <w:rPr>
          <w:rFonts w:ascii="Arial" w:cs="Arial" w:eastAsia="Arial" w:hAnsi="Arial"/>
          <w:sz w:val="18"/>
          <w:szCs w:val="18"/>
          <w:u w:val="single" w:color="auto"/>
          <w:color w:val="auto"/>
        </w:rPr>
        <w:t>Section 1.62, Base Operating Fee Monthly Charge</w:t>
      </w:r>
      <w:r>
        <w:rPr>
          <w:rFonts w:ascii="Arial" w:cs="Arial" w:eastAsia="Arial" w:hAnsi="Arial"/>
          <w:sz w:val="18"/>
          <w:szCs w:val="18"/>
          <w:color w:val="auto"/>
        </w:rPr>
        <w:t xml:space="preserve"> as follows:</w:t>
      </w:r>
    </w:p>
    <w:p>
      <w:pPr>
        <w:spacing w:after="0" w:line="50" w:lineRule="exact"/>
        <w:rPr>
          <w:rFonts w:ascii="Arial" w:cs="Arial" w:eastAsia="Arial" w:hAnsi="Arial"/>
          <w:sz w:val="18"/>
          <w:szCs w:val="18"/>
          <w:color w:val="auto"/>
        </w:rPr>
      </w:pPr>
    </w:p>
    <w:p>
      <w:pPr>
        <w:ind w:left="460" w:right="440"/>
        <w:spacing w:after="0" w:line="268" w:lineRule="auto"/>
        <w:rPr>
          <w:rFonts w:ascii="Arial" w:cs="Arial" w:eastAsia="Arial" w:hAnsi="Arial"/>
          <w:sz w:val="18"/>
          <w:szCs w:val="18"/>
          <w:color w:val="auto"/>
        </w:rPr>
      </w:pPr>
      <w:r>
        <w:rPr>
          <w:rFonts w:ascii="Arial" w:cs="Arial" w:eastAsia="Arial" w:hAnsi="Arial"/>
          <w:sz w:val="18"/>
          <w:szCs w:val="18"/>
          <w:color w:val="auto"/>
        </w:rPr>
        <w:t>“Base Operating Fee Monthly Charge Adjustments—During the first Renewal Term only, and based on each twelve month period from July1 through June 30, the Base Operating Fee Monthly Charge may be adjusted based on the following performance criteria:</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Section 1.70, Renewal Term</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1.70, Renewal Term</w:t>
      </w:r>
      <w:r>
        <w:rPr>
          <w:rFonts w:ascii="Arial" w:cs="Arial" w:eastAsia="Arial" w:hAnsi="Arial"/>
          <w:sz w:val="18"/>
          <w:szCs w:val="18"/>
          <w:color w:val="auto"/>
        </w:rPr>
        <w:t xml:space="preserve"> in its entirety and replace with the following:</w:t>
      </w:r>
    </w:p>
    <w:p>
      <w:pPr>
        <w:spacing w:after="0" w:line="90" w:lineRule="exact"/>
        <w:rPr>
          <w:rFonts w:ascii="Arial" w:cs="Arial" w:eastAsia="Arial" w:hAnsi="Arial"/>
          <w:sz w:val="18"/>
          <w:szCs w:val="18"/>
          <w:color w:val="auto"/>
        </w:rPr>
      </w:pPr>
    </w:p>
    <w:p>
      <w:pPr>
        <w:ind w:left="460" w:right="500"/>
        <w:spacing w:after="0" w:line="26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Renewal Term</w:t>
      </w:r>
      <w:r>
        <w:rPr>
          <w:rFonts w:ascii="Arial" w:cs="Arial" w:eastAsia="Arial" w:hAnsi="Arial"/>
          <w:sz w:val="18"/>
          <w:szCs w:val="18"/>
          <w:color w:val="auto"/>
        </w:rPr>
        <w:t>—The renewal term of this Agreement subsequent to the Initial Term shall be seven (7) years in duration unless sooner terminated as provided hereunder.”</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Section 4.1(D), Base Operating Fee Monthly Charge</w:t>
      </w:r>
      <w:r>
        <w:rPr>
          <w:rFonts w:ascii="Arial" w:cs="Arial" w:eastAsia="Arial" w:hAnsi="Arial"/>
          <w:sz w:val="16"/>
          <w:szCs w:val="16"/>
          <w:color w:val="auto"/>
        </w:rPr>
        <w:t xml:space="preserve">. Delete </w:t>
      </w:r>
      <w:r>
        <w:rPr>
          <w:rFonts w:ascii="Arial" w:cs="Arial" w:eastAsia="Arial" w:hAnsi="Arial"/>
          <w:sz w:val="16"/>
          <w:szCs w:val="16"/>
          <w:u w:val="single" w:color="auto"/>
          <w:color w:val="auto"/>
        </w:rPr>
        <w:t>Section 4.1(D) Operating Fee Monthly Charge</w:t>
      </w:r>
      <w:r>
        <w:rPr>
          <w:rFonts w:ascii="Arial" w:cs="Arial" w:eastAsia="Arial" w:hAnsi="Arial"/>
          <w:sz w:val="16"/>
          <w:szCs w:val="16"/>
          <w:color w:val="auto"/>
        </w:rPr>
        <w:t xml:space="preserve"> in its entirety and replace with the following:</w:t>
      </w:r>
    </w:p>
    <w:p>
      <w:pPr>
        <w:spacing w:after="0" w:line="113" w:lineRule="exact"/>
        <w:rPr>
          <w:rFonts w:ascii="Arial" w:cs="Arial" w:eastAsia="Arial" w:hAnsi="Arial"/>
          <w:sz w:val="16"/>
          <w:szCs w:val="16"/>
          <w:color w:val="auto"/>
        </w:rPr>
      </w:pPr>
    </w:p>
    <w:p>
      <w:pPr>
        <w:ind w:left="460"/>
        <w:spacing w:after="0" w:line="259"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Operating Fee Monthly Charge</w:t>
      </w:r>
      <w:r>
        <w:rPr>
          <w:rFonts w:ascii="Arial" w:cs="Arial" w:eastAsia="Arial" w:hAnsi="Arial"/>
          <w:sz w:val="18"/>
          <w:szCs w:val="18"/>
          <w:color w:val="auto"/>
        </w:rPr>
        <w:t>—Within thirty (30) days of the conclusion of each calendar month during each Operating Period, BMS shall also pay to EDNLP the Operating Fee Monthly Charge in respect of the preceding calendar month. ***evaluate whether any Base Operating Fee Monthly Charge Adjustments have been earned by EDNLP. ***.”</w:t>
      </w:r>
    </w:p>
    <w:p>
      <w:pPr>
        <w:spacing w:after="0" w:line="12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76" w:name="page77"/>
    <w:bookmarkEnd w:id="76"/>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4.2 (C) Electricity</w:t>
      </w:r>
      <w:r>
        <w:rPr>
          <w:rFonts w:ascii="Arial" w:cs="Arial" w:eastAsia="Arial" w:hAnsi="Arial"/>
          <w:sz w:val="18"/>
          <w:szCs w:val="18"/>
          <w:color w:val="auto"/>
        </w:rPr>
        <w:t>. The maximum consumption rate is increased from 65,000 KWH per day to 80,000 KWH per day.</w:t>
      </w:r>
    </w:p>
    <w:p>
      <w:pPr>
        <w:spacing w:after="0" w:line="90" w:lineRule="exact"/>
        <w:rPr>
          <w:rFonts w:ascii="Arial" w:cs="Arial" w:eastAsia="Arial" w:hAnsi="Arial"/>
          <w:sz w:val="18"/>
          <w:szCs w:val="18"/>
          <w:color w:val="auto"/>
        </w:rPr>
      </w:pPr>
    </w:p>
    <w:p>
      <w:pPr>
        <w:ind w:left="460" w:right="4760" w:hanging="452"/>
        <w:spacing w:after="0" w:line="344" w:lineRule="auto"/>
        <w:tabs>
          <w:tab w:leader="none" w:pos="449"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5.1(A)(i)</w:t>
      </w:r>
      <w:r>
        <w:rPr>
          <w:rFonts w:ascii="Arial" w:cs="Arial" w:eastAsia="Arial" w:hAnsi="Arial"/>
          <w:sz w:val="18"/>
          <w:szCs w:val="18"/>
          <w:color w:val="auto"/>
        </w:rPr>
        <w:t xml:space="preserve"> in its entirety and replace with the following: “5.1 </w:t>
      </w:r>
      <w:r>
        <w:rPr>
          <w:rFonts w:ascii="Arial" w:cs="Arial" w:eastAsia="Arial" w:hAnsi="Arial"/>
          <w:sz w:val="18"/>
          <w:szCs w:val="18"/>
          <w:u w:val="single" w:color="auto"/>
          <w:color w:val="auto"/>
        </w:rPr>
        <w:t>Reimbursement and Rebate</w:t>
      </w:r>
      <w:r>
        <w:rPr>
          <w:rFonts w:ascii="Arial" w:cs="Arial" w:eastAsia="Arial" w:hAnsi="Arial"/>
          <w:sz w:val="18"/>
          <w:szCs w:val="18"/>
          <w:color w:val="auto"/>
        </w:rPr>
        <w:t xml:space="preserve"> –</w:t>
      </w:r>
    </w:p>
    <w:p>
      <w:pPr>
        <w:ind w:left="900" w:right="100" w:hanging="446"/>
        <w:spacing w:after="0" w:line="306" w:lineRule="auto"/>
        <w:tabs>
          <w:tab w:leader="none" w:pos="9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In addition to the various reimbursement payments due to BMS, in any Operating Period, EDNLP shall reimburse BMS for ***. Reimbursement payments due under this Section 5.1(A) shall be made by EDNLP, on an estimated basis within 30 days of the end of each calendar month and on an actual basis through a final reconciliation within forty-five (45) days of the end of the relevant Operating Period as provided below:</w:t>
      </w:r>
    </w:p>
    <w:p>
      <w:pPr>
        <w:spacing w:after="0" w:line="26" w:lineRule="exact"/>
        <w:rPr>
          <w:sz w:val="20"/>
          <w:szCs w:val="20"/>
          <w:color w:val="auto"/>
        </w:rPr>
      </w:pPr>
    </w:p>
    <w:p>
      <w:pPr>
        <w:ind w:left="1480" w:hanging="567"/>
        <w:spacing w:after="0"/>
        <w:tabs>
          <w:tab w:leader="none" w:pos="1480" w:val="left"/>
        </w:tabs>
        <w:numPr>
          <w:ilvl w:val="2"/>
          <w:numId w:val="59"/>
        </w:numPr>
        <w:rPr>
          <w:rFonts w:ascii="Arial" w:cs="Arial" w:eastAsia="Arial" w:hAnsi="Arial"/>
          <w:sz w:val="18"/>
          <w:szCs w:val="18"/>
          <w:color w:val="auto"/>
        </w:rPr>
      </w:pPr>
      <w:r>
        <w:rPr>
          <w:rFonts w:ascii="Arial" w:cs="Arial" w:eastAsia="Arial" w:hAnsi="Arial"/>
          <w:sz w:val="18"/>
          <w:szCs w:val="18"/>
          <w:u w:val="single" w:color="auto"/>
          <w:color w:val="auto"/>
        </w:rPr>
        <w:t>Monthly</w:t>
      </w:r>
      <w:r>
        <w:rPr>
          <w:rFonts w:ascii="Arial" w:cs="Arial" w:eastAsia="Arial" w:hAnsi="Arial"/>
          <w:sz w:val="18"/>
          <w:szCs w:val="18"/>
          <w:color w:val="auto"/>
        </w:rPr>
        <w:t xml:space="preserve"> – The monthly reimbursement payment shall be calculated in accordance with the following formula:</w:t>
      </w:r>
    </w:p>
    <w:p>
      <w:pPr>
        <w:spacing w:after="0" w:line="90"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4780" w:hanging="452"/>
        <w:spacing w:after="0" w:line="344" w:lineRule="auto"/>
        <w:tabs>
          <w:tab w:leader="none" w:pos="449"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Section 5.1(B)(i). Delete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in its entirety and replace with the following: “5.1 </w:t>
      </w:r>
      <w:r>
        <w:rPr>
          <w:rFonts w:ascii="Arial" w:cs="Arial" w:eastAsia="Arial" w:hAnsi="Arial"/>
          <w:sz w:val="18"/>
          <w:szCs w:val="18"/>
          <w:u w:val="single" w:color="auto"/>
          <w:color w:val="auto"/>
        </w:rPr>
        <w:t>Reimbursement and Rebate</w:t>
      </w:r>
      <w:r>
        <w:rPr>
          <w:rFonts w:ascii="Arial" w:cs="Arial" w:eastAsia="Arial" w:hAnsi="Arial"/>
          <w:sz w:val="18"/>
          <w:szCs w:val="18"/>
          <w:color w:val="auto"/>
        </w:rPr>
        <w:t xml:space="preserve"> –</w:t>
      </w:r>
    </w:p>
    <w:p>
      <w:pPr>
        <w:ind w:left="900" w:right="140" w:hanging="446"/>
        <w:spacing w:after="0" w:line="306"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In addition to the various reimbursement payments due to BMS, in any Operating Period, EDNLP shall pay to BMS ***. Reimbursement payments due under this Section 5.1(B) shall be made by EDNLP, on an estimated basis within 30 days of the end of each calendar month and on an actual basis through a final reconciliation within forty-five (45) days of the end of the relevant Operating Period as provided below:</w:t>
      </w:r>
    </w:p>
    <w:p>
      <w:pPr>
        <w:spacing w:after="0" w:line="25" w:lineRule="exact"/>
        <w:rPr>
          <w:rFonts w:ascii="Arial" w:cs="Arial" w:eastAsia="Arial" w:hAnsi="Arial"/>
          <w:sz w:val="16"/>
          <w:szCs w:val="16"/>
          <w:color w:val="auto"/>
        </w:rPr>
      </w:pPr>
    </w:p>
    <w:p>
      <w:pPr>
        <w:ind w:left="1480" w:hanging="567"/>
        <w:spacing w:after="0"/>
        <w:tabs>
          <w:tab w:leader="none" w:pos="1480" w:val="left"/>
        </w:tabs>
        <w:numPr>
          <w:ilvl w:val="2"/>
          <w:numId w:val="6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Monthly</w:t>
      </w:r>
      <w:r>
        <w:rPr>
          <w:rFonts w:ascii="Arial" w:cs="Arial" w:eastAsia="Arial" w:hAnsi="Arial"/>
          <w:sz w:val="18"/>
          <w:szCs w:val="18"/>
          <w:color w:val="auto"/>
        </w:rPr>
        <w:t xml:space="preserve"> – The monthly reimbursement payment shall be calculated in accordance with the following formula:</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77" w:name="page78"/>
    <w:bookmarkEnd w:id="77"/>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5.1(B)(ii)</w:t>
      </w:r>
      <w:r>
        <w:rPr>
          <w:rFonts w:ascii="Arial" w:cs="Arial" w:eastAsia="Arial" w:hAnsi="Arial"/>
          <w:sz w:val="18"/>
          <w:szCs w:val="18"/>
          <w:color w:val="auto"/>
        </w:rPr>
        <w:t xml:space="preserve">. Delete the third paragraph of </w:t>
      </w:r>
      <w:r>
        <w:rPr>
          <w:rFonts w:ascii="Arial" w:cs="Arial" w:eastAsia="Arial" w:hAnsi="Arial"/>
          <w:sz w:val="18"/>
          <w:szCs w:val="18"/>
          <w:u w:val="single" w:color="auto"/>
          <w:color w:val="auto"/>
        </w:rPr>
        <w:t>Section 5.1(B)(ii)</w:t>
      </w:r>
      <w:r>
        <w:rPr>
          <w:rFonts w:ascii="Arial" w:cs="Arial" w:eastAsia="Arial" w:hAnsi="Arial"/>
          <w:sz w:val="18"/>
          <w:szCs w:val="18"/>
          <w:color w:val="auto"/>
        </w:rPr>
        <w:t xml:space="preserve"> in its entirety and replace with the following:</w:t>
      </w:r>
    </w:p>
    <w:p>
      <w:pPr>
        <w:spacing w:after="0" w:line="90" w:lineRule="exact"/>
        <w:rPr>
          <w:rFonts w:ascii="Arial" w:cs="Arial" w:eastAsia="Arial" w:hAnsi="Arial"/>
          <w:sz w:val="18"/>
          <w:szCs w:val="18"/>
          <w:color w:val="auto"/>
        </w:rPr>
      </w:pPr>
    </w:p>
    <w:p>
      <w:pPr>
        <w:ind w:left="460" w:right="240"/>
        <w:spacing w:after="0" w:line="286" w:lineRule="auto"/>
        <w:rPr>
          <w:rFonts w:ascii="Arial" w:cs="Arial" w:eastAsia="Arial" w:hAnsi="Arial"/>
          <w:sz w:val="18"/>
          <w:szCs w:val="18"/>
          <w:color w:val="auto"/>
        </w:rPr>
      </w:pPr>
      <w:r>
        <w:rPr>
          <w:rFonts w:ascii="Arial" w:cs="Arial" w:eastAsia="Arial" w:hAnsi="Arial"/>
          <w:sz w:val="16"/>
          <w:szCs w:val="16"/>
          <w:color w:val="auto"/>
        </w:rPr>
        <w:t xml:space="preserve">“Notwithstanding the foregoing, the rebate payments due BMS under this Section 5.1(B) shall not result in EDNLP’s retention of less than *** per short ton *** from such Surplus Nitric Acid sales;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Net Sales Price less the reimbursement made under</w:t>
      </w:r>
    </w:p>
    <w:p>
      <w:pPr>
        <w:ind w:left="460" w:right="500"/>
        <w:spacing w:after="0" w:line="261" w:lineRule="auto"/>
        <w:rPr>
          <w:rFonts w:ascii="Arial" w:cs="Arial" w:eastAsia="Arial" w:hAnsi="Arial"/>
          <w:sz w:val="18"/>
          <w:szCs w:val="18"/>
          <w:color w:val="auto"/>
        </w:rPr>
      </w:pPr>
      <w:r>
        <w:rPr>
          <w:rFonts w:ascii="Arial" w:cs="Arial" w:eastAsia="Arial" w:hAnsi="Arial"/>
          <w:sz w:val="18"/>
          <w:szCs w:val="18"/>
          <w:color w:val="auto"/>
        </w:rPr>
        <w:t>Section 5.1(A), that amount divided by the total tons of Surplus Nitric Acid sold to third parties, is less than *** per short ton of Surplus Nitric Acid, EDNLP will not retain more than the Net Sales Price less the reimbursement made under Section 5.1(A).”</w:t>
      </w:r>
    </w:p>
    <w:p>
      <w:pPr>
        <w:spacing w:after="0" w:line="56"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Section 9.1(G), Nitric Acid Facility Capacity</w:t>
      </w:r>
      <w:r>
        <w:rPr>
          <w:rFonts w:ascii="Arial" w:cs="Arial" w:eastAsia="Arial" w:hAnsi="Arial"/>
          <w:sz w:val="16"/>
          <w:szCs w:val="16"/>
          <w:color w:val="auto"/>
        </w:rPr>
        <w:t>. Delete Section 9.1(G), Nitric Acid Facility Capacity in its entirety and replace with the following:</w:t>
      </w:r>
    </w:p>
    <w:p>
      <w:pPr>
        <w:spacing w:after="0" w:line="11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Nitric Acid Facility Capacity</w:t>
      </w:r>
      <w:r>
        <w:rPr>
          <w:rFonts w:ascii="Arial" w:cs="Arial" w:eastAsia="Arial" w:hAnsi="Arial"/>
          <w:sz w:val="16"/>
          <w:szCs w:val="16"/>
          <w:color w:val="auto"/>
        </w:rPr>
        <w:t>—EDNLP shall use reasonable efforts to operate and maintain the Nitric Acid Facility to have a production capacity of ***</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short tons of Nitric Acid per year, 100% acid basis.”</w:t>
      </w:r>
    </w:p>
    <w:p>
      <w:pPr>
        <w:spacing w:after="0" w:line="83"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Section 10.1, Supply by BMS. Delete the first sentence of Section 10.1 in its entirety and replace with the following:</w:t>
      </w:r>
    </w:p>
    <w:p>
      <w:pPr>
        <w:spacing w:after="0" w:line="90" w:lineRule="exact"/>
        <w:rPr>
          <w:rFonts w:ascii="Arial" w:cs="Arial" w:eastAsia="Arial" w:hAnsi="Arial"/>
          <w:sz w:val="18"/>
          <w:szCs w:val="18"/>
          <w:color w:val="auto"/>
        </w:rPr>
      </w:pPr>
    </w:p>
    <w:p>
      <w:pPr>
        <w:ind w:left="460" w:right="200"/>
        <w:spacing w:after="0" w:line="259" w:lineRule="auto"/>
        <w:rPr>
          <w:rFonts w:ascii="Arial" w:cs="Arial" w:eastAsia="Arial" w:hAnsi="Arial"/>
          <w:sz w:val="18"/>
          <w:szCs w:val="18"/>
          <w:color w:val="auto"/>
        </w:rPr>
      </w:pPr>
      <w:r>
        <w:rPr>
          <w:rFonts w:ascii="Arial" w:cs="Arial" w:eastAsia="Arial" w:hAnsi="Arial"/>
          <w:sz w:val="18"/>
          <w:szCs w:val="18"/>
          <w:color w:val="auto"/>
        </w:rPr>
        <w:t>“BMS shall supply to EDNLP at the Battery Limits of the Nitric Acid Facility the Ammonia required for EDNLP’s use in manufacturing Nitric Acid and supplying Aqua Ammonia to BMS; provided, however, that BMS shall not be obligated to supply EDNLP with more than one hundred fifteen percent (115%) of the monthly Nitric Acid Facility Capacity.”</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Section 11.1, Provision of Utilities</w:t>
      </w:r>
      <w:r>
        <w:rPr>
          <w:rFonts w:ascii="Arial" w:cs="Arial" w:eastAsia="Arial" w:hAnsi="Arial"/>
          <w:sz w:val="16"/>
          <w:szCs w:val="16"/>
          <w:color w:val="auto"/>
        </w:rPr>
        <w:t xml:space="preserve">. Delete the second sentence of </w:t>
      </w:r>
      <w:r>
        <w:rPr>
          <w:rFonts w:ascii="Arial" w:cs="Arial" w:eastAsia="Arial" w:hAnsi="Arial"/>
          <w:sz w:val="16"/>
          <w:szCs w:val="16"/>
          <w:u w:val="single" w:color="auto"/>
          <w:color w:val="auto"/>
        </w:rPr>
        <w:t>Section 11.1, Provision of Utilities</w:t>
      </w:r>
      <w:r>
        <w:rPr>
          <w:rFonts w:ascii="Arial" w:cs="Arial" w:eastAsia="Arial" w:hAnsi="Arial"/>
          <w:sz w:val="16"/>
          <w:szCs w:val="16"/>
          <w:color w:val="auto"/>
        </w:rPr>
        <w:t xml:space="preserve"> in its entirety and replace with the following:</w:t>
      </w:r>
    </w:p>
    <w:p>
      <w:pPr>
        <w:spacing w:after="0" w:line="113" w:lineRule="exact"/>
        <w:rPr>
          <w:rFonts w:ascii="Arial" w:cs="Arial" w:eastAsia="Arial" w:hAnsi="Arial"/>
          <w:sz w:val="16"/>
          <w:szCs w:val="16"/>
          <w:color w:val="auto"/>
        </w:rPr>
      </w:pPr>
    </w:p>
    <w:p>
      <w:pPr>
        <w:ind w:left="460" w:right="140"/>
        <w:spacing w:after="0" w:line="268" w:lineRule="auto"/>
        <w:rPr>
          <w:rFonts w:ascii="Arial" w:cs="Arial" w:eastAsia="Arial" w:hAnsi="Arial"/>
          <w:sz w:val="16"/>
          <w:szCs w:val="16"/>
          <w:color w:val="auto"/>
        </w:rPr>
      </w:pPr>
      <w:r>
        <w:rPr>
          <w:rFonts w:ascii="Arial" w:cs="Arial" w:eastAsia="Arial" w:hAnsi="Arial"/>
          <w:sz w:val="18"/>
          <w:szCs w:val="18"/>
          <w:color w:val="auto"/>
        </w:rPr>
        <w:t xml:space="preserve">“EDNLP warrants that the quantities provided in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are a good faith estimate of the quantities of Utilities it will consume at an annual production rate of *** short tons of Nitric Acid per year.”</w:t>
      </w:r>
    </w:p>
    <w:p>
      <w:pPr>
        <w:spacing w:after="0" w:line="50" w:lineRule="exact"/>
        <w:rPr>
          <w:rFonts w:ascii="Arial" w:cs="Arial" w:eastAsia="Arial" w:hAnsi="Arial"/>
          <w:sz w:val="16"/>
          <w:szCs w:val="16"/>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Section 22.2, Renewals</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22.2, Renewals</w:t>
      </w:r>
      <w:r>
        <w:rPr>
          <w:rFonts w:ascii="Arial" w:cs="Arial" w:eastAsia="Arial" w:hAnsi="Arial"/>
          <w:sz w:val="18"/>
          <w:szCs w:val="18"/>
          <w:color w:val="auto"/>
        </w:rPr>
        <w:t xml:space="preserve"> in its entirety and replace with the following:</w:t>
      </w:r>
    </w:p>
    <w:p>
      <w:pPr>
        <w:spacing w:after="0" w:line="90" w:lineRule="exact"/>
        <w:rPr>
          <w:rFonts w:ascii="Arial" w:cs="Arial" w:eastAsia="Arial" w:hAnsi="Arial"/>
          <w:sz w:val="18"/>
          <w:szCs w:val="18"/>
          <w:color w:val="auto"/>
        </w:rPr>
      </w:pPr>
    </w:p>
    <w:p>
      <w:pPr>
        <w:ind w:left="460" w:right="160"/>
        <w:spacing w:after="0" w:line="298"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Renewals</w:t>
      </w:r>
      <w:r>
        <w:rPr>
          <w:rFonts w:ascii="Arial" w:cs="Arial" w:eastAsia="Arial" w:hAnsi="Arial"/>
          <w:sz w:val="16"/>
          <w:szCs w:val="16"/>
          <w:color w:val="auto"/>
        </w:rPr>
        <w:t>—The Term of this Agreement shall be automatically renewed for five (5) successive Renewal Terms each consisting of seven (7) years unless either BMS or EDNLP has given the other party written notice of its intention not to renew the Term of this Agreement not less than fifteen (15) months before the expiration of the Initial Term or the current Renewal Term, or any subsequent Renewal Term as the case may be. If either party gives such notice, then not more than ninety (90) days nor less than sixty (60) days before the end of the Term, BMS shall pay to EDNLP ***.”</w:t>
      </w:r>
    </w:p>
    <w:p>
      <w:pPr>
        <w:spacing w:after="0" w:line="9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78" w:name="page79"/>
    <w:bookmarkEnd w:id="78"/>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27, Payments</w:t>
      </w:r>
      <w:r>
        <w:rPr>
          <w:rFonts w:ascii="Arial" w:cs="Arial" w:eastAsia="Arial" w:hAnsi="Arial"/>
          <w:sz w:val="18"/>
          <w:szCs w:val="18"/>
          <w:color w:val="auto"/>
        </w:rPr>
        <w:t xml:space="preserve">. Delete the first sentence in </w:t>
      </w:r>
      <w:r>
        <w:rPr>
          <w:rFonts w:ascii="Arial" w:cs="Arial" w:eastAsia="Arial" w:hAnsi="Arial"/>
          <w:sz w:val="18"/>
          <w:szCs w:val="18"/>
          <w:u w:val="single" w:color="auto"/>
          <w:color w:val="auto"/>
        </w:rPr>
        <w:t>Section 27, Payments</w:t>
      </w:r>
      <w:r>
        <w:rPr>
          <w:rFonts w:ascii="Arial" w:cs="Arial" w:eastAsia="Arial" w:hAnsi="Arial"/>
          <w:sz w:val="18"/>
          <w:szCs w:val="18"/>
          <w:color w:val="auto"/>
        </w:rPr>
        <w:t xml:space="preserve"> in its entirety and replace with the following:</w:t>
      </w:r>
    </w:p>
    <w:p>
      <w:pPr>
        <w:spacing w:after="0" w:line="90"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“All amounts payable hereunder shall be paid in lawful money of the United Stated on a net thirty (30) day basis, with interest to accrue thereafter at a rate equal to the prime rate charged by Citibank, N.A.”</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Exhibit A, Site Data, Section 1.5, Nameplate Capacity</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Section 1.5, Nameplate Capacity</w:t>
      </w:r>
      <w:r>
        <w:rPr>
          <w:rFonts w:ascii="Arial" w:cs="Arial" w:eastAsia="Arial" w:hAnsi="Arial"/>
          <w:sz w:val="18"/>
          <w:szCs w:val="18"/>
          <w:color w:val="auto"/>
        </w:rPr>
        <w:t xml:space="preserve"> in Exhibit A, Site Data, in its entirety and replace with the following:</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“Nameplate Capacity</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Nitric Acid Facility has a nameplate capacity of *** short tons (100% basis) per year.”</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Schedule 3, EDNLP Net Book Value.</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Schedule 3, EDNLP Net Book Value</w:t>
      </w:r>
      <w:r>
        <w:rPr>
          <w:rFonts w:ascii="Arial" w:cs="Arial" w:eastAsia="Arial" w:hAnsi="Arial"/>
          <w:sz w:val="18"/>
          <w:szCs w:val="18"/>
          <w:color w:val="auto"/>
        </w:rPr>
        <w:t xml:space="preserve"> in its entirety and replace with the </w:t>
      </w:r>
      <w:r>
        <w:rPr>
          <w:rFonts w:ascii="Arial" w:cs="Arial" w:eastAsia="Arial" w:hAnsi="Arial"/>
          <w:sz w:val="18"/>
          <w:szCs w:val="18"/>
          <w:u w:val="single" w:color="auto"/>
          <w:color w:val="auto"/>
        </w:rPr>
        <w:t>Schedule 3, EDNLP Net Book Value</w:t>
      </w:r>
      <w:r>
        <w:rPr>
          <w:rFonts w:ascii="Arial" w:cs="Arial" w:eastAsia="Arial" w:hAnsi="Arial"/>
          <w:sz w:val="18"/>
          <w:szCs w:val="18"/>
          <w:color w:val="auto"/>
        </w:rPr>
        <w:t xml:space="preserve"> which is attached hereto and incorporated herein.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Delete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in its entirety and replace with the </w:t>
      </w:r>
      <w:r>
        <w:rPr>
          <w:rFonts w:ascii="Arial" w:cs="Arial" w:eastAsia="Arial" w:hAnsi="Arial"/>
          <w:sz w:val="18"/>
          <w:szCs w:val="18"/>
          <w:u w:val="single" w:color="auto"/>
          <w:color w:val="auto"/>
        </w:rPr>
        <w:t>Schedule 7</w:t>
      </w:r>
      <w:r>
        <w:rPr>
          <w:rFonts w:ascii="Arial" w:cs="Arial" w:eastAsia="Arial" w:hAnsi="Arial"/>
          <w:sz w:val="18"/>
          <w:szCs w:val="18"/>
          <w:color w:val="auto"/>
        </w:rPr>
        <w:t xml:space="preserve"> which is attached hereto and incorporated herein.</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No Other Changes</w:t>
      </w:r>
      <w:r>
        <w:rPr>
          <w:rFonts w:ascii="Arial" w:cs="Arial" w:eastAsia="Arial" w:hAnsi="Arial"/>
          <w:sz w:val="16"/>
          <w:szCs w:val="16"/>
          <w:color w:val="auto"/>
        </w:rPr>
        <w:t>. Subject to the changes immediately above, all other provision of the Agreement remain in full force and effect without modification.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BMS hereby represents and warrants to EDNLP, and EDNLP represents and warrants to BMS as follows:</w:t>
      </w:r>
    </w:p>
    <w:p>
      <w:pPr>
        <w:spacing w:after="0" w:line="113" w:lineRule="exact"/>
        <w:rPr>
          <w:rFonts w:ascii="Arial" w:cs="Arial" w:eastAsia="Arial" w:hAnsi="Arial"/>
          <w:sz w:val="16"/>
          <w:szCs w:val="16"/>
          <w:color w:val="auto"/>
        </w:rPr>
      </w:pPr>
    </w:p>
    <w:p>
      <w:pPr>
        <w:ind w:left="900" w:right="540" w:hanging="446"/>
        <w:spacing w:after="0" w:line="268" w:lineRule="auto"/>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this Third Amendment has been duly and validly authorized, executed and delivered by such party and constitutes the legal, valid and binding obligations of each such party enforceable against it in accordance with their respective terms;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execution, delivery and performance of this Third Amendment by such party will not: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violate or conflict with its charter or bylaws;</w:t>
      </w:r>
    </w:p>
    <w:p>
      <w:pPr>
        <w:spacing w:after="0" w:line="90" w:lineRule="exact"/>
        <w:rPr>
          <w:rFonts w:ascii="Arial" w:cs="Arial" w:eastAsia="Arial" w:hAnsi="Arial"/>
          <w:sz w:val="18"/>
          <w:szCs w:val="18"/>
          <w:color w:val="auto"/>
        </w:rPr>
      </w:pPr>
    </w:p>
    <w:p>
      <w:pPr>
        <w:ind w:left="1480" w:right="220" w:hanging="567"/>
        <w:spacing w:after="0" w:line="259" w:lineRule="auto"/>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breach or result in a default (or an event which, with the giving of notice or the passage of time, or both, would constitute a default) under, require any consent under, result in the imposition of any lien under or give to others any rights or termination, acceleration, suspension, revocation, cancellation or amendment of any agreement to which it is a party;</w:t>
      </w:r>
    </w:p>
    <w:p>
      <w:pPr>
        <w:spacing w:after="0" w:line="59" w:lineRule="exact"/>
        <w:rPr>
          <w:rFonts w:ascii="Arial" w:cs="Arial" w:eastAsia="Arial" w:hAnsi="Arial"/>
          <w:sz w:val="18"/>
          <w:szCs w:val="18"/>
          <w:color w:val="auto"/>
        </w:rPr>
      </w:pPr>
    </w:p>
    <w:p>
      <w:pPr>
        <w:ind w:left="1480" w:right="220" w:hanging="567"/>
        <w:spacing w:after="0" w:line="268" w:lineRule="auto"/>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breach or otherwise violate any order, writ, judgment, injunction or decree issued by any governmental person or entity which names such party or is directed to such party or any of its respective properties or assets;</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violate any Laws;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62"/>
        </w:numPr>
        <w:rPr>
          <w:rFonts w:ascii="Arial" w:cs="Arial" w:eastAsia="Arial" w:hAnsi="Arial"/>
          <w:sz w:val="16"/>
          <w:szCs w:val="16"/>
          <w:color w:val="auto"/>
        </w:rPr>
      </w:pPr>
      <w:r>
        <w:rPr>
          <w:rFonts w:ascii="Arial" w:cs="Arial" w:eastAsia="Arial" w:hAnsi="Arial"/>
          <w:sz w:val="16"/>
          <w:szCs w:val="16"/>
          <w:color w:val="auto"/>
        </w:rPr>
        <w:t>require any consent, authorization, approval, exemption or other action by, or any filing, registration or qualification with, any governmental</w:t>
      </w:r>
    </w:p>
    <w:p>
      <w:pPr>
        <w:spacing w:after="0" w:line="113" w:lineRule="exact"/>
        <w:rPr>
          <w:rFonts w:ascii="Arial" w:cs="Arial" w:eastAsia="Arial" w:hAnsi="Arial"/>
          <w:sz w:val="16"/>
          <w:szCs w:val="16"/>
          <w:color w:val="auto"/>
        </w:rPr>
      </w:pPr>
    </w:p>
    <w:p>
      <w:pPr>
        <w:ind w:left="1480" w:hanging="567"/>
        <w:spacing w:after="0"/>
        <w:tabs>
          <w:tab w:leader="none" w:pos="1480" w:val="left"/>
        </w:tabs>
        <w:numPr>
          <w:ilvl w:val="2"/>
          <w:numId w:val="62"/>
        </w:numPr>
        <w:rPr>
          <w:rFonts w:ascii="Arial" w:cs="Arial" w:eastAsia="Arial" w:hAnsi="Arial"/>
          <w:sz w:val="18"/>
          <w:szCs w:val="18"/>
          <w:color w:val="auto"/>
        </w:rPr>
      </w:pPr>
      <w:r>
        <w:rPr>
          <w:rFonts w:ascii="Arial" w:cs="Arial" w:eastAsia="Arial" w:hAnsi="Arial"/>
          <w:sz w:val="18"/>
          <w:szCs w:val="18"/>
          <w:color w:val="auto"/>
        </w:rPr>
        <w:t>person or entity other than those which have been made or obtained prior to the date hereof.</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79" w:name="page80"/>
    <w:bookmarkEnd w:id="79"/>
    <w:p>
      <w:pPr>
        <w:ind w:left="460" w:right="160" w:hanging="452"/>
        <w:spacing w:after="0" w:line="294" w:lineRule="auto"/>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 Telefacsimile Execution</w:t>
      </w:r>
      <w:r>
        <w:rPr>
          <w:rFonts w:ascii="Arial" w:cs="Arial" w:eastAsia="Arial" w:hAnsi="Arial"/>
          <w:sz w:val="16"/>
          <w:szCs w:val="16"/>
          <w:color w:val="auto"/>
        </w:rPr>
        <w:t>. This Third Amendment may be executed in any number of counterparts, and by each of the parties on separate counterparts, each of which, when so executed, shall be deemed an original, but all of which shall constitute but one and the same instrument. Delivery of an executed counterpart of this Third Amendment by electronic scan or telefacsimile shall be equally as effective as delivery of a manually executed counterpart of this Third Amendment. Any party delivering an executed counterpart of this Third Amendment, but the failure to deliver a manually executed counterpart shall not affect the validity, enforceability or binding effect of this Third Amendment.</w:t>
      </w:r>
    </w:p>
    <w:p>
      <w:pPr>
        <w:spacing w:after="0" w:line="1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witness whereof, the parties hereto have executed this Third Amendment to the Nitric Acid Supply, Operating and Maintenance Agreement effective the date stated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Bayer MaterialScience LLC</w:t>
            </w:r>
          </w:p>
        </w:tc>
        <w:tc>
          <w:tcPr>
            <w:tcW w:w="6060" w:type="dxa"/>
            <w:vAlign w:val="bottom"/>
            <w:gridSpan w:val="3"/>
          </w:tcPr>
          <w:p>
            <w:pPr>
              <w:ind w:left="700"/>
              <w:spacing w:after="0"/>
              <w:rPr>
                <w:sz w:val="20"/>
                <w:szCs w:val="20"/>
                <w:color w:val="auto"/>
              </w:rPr>
            </w:pPr>
            <w:r>
              <w:rPr>
                <w:rFonts w:ascii="Arial" w:cs="Arial" w:eastAsia="Arial" w:hAnsi="Arial"/>
                <w:sz w:val="18"/>
                <w:szCs w:val="18"/>
                <w:b w:val="1"/>
                <w:bCs w:val="1"/>
                <w:color w:val="auto"/>
              </w:rPr>
              <w:t>El Dorado Nitrogen, L.P.</w:t>
            </w: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ind w:left="100"/>
              <w:spacing w:after="0"/>
              <w:rPr>
                <w:sz w:val="20"/>
                <w:szCs w:val="20"/>
                <w:color w:val="auto"/>
              </w:rPr>
            </w:pPr>
            <w:r>
              <w:rPr>
                <w:rFonts w:ascii="Arial" w:cs="Arial" w:eastAsia="Arial" w:hAnsi="Arial"/>
                <w:sz w:val="18"/>
                <w:szCs w:val="18"/>
                <w:color w:val="auto"/>
              </w:rPr>
              <w:t>/s/ Demetri Zervoudil</w:t>
            </w:r>
          </w:p>
        </w:tc>
        <w:tc>
          <w:tcPr>
            <w:tcW w:w="1280" w:type="dxa"/>
            <w:vAlign w:val="bottom"/>
            <w:gridSpan w:val="2"/>
          </w:tcPr>
          <w:p>
            <w:pPr>
              <w:ind w:left="700"/>
              <w:spacing w:after="0"/>
              <w:rPr>
                <w:sz w:val="20"/>
                <w:szCs w:val="20"/>
                <w:color w:val="auto"/>
              </w:rPr>
            </w:pPr>
            <w:r>
              <w:rPr>
                <w:rFonts w:ascii="Arial" w:cs="Arial" w:eastAsia="Arial" w:hAnsi="Arial"/>
                <w:sz w:val="18"/>
                <w:szCs w:val="18"/>
                <w:color w:val="auto"/>
              </w:rPr>
              <w:t>By:</w:t>
            </w:r>
          </w:p>
        </w:tc>
        <w:tc>
          <w:tcPr>
            <w:tcW w:w="4780" w:type="dxa"/>
            <w:vAlign w:val="bottom"/>
          </w:tcPr>
          <w:p>
            <w:pPr>
              <w:spacing w:after="0"/>
              <w:rPr>
                <w:sz w:val="20"/>
                <w:szCs w:val="20"/>
                <w:color w:val="auto"/>
              </w:rPr>
            </w:pPr>
            <w:r>
              <w:rPr>
                <w:rFonts w:ascii="Arial" w:cs="Arial" w:eastAsia="Arial" w:hAnsi="Arial"/>
                <w:sz w:val="18"/>
                <w:szCs w:val="18"/>
                <w:color w:val="auto"/>
              </w:rPr>
              <w:t>/s/ Anne O. Rendon</w:t>
            </w:r>
          </w:p>
        </w:tc>
        <w:tc>
          <w:tcPr>
            <w:tcW w:w="0" w:type="dxa"/>
            <w:vAlign w:val="bottom"/>
          </w:tcPr>
          <w:p>
            <w:pPr>
              <w:spacing w:after="0"/>
              <w:rPr>
                <w:sz w:val="1"/>
                <w:szCs w:val="1"/>
                <w:color w:val="auto"/>
              </w:rPr>
            </w:pPr>
          </w:p>
        </w:tc>
      </w:tr>
      <w:tr>
        <w:trPr>
          <w:trHeight w:val="21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Demetri Zervoudil</w:t>
            </w:r>
          </w:p>
        </w:tc>
        <w:tc>
          <w:tcPr>
            <w:tcW w:w="1180" w:type="dxa"/>
            <w:vAlign w:val="bottom"/>
          </w:tcPr>
          <w:p>
            <w:pPr>
              <w:ind w:left="700"/>
              <w:spacing w:after="0"/>
              <w:rPr>
                <w:sz w:val="20"/>
                <w:szCs w:val="20"/>
                <w:color w:val="auto"/>
              </w:rPr>
            </w:pPr>
            <w:r>
              <w:rPr>
                <w:rFonts w:ascii="Arial" w:cs="Arial" w:eastAsia="Arial" w:hAnsi="Arial"/>
                <w:sz w:val="18"/>
                <w:szCs w:val="18"/>
                <w:color w:val="auto"/>
                <w:w w:val="86"/>
              </w:rPr>
              <w:t>Name:</w:t>
            </w:r>
          </w:p>
        </w:tc>
        <w:tc>
          <w:tcPr>
            <w:tcW w:w="100" w:type="dxa"/>
            <w:vAlign w:val="bottom"/>
            <w:tcBorders>
              <w:top w:val="single" w:sz="8" w:color="auto"/>
              <w:bottom w:val="single" w:sz="8" w:color="auto"/>
            </w:tcBorders>
          </w:tcPr>
          <w:p>
            <w:pPr>
              <w:spacing w:after="0"/>
              <w:rPr>
                <w:sz w:val="18"/>
                <w:szCs w:val="18"/>
                <w:color w:val="auto"/>
              </w:rPr>
            </w:pPr>
          </w:p>
        </w:tc>
        <w:tc>
          <w:tcPr>
            <w:tcW w:w="4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Anne O. Rendon</w:t>
            </w:r>
          </w:p>
        </w:tc>
        <w:tc>
          <w:tcPr>
            <w:tcW w:w="0" w:type="dxa"/>
            <w:vAlign w:val="bottom"/>
          </w:tcPr>
          <w:p>
            <w:pPr>
              <w:spacing w:after="0"/>
              <w:rPr>
                <w:sz w:val="1"/>
                <w:szCs w:val="1"/>
                <w:color w:val="auto"/>
              </w:rPr>
            </w:pPr>
          </w:p>
        </w:tc>
      </w:tr>
      <w:tr>
        <w:trPr>
          <w:trHeight w:val="201"/>
        </w:trPr>
        <w:tc>
          <w:tcPr>
            <w:tcW w:w="480" w:type="dxa"/>
            <w:vAlign w:val="bottom"/>
          </w:tcPr>
          <w:p>
            <w:pPr>
              <w:spacing w:after="0" w:line="201" w:lineRule="exact"/>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line="201" w:lineRule="exact"/>
              <w:rPr>
                <w:sz w:val="20"/>
                <w:szCs w:val="20"/>
                <w:color w:val="auto"/>
              </w:rPr>
            </w:pPr>
            <w:r>
              <w:rPr>
                <w:rFonts w:ascii="Arial" w:cs="Arial" w:eastAsia="Arial" w:hAnsi="Arial"/>
                <w:sz w:val="18"/>
                <w:szCs w:val="18"/>
                <w:color w:val="auto"/>
              </w:rPr>
              <w:t>SVP NAFTA PROCUREMENT</w:t>
            </w:r>
          </w:p>
        </w:tc>
        <w:tc>
          <w:tcPr>
            <w:tcW w:w="1180" w:type="dxa"/>
            <w:vAlign w:val="bottom"/>
          </w:tcPr>
          <w:p>
            <w:pPr>
              <w:ind w:left="700"/>
              <w:spacing w:after="0" w:line="201" w:lineRule="exact"/>
              <w:rPr>
                <w:sz w:val="20"/>
                <w:szCs w:val="20"/>
                <w:color w:val="auto"/>
              </w:rPr>
            </w:pPr>
            <w:r>
              <w:rPr>
                <w:rFonts w:ascii="Arial" w:cs="Arial" w:eastAsia="Arial" w:hAnsi="Arial"/>
                <w:sz w:val="18"/>
                <w:szCs w:val="18"/>
                <w:color w:val="auto"/>
              </w:rPr>
              <w:t>Title:</w:t>
            </w:r>
          </w:p>
        </w:tc>
        <w:tc>
          <w:tcPr>
            <w:tcW w:w="10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rPr>
              <w:t>President of the General Partner</w:t>
            </w:r>
          </w:p>
        </w:tc>
        <w:tc>
          <w:tcPr>
            <w:tcW w:w="0" w:type="dxa"/>
            <w:vAlign w:val="bottom"/>
          </w:tcPr>
          <w:p>
            <w:pPr>
              <w:spacing w:after="0"/>
              <w:rPr>
                <w:sz w:val="1"/>
                <w:szCs w:val="1"/>
                <w:color w:val="auto"/>
              </w:rPr>
            </w:pPr>
          </w:p>
        </w:tc>
      </w:tr>
      <w:tr>
        <w:trPr>
          <w:trHeight w:val="49"/>
        </w:trPr>
        <w:tc>
          <w:tcPr>
            <w:tcW w:w="48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80" w:type="dxa"/>
            <w:vAlign w:val="bottom"/>
            <w:vMerge w:val="restart"/>
          </w:tcPr>
          <w:p>
            <w:pPr>
              <w:spacing w:after="0"/>
              <w:rPr>
                <w:sz w:val="20"/>
                <w:szCs w:val="20"/>
                <w:color w:val="auto"/>
              </w:rPr>
            </w:pPr>
            <w:r>
              <w:rPr>
                <w:rFonts w:ascii="Arial" w:cs="Arial" w:eastAsia="Arial" w:hAnsi="Arial"/>
                <w:sz w:val="18"/>
                <w:szCs w:val="18"/>
                <w:color w:val="auto"/>
              </w:rPr>
              <w:t>of El Dorado Nitrogen, L.P., El Dorado Acid LLC</w:t>
            </w:r>
          </w:p>
        </w:tc>
        <w:tc>
          <w:tcPr>
            <w:tcW w:w="0" w:type="dxa"/>
            <w:vAlign w:val="bottom"/>
          </w:tcPr>
          <w:p>
            <w:pPr>
              <w:spacing w:after="0"/>
              <w:rPr>
                <w:sz w:val="1"/>
                <w:szCs w:val="1"/>
                <w:color w:val="auto"/>
              </w:rPr>
            </w:pPr>
          </w:p>
        </w:tc>
      </w:tr>
      <w:tr>
        <w:trPr>
          <w:trHeight w:val="168"/>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El Dorado Chemical Company</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536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Tony M. Shelby</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80" w:type="dxa"/>
            <w:vAlign w:val="bottom"/>
          </w:tcPr>
          <w:p>
            <w:pPr>
              <w:spacing w:after="0" w:line="202" w:lineRule="exact"/>
              <w:rPr>
                <w:sz w:val="20"/>
                <w:szCs w:val="20"/>
                <w:color w:val="auto"/>
              </w:rPr>
            </w:pPr>
            <w:r>
              <w:rPr>
                <w:rFonts w:ascii="Arial" w:cs="Arial" w:eastAsia="Arial" w:hAnsi="Arial"/>
                <w:sz w:val="18"/>
                <w:szCs w:val="18"/>
                <w:color w:val="auto"/>
                <w:w w:val="86"/>
              </w:rPr>
              <w:t>Name: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Tony M. Shelby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Vice President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EDNLP Net Book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EDNLP Net Book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EDNLP Net Book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45"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***INDICATES CERTAIN INFORMATION IN THIS DOCUMENT WHICH HAS BEEN OMITTED FROM THIS PUBLIC FILING PURSUANT TO A REQUEST BY THE COMPANY FOR CONFIDENTIAL TREATMENT BY THE SECURITIES AND EXCHANGE COMMISSION. THE OMITTED INFORMATION HAS BEEN FILED SEPARATELY WITH THE SECRETARY OF THE SECURITIES AND EXCHANGE COMMISSION FOR PURPOSES OF SUCH REQUEST.</w:t>
      </w:r>
    </w:p>
    <w:p>
      <w:pPr>
        <w:sectPr>
          <w:pgSz w:w="11900" w:h="16838" w:orient="portrait"/>
          <w:cols w:equalWidth="0" w:num="1">
            <w:col w:w="11420"/>
          </w:cols>
          <w:pgMar w:left="240" w:top="28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Jack E. Golsen, certify that:</w:t>
      </w:r>
    </w:p>
    <w:p>
      <w:pPr>
        <w:spacing w:after="0" w:line="90"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5"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Tony M. Shelby, certify that:</w:t>
      </w:r>
    </w:p>
    <w:p>
      <w:pPr>
        <w:spacing w:after="0" w:line="90"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20" w:hanging="567"/>
        <w:spacing w:after="0" w:line="259"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 and Chief Financial Officer</w:t>
      </w:r>
    </w:p>
    <w:p>
      <w:pPr>
        <w:sectPr>
          <w:pgSz w:w="11900" w:h="16838" w:orient="portrait"/>
          <w:cols w:equalWidth="0" w:num="1">
            <w:col w:w="11420"/>
          </w:cols>
          <w:pgMar w:left="240" w:top="125"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2013 as filed with the Securities and Exchange Commission on the date hereof (the “Report”). I, Jack E. Golsen, Chairman of the Board and Chief Executive Officer of LSB, certify pursuant to 18 U.S.C. §1350, as adopted pursuant to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Jack E. Golsen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Jack E. Golsen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and Chief Executive Officer (Principal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9, 2013</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125"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June 30, 2013 as filed with the Securities and Exchange Commission on the date hereof (the “Report”), I, Tony M. Shelby, Executive Vice President of Finance and Chief Financial Officer of LSB, certify pursuant to 18 U.S.C. §1350, as adopted pursuant to §906 of the Sarbanes-Oxley Act of 2002, that:</w:t>
      </w:r>
    </w:p>
    <w:p>
      <w:pPr>
        <w:spacing w:after="0" w:line="59" w:lineRule="exact"/>
        <w:rPr>
          <w:sz w:val="20"/>
          <w:szCs w:val="20"/>
          <w:color w:val="auto"/>
        </w:rPr>
      </w:pPr>
    </w:p>
    <w:p>
      <w:pPr>
        <w:ind w:left="1480" w:hanging="567"/>
        <w:spacing w:after="0"/>
        <w:tabs>
          <w:tab w:leader="none" w:pos="14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LSB.</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Tony M. Shelby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Tony M. Shelby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9, 2013</w:t>
      </w:r>
    </w:p>
    <w:p>
      <w:pPr>
        <w:spacing w:after="0" w:line="17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1)"/>
      <w:numFmt w:val="upperLetter"/>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1)"/>
      <w:numFmt w:val="decimal"/>
      <w:start w:val="1"/>
    </w:lvl>
  </w:abstractNum>
  <w:abstractNum w:abstractNumId="5">
    <w:nsid w:val="3804823E"/>
    <w:multiLevelType w:val="hybridMultilevel"/>
    <w:lvl w:ilvl="0">
      <w:lvlJc w:val="left"/>
      <w:lvlText w:val="(%1)"/>
      <w:numFmt w:val="decimal"/>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1)"/>
      <w:numFmt w:val="decimal"/>
      <w:start w:val="1"/>
    </w:lvl>
  </w:abstractNum>
  <w:abstractNum w:abstractNumId="16">
    <w:nsid w:val="70A64E2A"/>
    <w:multiLevelType w:val="hybridMultilevel"/>
    <w:lvl w:ilvl="0">
      <w:lvlJc w:val="left"/>
      <w:lvlText w:val="(%1)"/>
      <w:numFmt w:val="decimal"/>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1)"/>
      <w:numFmt w:val="decimal"/>
      <w:start w:val="1"/>
    </w:lvl>
    <w:lvl w:ilvl="1">
      <w:lvlJc w:val="left"/>
      <w:lvlText w:val="•"/>
      <w:numFmt w:val="bullet"/>
      <w:start w:val="1"/>
    </w:lvl>
  </w:abstractNum>
  <w:abstractNum w:abstractNumId="27">
    <w:nsid w:val="38437FDB"/>
    <w:multiLevelType w:val="hybridMultilevel"/>
    <w:lvl w:ilvl="0">
      <w:lvlJc w:val="left"/>
      <w:lvlText w:val="(%1)"/>
      <w:numFmt w:val="decimal"/>
      <w:start w:val="1"/>
    </w:lvl>
    <w:lvl w:ilvl="1">
      <w:lvlJc w:val="left"/>
      <w:lvlText w:val="•"/>
      <w:numFmt w:val="bullet"/>
      <w:start w:val="1"/>
    </w:lvl>
  </w:abstractNum>
  <w:abstractNum w:abstractNumId="28">
    <w:nsid w:val="7644A45C"/>
    <w:multiLevelType w:val="hybridMultilevel"/>
    <w:lvl w:ilvl="0">
      <w:lvlJc w:val="left"/>
      <w:lvlText w:val="(%1)"/>
      <w:numFmt w:val="decimal"/>
      <w:start w:val="1"/>
    </w:lvl>
    <w:lvl w:ilvl="1">
      <w:lvlJc w:val="left"/>
      <w:lvlText w:val="•"/>
      <w:numFmt w:val="bullet"/>
      <w:start w:val="1"/>
    </w:lvl>
  </w:abstractNum>
  <w:abstractNum w:abstractNumId="29">
    <w:nsid w:val="32FFF902"/>
    <w:multiLevelType w:val="hybridMultilevel"/>
    <w:lvl w:ilvl="0">
      <w:lvlJc w:val="left"/>
      <w:lvlText w:val="(%1)"/>
      <w:numFmt w:val="decimal"/>
      <w:start w:val="2"/>
    </w:lvl>
    <w:lvl w:ilvl="1">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lvl w:ilvl="1">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1."/>
      <w:numFmt w:val="decimal"/>
      <w:start w:val="1"/>
    </w:lvl>
  </w:abstractNum>
  <w:abstractNum w:abstractNumId="39">
    <w:nsid w:val="520EEDD1"/>
    <w:multiLevelType w:val="hybridMultilevel"/>
    <w:lvl w:ilvl="0">
      <w:lvlJc w:val="left"/>
      <w:lvlText w:val="%1."/>
      <w:numFmt w:val="decimal"/>
      <w:start w:val="3"/>
    </w:lvl>
  </w:abstractNum>
  <w:abstractNum w:abstractNumId="40">
    <w:nsid w:val="374A3FE6"/>
    <w:multiLevelType w:val="hybridMultilevel"/>
    <w:lvl w:ilvl="0">
      <w:lvlJc w:val="left"/>
      <w:lvlText w:val="%1."/>
      <w:numFmt w:val="decimal"/>
      <w:start w:val="4"/>
    </w:lvl>
  </w:abstractNum>
  <w:abstractNum w:abstractNumId="41">
    <w:nsid w:val="4F4EF005"/>
    <w:multiLevelType w:val="hybridMultilevel"/>
    <w:lvl w:ilvl="0">
      <w:lvlJc w:val="left"/>
      <w:lvlText w:val="(%1)"/>
      <w:numFmt w:val="lowerLetter"/>
      <w:start w:val="10"/>
    </w:lvl>
  </w:abstractNum>
  <w:abstractNum w:abstractNumId="42">
    <w:nsid w:val="23F9C13C"/>
    <w:multiLevelType w:val="hybridMultilevel"/>
    <w:lvl w:ilvl="0">
      <w:lvlJc w:val="left"/>
      <w:lvlText w:val="(%1)"/>
      <w:numFmt w:val="lowerLetter"/>
      <w:start w:val="6"/>
    </w:lvl>
    <w:lvl w:ilvl="1">
      <w:lvlJc w:val="left"/>
      <w:lvlText w:val="%2."/>
      <w:numFmt w:val="decimal"/>
      <w:start w:val="6"/>
    </w:lvl>
  </w:abstractNum>
  <w:abstractNum w:abstractNumId="43">
    <w:nsid w:val="649BB77C"/>
    <w:multiLevelType w:val="hybridMultilevel"/>
    <w:lvl w:ilvl="0">
      <w:lvlJc w:val="left"/>
      <w:lvlText w:val="(%1)"/>
      <w:numFmt w:val="lowerRoman"/>
      <w:start w:val="10"/>
    </w:lvl>
  </w:abstractNum>
  <w:abstractNum w:abstractNumId="44">
    <w:nsid w:val="275AC794"/>
    <w:multiLevelType w:val="hybridMultilevel"/>
    <w:lvl w:ilvl="0">
      <w:lvlJc w:val="left"/>
      <w:lvlText w:val="(%1)"/>
      <w:numFmt w:val="lowerLetter"/>
      <w:start w:val="35"/>
    </w:lvl>
    <w:lvl w:ilvl="1">
      <w:lvlJc w:val="left"/>
      <w:lvlText w:val="(%2)"/>
      <w:numFmt w:val="upperLetter"/>
      <w:start w:val="1"/>
    </w:lvl>
    <w:lvl w:ilvl="2">
      <w:lvlJc w:val="left"/>
      <w:lvlText w:val="(%3)"/>
      <w:numFmt w:val="decimal"/>
      <w:start w:val="1"/>
    </w:lvl>
    <w:lvl w:ilvl="3">
      <w:lvlJc w:val="left"/>
      <w:lvlText w:val="(%4)"/>
      <w:numFmt w:val="lowerLetter"/>
      <w:start w:val="24"/>
    </w:lvl>
  </w:abstractNum>
  <w:abstractNum w:abstractNumId="45">
    <w:nsid w:val="39386575"/>
    <w:multiLevelType w:val="hybridMultilevel"/>
    <w:lvl w:ilvl="0">
      <w:lvlJc w:val="left"/>
      <w:lvlText w:val="%1"/>
      <w:numFmt w:val="lowerLetter"/>
      <w:start w:val="1"/>
    </w:lvl>
    <w:lvl w:ilvl="1">
      <w:lvlJc w:val="left"/>
      <w:lvlText w:val="%2."/>
      <w:numFmt w:val="decimal"/>
      <w:start w:val="16"/>
    </w:lvl>
  </w:abstractNum>
  <w:abstractNum w:abstractNumId="46">
    <w:nsid w:val="1CF10FD8"/>
    <w:multiLevelType w:val="hybridMultilevel"/>
    <w:lvl w:ilvl="0">
      <w:lvlJc w:val="left"/>
      <w:lvlText w:val="(%1)"/>
      <w:numFmt w:val="lowerLetter"/>
      <w:start w:val="1"/>
    </w:lvl>
    <w:lvl w:ilvl="1">
      <w:lvlJc w:val="left"/>
      <w:lvlText w:val="%2"/>
      <w:numFmt w:val="decimal"/>
      <w:start w:val="1"/>
    </w:lvl>
  </w:abstractNum>
  <w:abstractNum w:abstractNumId="47">
    <w:nsid w:val="180115B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8">
    <w:nsid w:val="235BA861"/>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9">
    <w:nsid w:val="47398C89"/>
    <w:multiLevelType w:val="hybridMultilevel"/>
    <w:lvl w:ilvl="0">
      <w:lvlJc w:val="left"/>
      <w:lvlText w:val="%1"/>
      <w:numFmt w:val="decimal"/>
      <w:start w:val="1"/>
    </w:lvl>
    <w:lvl w:ilvl="1">
      <w:lvlJc w:val="left"/>
      <w:lvlText w:val="(%2)"/>
      <w:numFmt w:val="lowerLetter"/>
      <w:start w:val="2"/>
    </w:lvl>
  </w:abstractNum>
  <w:abstractNum w:abstractNumId="50">
    <w:nsid w:val="354FE9F9"/>
    <w:multiLevelType w:val="hybridMultilevel"/>
    <w:lvl w:ilvl="0">
      <w:lvlJc w:val="left"/>
      <w:lvlText w:val="%1."/>
      <w:numFmt w:val="decimal"/>
      <w:start w:val="18"/>
    </w:lvl>
    <w:lvl w:ilvl="1">
      <w:lvlJc w:val="left"/>
      <w:lvlText w:val="(%2)"/>
      <w:numFmt w:val="lowerLetter"/>
      <w:start w:val="1"/>
    </w:lvl>
  </w:abstractNum>
  <w:abstractNum w:abstractNumId="51">
    <w:nsid w:val="15B5AF5C"/>
    <w:multiLevelType w:val="hybridMultilevel"/>
    <w:lvl w:ilvl="0">
      <w:lvlJc w:val="left"/>
      <w:lvlText w:val="(%1)"/>
      <w:numFmt w:val="lowerLetter"/>
      <w:start w:val="2"/>
    </w:lvl>
  </w:abstractNum>
  <w:abstractNum w:abstractNumId="52">
    <w:nsid w:val="741226BB"/>
    <w:multiLevelType w:val="hybridMultilevel"/>
    <w:lvl w:ilvl="0">
      <w:lvlJc w:val="left"/>
      <w:lvlText w:val="(%1)"/>
      <w:numFmt w:val="lowerLetter"/>
      <w:start w:val="8"/>
    </w:lvl>
  </w:abstractNum>
  <w:abstractNum w:abstractNumId="53">
    <w:nsid w:val="D34B6A8"/>
    <w:multiLevelType w:val="hybridMultilevel"/>
    <w:lvl w:ilvl="0">
      <w:lvlJc w:val="left"/>
      <w:lvlText w:val="%1."/>
      <w:numFmt w:val="decimal"/>
      <w:start w:val="1"/>
    </w:lvl>
  </w:abstractNum>
  <w:abstractNum w:abstractNumId="54">
    <w:nsid w:val="10233C99"/>
    <w:multiLevelType w:val="hybridMultilevel"/>
    <w:lvl w:ilvl="0">
      <w:lvlJc w:val="left"/>
      <w:lvlText w:val="%1."/>
      <w:numFmt w:val="decimal"/>
      <w:start w:val="4"/>
    </w:lvl>
  </w:abstractNum>
  <w:abstractNum w:abstractNumId="55">
    <w:nsid w:val="3F6AB60F"/>
    <w:multiLevelType w:val="hybridMultilevel"/>
    <w:lvl w:ilvl="0">
      <w:lvlJc w:val="left"/>
      <w:lvlText w:val="%1."/>
      <w:numFmt w:val="decimal"/>
      <w:start w:val="5"/>
    </w:lvl>
  </w:abstractNum>
  <w:abstractNum w:abstractNumId="56">
    <w:nsid w:val="61574095"/>
    <w:multiLevelType w:val="hybridMultilevel"/>
    <w:lvl w:ilvl="0">
      <w:lvlJc w:val="left"/>
      <w:lvlText w:val="%1."/>
      <w:numFmt w:val="decimal"/>
      <w:start w:val="6"/>
    </w:lvl>
  </w:abstractNum>
  <w:abstractNum w:abstractNumId="57">
    <w:nsid w:val="7E0C57B1"/>
    <w:multiLevelType w:val="hybridMultilevel"/>
    <w:lvl w:ilvl="0">
      <w:lvlJc w:val="left"/>
      <w:lvlText w:val="%1."/>
      <w:numFmt w:val="decimal"/>
      <w:start w:val="8"/>
    </w:lvl>
    <w:lvl w:ilvl="1">
      <w:lvlJc w:val="left"/>
      <w:lvlText w:val="(%2)"/>
      <w:numFmt w:val="upperLetter"/>
      <w:start w:val="1"/>
    </w:lvl>
  </w:abstractNum>
  <w:abstractNum w:abstractNumId="58">
    <w:nsid w:val="77AE35EB"/>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9">
    <w:nsid w:val="579BE4F1"/>
    <w:multiLevelType w:val="hybridMultilevel"/>
    <w:lvl w:ilvl="0">
      <w:lvlJc w:val="left"/>
      <w:lvlText w:val="%1."/>
      <w:numFmt w:val="decimal"/>
      <w:start w:val="10"/>
    </w:lvl>
    <w:lvl w:ilvl="1">
      <w:lvlJc w:val="left"/>
      <w:lvlText w:val="(%2)"/>
      <w:numFmt w:val="upperLetter"/>
      <w:start w:val="2"/>
    </w:lvl>
    <w:lvl w:ilvl="2">
      <w:lvlJc w:val="left"/>
      <w:lvlText w:val="(%3)"/>
      <w:numFmt w:val="lowerRoman"/>
      <w:start w:val="1"/>
    </w:lvl>
  </w:abstractNum>
  <w:abstractNum w:abstractNumId="60">
    <w:nsid w:val="310C50B3"/>
    <w:multiLevelType w:val="hybridMultilevel"/>
    <w:lvl w:ilvl="0">
      <w:lvlJc w:val="left"/>
      <w:lvlText w:val="%1."/>
      <w:numFmt w:val="decimal"/>
      <w:start w:val="11"/>
    </w:lvl>
  </w:abstractNum>
  <w:abstractNum w:abstractNumId="61">
    <w:nsid w:val="5FF87E05"/>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62">
    <w:nsid w:val="2F305DEF"/>
    <w:multiLevelType w:val="hybridMultilevel"/>
    <w:lvl w:ilvl="0">
      <w:lvlJc w:val="left"/>
      <w:lvlText w:val="%1."/>
      <w:numFmt w:val="decimal"/>
      <w:start w:val="22"/>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2019-12-05T12:41:02Z</dcterms:created>
  <dcterms:modified xsi:type="dcterms:W3CDTF">2019-12-05T12:41:02Z</dcterms:modified>
</cp:coreProperties>
</file>