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371475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2" w:lineRule="exact"/>
        <w:rPr>
          <w:sz w:val="24"/>
          <w:szCs w:val="24"/>
          <w:color w:val="auto"/>
        </w:rPr>
      </w:pPr>
    </w:p>
    <w:p>
      <w:pPr>
        <w:ind w:left="520" w:right="40" w:hanging="512"/>
        <w:spacing w:after="0" w:line="248" w:lineRule="auto"/>
        <w:tabs>
          <w:tab w:leader="none" w:pos="44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20" w:right="20" w:hanging="512"/>
        <w:spacing w:after="0" w:line="256" w:lineRule="auto"/>
        <w:tabs>
          <w:tab w:leader="none" w:pos="44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2" w:lineRule="exact"/>
        <w:rPr>
          <w:sz w:val="24"/>
          <w:szCs w:val="24"/>
          <w:color w:val="auto"/>
        </w:rPr>
      </w:pPr>
    </w:p>
    <w:tbl>
      <w:tblPr>
        <w:tblLayout w:type="fixed"/>
        <w:tblInd w:w="35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04"/>
        </w:trPr>
        <w:tc>
          <w:tcPr>
            <w:tcW w:w="3280" w:type="dxa"/>
            <w:vAlign w:val="bottom"/>
            <w:gridSpan w:val="3"/>
          </w:tcPr>
          <w:p>
            <w:pPr>
              <w:ind w:left="820"/>
              <w:spacing w:after="0"/>
              <w:rPr>
                <w:sz w:val="20"/>
                <w:szCs w:val="20"/>
                <w:color w:val="auto"/>
              </w:rPr>
            </w:pPr>
            <w:r>
              <w:rPr>
                <w:rFonts w:ascii="Arial" w:cs="Arial" w:eastAsia="Arial" w:hAnsi="Arial"/>
                <w:sz w:val="18"/>
                <w:szCs w:val="18"/>
                <w:b w:val="1"/>
                <w:bCs w:val="1"/>
                <w:color w:val="auto"/>
                <w:w w:val="89"/>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1"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7380" w:type="dxa"/>
            <w:vAlign w:val="bottom"/>
          </w:tcPr>
          <w:p>
            <w:pPr>
              <w:jc w:val="center"/>
              <w:ind w:right="278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53"/>
        </w:trPr>
        <w:tc>
          <w:tcPr>
            <w:tcW w:w="7380" w:type="dxa"/>
            <w:vAlign w:val="bottom"/>
          </w:tcPr>
          <w:p>
            <w:pPr>
              <w:jc w:val="center"/>
              <w:ind w:right="2782"/>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7380" w:type="dxa"/>
            <w:vAlign w:val="bottom"/>
          </w:tcPr>
          <w:p>
            <w:pPr>
              <w:jc w:val="center"/>
              <w:ind w:right="278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13"/>
        </w:trPr>
        <w:tc>
          <w:tcPr>
            <w:tcW w:w="7380" w:type="dxa"/>
            <w:vAlign w:val="bottom"/>
          </w:tcPr>
          <w:p>
            <w:pPr>
              <w:jc w:val="center"/>
              <w:ind w:right="2782"/>
              <w:spacing w:after="0"/>
              <w:rPr>
                <w:sz w:val="20"/>
                <w:szCs w:val="20"/>
                <w:color w:val="auto"/>
              </w:rPr>
            </w:pPr>
            <w:r>
              <w:rPr>
                <w:rFonts w:ascii="Arial" w:cs="Arial" w:eastAsia="Arial" w:hAnsi="Arial"/>
                <w:sz w:val="18"/>
                <w:szCs w:val="18"/>
                <w:b w:val="1"/>
                <w:bCs w:val="1"/>
                <w:color w:val="auto"/>
                <w:w w:val="91"/>
              </w:rPr>
              <w:t>3503 NW 63</w:t>
            </w:r>
            <w:r>
              <w:rPr>
                <w:rFonts w:ascii="Arial" w:cs="Arial" w:eastAsia="Arial" w:hAnsi="Arial"/>
                <w:sz w:val="24"/>
                <w:szCs w:val="24"/>
                <w:b w:val="1"/>
                <w:bCs w:val="1"/>
                <w:color w:val="auto"/>
                <w:w w:val="91"/>
                <w:vertAlign w:val="superscript"/>
              </w:rPr>
              <w:t>rd</w:t>
            </w:r>
            <w:r>
              <w:rPr>
                <w:rFonts w:ascii="Arial" w:cs="Arial" w:eastAsia="Arial" w:hAnsi="Arial"/>
                <w:sz w:val="18"/>
                <w:szCs w:val="18"/>
                <w:b w:val="1"/>
                <w:bCs w:val="1"/>
                <w:color w:val="auto"/>
                <w:w w:val="91"/>
              </w:rPr>
              <w:t xml:space="preserve"> Street, Suite 500, Oklahoma City, Oklahoma</w:t>
            </w:r>
          </w:p>
        </w:tc>
        <w:tc>
          <w:tcPr>
            <w:tcW w:w="1180" w:type="dxa"/>
            <w:vAlign w:val="bottom"/>
          </w:tcPr>
          <w:p>
            <w:pPr>
              <w:jc w:val="right"/>
              <w:ind w:right="281"/>
              <w:spacing w:after="0"/>
              <w:rPr>
                <w:sz w:val="20"/>
                <w:szCs w:val="20"/>
                <w:color w:val="auto"/>
              </w:rPr>
            </w:pPr>
            <w:r>
              <w:rPr>
                <w:rFonts w:ascii="Arial" w:cs="Arial" w:eastAsia="Arial" w:hAnsi="Arial"/>
                <w:sz w:val="18"/>
                <w:szCs w:val="18"/>
                <w:b w:val="1"/>
                <w:bCs w:val="1"/>
                <w:color w:val="auto"/>
              </w:rPr>
              <w:t>73116</w:t>
            </w:r>
          </w:p>
        </w:tc>
      </w:tr>
      <w:tr>
        <w:trPr>
          <w:trHeight w:val="186"/>
        </w:trPr>
        <w:tc>
          <w:tcPr>
            <w:tcW w:w="7380" w:type="dxa"/>
            <w:vAlign w:val="bottom"/>
          </w:tcPr>
          <w:p>
            <w:pPr>
              <w:jc w:val="center"/>
              <w:ind w:right="276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95"/>
        </w:trPr>
        <w:tc>
          <w:tcPr>
            <w:tcW w:w="7380" w:type="dxa"/>
            <w:vAlign w:val="bottom"/>
          </w:tcPr>
          <w:p>
            <w:pPr>
              <w:ind w:left="292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5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7"/>
                <w:szCs w:val="17"/>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LXU</w:t>
            </w:r>
          </w:p>
        </w:tc>
        <w:tc>
          <w:tcPr>
            <w:tcW w:w="120" w:type="dxa"/>
            <w:vAlign w:val="bottom"/>
          </w:tcPr>
          <w:p>
            <w:pPr>
              <w:spacing w:after="0"/>
              <w:rPr>
                <w:sz w:val="17"/>
                <w:szCs w:val="17"/>
                <w:color w:val="auto"/>
              </w:rPr>
            </w:pPr>
          </w:p>
        </w:tc>
        <w:tc>
          <w:tcPr>
            <w:tcW w:w="504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Preferred Stock Purchase Rights</w:t>
            </w: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N/A</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840"/>
        <w:spacing w:after="0" w:line="253" w:lineRule="exact"/>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The number of shares outstanding of the Registrant's common stock was 76,129,079 shares as of April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20" w:type="dxa"/>
            <w:vAlign w:val="bottom"/>
            <w:gridSpan w:val="3"/>
          </w:tcPr>
          <w:p>
            <w:pPr>
              <w:jc w:val="center"/>
              <w:ind w:right="244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425"/>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spacing w:after="0"/>
              <w:rPr>
                <w:sz w:val="20"/>
                <w:szCs w:val="20"/>
                <w:color w:val="auto"/>
              </w:rPr>
            </w:pPr>
            <w:r>
              <w:rPr>
                <w:rFonts w:ascii="Arial" w:cs="Arial" w:eastAsia="Arial" w:hAnsi="Arial"/>
                <w:sz w:val="18"/>
                <w:szCs w:val="18"/>
                <w:color w:val="0000FF"/>
              </w:rPr>
              <w:t>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gridSpan w:val="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0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9"/>
          </w:tcPr>
          <w:p>
            <w:pPr>
              <w:spacing w:after="0"/>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06"/>
        </w:trPr>
        <w:tc>
          <w:tcPr>
            <w:tcW w:w="9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3"/>
          </w:tcPr>
          <w:p>
            <w:pPr>
              <w:jc w:val="center"/>
              <w:ind w:right="244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445"/>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62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1A.</w:t>
            </w:r>
          </w:p>
        </w:tc>
        <w:tc>
          <w:tcPr>
            <w:tcW w:w="9620" w:type="dxa"/>
            <w:vAlign w:val="bottom"/>
            <w:gridSpan w:val="9"/>
          </w:tcPr>
          <w:p>
            <w:pPr>
              <w:spacing w:after="0"/>
              <w:rPr>
                <w:sz w:val="20"/>
                <w:szCs w:val="20"/>
                <w:color w:val="auto"/>
              </w:rPr>
            </w:pPr>
            <w:r>
              <w:rPr>
                <w:rFonts w:ascii="Arial" w:cs="Arial" w:eastAsia="Arial" w:hAnsi="Arial"/>
                <w:sz w:val="18"/>
                <w:szCs w:val="18"/>
                <w:color w:val="0000FF"/>
              </w:rPr>
              <w:t>Risk Factors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2.</w:t>
            </w:r>
          </w:p>
        </w:tc>
        <w:tc>
          <w:tcPr>
            <w:tcW w:w="9620" w:type="dxa"/>
            <w:vAlign w:val="bottom"/>
            <w:gridSpan w:val="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gridSpan w:val="9"/>
          </w:tcPr>
          <w:p>
            <w:pPr>
              <w:spacing w:after="0"/>
              <w:rPr>
                <w:sz w:val="20"/>
                <w:szCs w:val="20"/>
                <w:color w:val="auto"/>
              </w:rPr>
            </w:pPr>
            <w:r>
              <w:rPr>
                <w:rFonts w:ascii="Arial" w:cs="Arial" w:eastAsia="Arial" w:hAnsi="Arial"/>
                <w:sz w:val="18"/>
                <w:szCs w:val="18"/>
                <w:color w:val="0000FF"/>
              </w:rPr>
              <w:t>Defaults Upon Senior Securities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3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8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5.</w:t>
            </w:r>
          </w:p>
        </w:tc>
        <w:tc>
          <w:tcPr>
            <w:tcW w:w="962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2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9620" w:type="dxa"/>
            <w:vAlign w:val="bottom"/>
            <w:gridSpan w:val="9"/>
          </w:tcPr>
          <w:p>
            <w:pPr>
              <w:spacing w:after="0"/>
              <w:rPr>
                <w:sz w:val="20"/>
                <w:szCs w:val="20"/>
                <w:color w:val="auto"/>
              </w:rPr>
            </w:pPr>
            <w:r>
              <w:rPr>
                <w:rFonts w:ascii="Arial" w:cs="Arial" w:eastAsia="Arial" w:hAnsi="Arial"/>
                <w:sz w:val="18"/>
                <w:szCs w:val="18"/>
                <w:color w:val="0000FF"/>
              </w:rPr>
              <w:t>Exhibits</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96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90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5"/>
        </w:trPr>
        <w:tc>
          <w:tcPr>
            <w:tcW w:w="10580" w:type="dxa"/>
            <w:vAlign w:val="bottom"/>
            <w:gridSpan w:val="10"/>
          </w:tcPr>
          <w:p>
            <w:pPr>
              <w:spacing w:after="0"/>
              <w:rPr>
                <w:sz w:val="20"/>
                <w:szCs w:val="20"/>
                <w:color w:val="auto"/>
              </w:rPr>
            </w:pPr>
            <w:r>
              <w:rPr>
                <w:rFonts w:ascii="Arial" w:cs="Arial" w:eastAsia="Arial" w:hAnsi="Arial"/>
                <w:sz w:val="18"/>
                <w:szCs w:val="18"/>
                <w:color w:val="auto"/>
              </w:rPr>
              <w:t>When we refer to "us", "we", "our", "Company" or "LSB" we are describing LSB Industries, Inc. and its subsidiaries.</w:t>
            </w:r>
          </w:p>
        </w:tc>
        <w:tc>
          <w:tcPr>
            <w:tcW w:w="660" w:type="dxa"/>
            <w:vAlign w:val="bottom"/>
          </w:tcPr>
          <w:p>
            <w:pPr>
              <w:spacing w:after="0"/>
              <w:rPr>
                <w:sz w:val="24"/>
                <w:szCs w:val="24"/>
                <w:color w:val="auto"/>
              </w:rPr>
            </w:pPr>
          </w:p>
        </w:tc>
      </w:tr>
      <w:tr>
        <w:trPr>
          <w:trHeight w:val="431"/>
        </w:trPr>
        <w:tc>
          <w:tcPr>
            <w:tcW w:w="960" w:type="dxa"/>
            <w:vAlign w:val="bottom"/>
          </w:tcPr>
          <w:p>
            <w:pPr>
              <w:spacing w:after="0"/>
              <w:rPr>
                <w:sz w:val="24"/>
                <w:szCs w:val="24"/>
                <w:color w:val="auto"/>
              </w:rPr>
            </w:pPr>
          </w:p>
        </w:tc>
        <w:tc>
          <w:tcPr>
            <w:tcW w:w="6400" w:type="dxa"/>
            <w:vAlign w:val="bottom"/>
            <w:gridSpan w:val="8"/>
          </w:tcPr>
          <w:p>
            <w:pPr>
              <w:jc w:val="right"/>
              <w:ind w:right="17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LSB INDUSTRIES, INC.</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(Information at March 31, 2023 is unaudited)</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4"/>
                <w:szCs w:val="24"/>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December 31,</w:t>
            </w:r>
          </w:p>
        </w:tc>
      </w:tr>
      <w:tr>
        <w:trPr>
          <w:trHeight w:val="250"/>
        </w:trPr>
        <w:tc>
          <w:tcPr>
            <w:tcW w:w="2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r>
      <w:tr>
        <w:trPr>
          <w:trHeight w:val="220"/>
        </w:trPr>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00" w:type="dxa"/>
            <w:vAlign w:val="bottom"/>
            <w:gridSpan w:val="5"/>
          </w:tcPr>
          <w:p>
            <w:pPr>
              <w:jc w:val="right"/>
              <w:ind w:right="1340"/>
              <w:spacing w:after="0"/>
              <w:rPr>
                <w:sz w:val="20"/>
                <w:szCs w:val="20"/>
                <w:color w:val="auto"/>
              </w:rPr>
            </w:pPr>
            <w:r>
              <w:rPr>
                <w:rFonts w:ascii="Arial" w:cs="Arial" w:eastAsia="Arial" w:hAnsi="Arial"/>
                <w:sz w:val="16"/>
                <w:szCs w:val="16"/>
                <w:color w:val="auto"/>
              </w:rPr>
              <w:t>(In Thousands)</w:t>
            </w:r>
          </w:p>
        </w:tc>
      </w:tr>
      <w:tr>
        <w:trPr>
          <w:trHeight w:val="252"/>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46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63,769</w:t>
            </w:r>
          </w:p>
        </w:tc>
        <w:tc>
          <w:tcPr>
            <w:tcW w:w="100" w:type="dxa"/>
            <w:vAlign w:val="bottom"/>
            <w:shd w:val="clear" w:color="auto" w:fill="CFF0FC"/>
          </w:tcPr>
          <w:p>
            <w:pPr>
              <w:spacing w:after="0"/>
              <w:rPr>
                <w:sz w:val="21"/>
                <w:szCs w:val="21"/>
                <w:color w:val="auto"/>
              </w:rPr>
            </w:pPr>
          </w:p>
        </w:tc>
      </w:tr>
      <w:tr>
        <w:trPr>
          <w:trHeight w:val="23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376,882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330,553</w:t>
            </w:r>
          </w:p>
        </w:tc>
        <w:tc>
          <w:tcPr>
            <w:tcW w:w="10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Accounts receivable</w:t>
            </w: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60,251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75,494</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Allowance for doubtful accounts</w:t>
            </w:r>
          </w:p>
        </w:tc>
        <w:tc>
          <w:tcPr>
            <w:tcW w:w="4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(693 )</w:t>
            </w:r>
          </w:p>
        </w:tc>
        <w:tc>
          <w:tcPr>
            <w:tcW w:w="18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(699 )</w:t>
            </w:r>
          </w:p>
        </w:tc>
      </w:tr>
      <w:tr>
        <w:trPr>
          <w:trHeight w:val="236"/>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43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59,558</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74,795</w:t>
            </w:r>
          </w:p>
        </w:tc>
        <w:tc>
          <w:tcPr>
            <w:tcW w:w="100" w:type="dxa"/>
            <w:vAlign w:val="bottom"/>
            <w:shd w:val="clear" w:color="auto" w:fill="CFF0FC"/>
          </w:tcPr>
          <w:p>
            <w:pPr>
              <w:spacing w:after="0"/>
              <w:rPr>
                <w:sz w:val="20"/>
                <w:szCs w:val="20"/>
                <w:color w:val="auto"/>
              </w:rPr>
            </w:pPr>
          </w:p>
        </w:tc>
      </w:tr>
      <w:tr>
        <w:trPr>
          <w:trHeight w:val="23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Inventories:</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Finished goods</w:t>
            </w: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28,102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28,893</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Raw materials</w:t>
            </w:r>
          </w:p>
        </w:tc>
        <w:tc>
          <w:tcPr>
            <w:tcW w:w="4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r>
      <w:tr>
        <w:trPr>
          <w:trHeight w:val="236"/>
        </w:trPr>
        <w:tc>
          <w:tcPr>
            <w:tcW w:w="328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Total inventories</w:t>
            </w:r>
          </w:p>
        </w:tc>
        <w:tc>
          <w:tcPr>
            <w:tcW w:w="4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30,883</w:t>
            </w:r>
          </w:p>
        </w:tc>
        <w:tc>
          <w:tcPr>
            <w:tcW w:w="100" w:type="dxa"/>
            <w:vAlign w:val="bottom"/>
            <w:shd w:val="clear" w:color="auto" w:fill="CFF0FC"/>
          </w:tcPr>
          <w:p>
            <w:pPr>
              <w:spacing w:after="0"/>
              <w:rPr>
                <w:sz w:val="20"/>
                <w:szCs w:val="20"/>
                <w:color w:val="auto"/>
              </w:rPr>
            </w:pPr>
          </w:p>
        </w:tc>
      </w:tr>
      <w:tr>
        <w:trPr>
          <w:trHeight w:val="236"/>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Supplies, prepaid items and other:</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Prepaid insurance</w:t>
            </w: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shd w:val="clear" w:color="auto" w:fill="CFF0FC"/>
          </w:tcPr>
          <w:p>
            <w:pPr>
              <w:spacing w:after="0"/>
              <w:rPr>
                <w:sz w:val="21"/>
                <w:szCs w:val="21"/>
                <w:color w:val="auto"/>
              </w:rPr>
            </w:pPr>
          </w:p>
        </w:tc>
      </w:tr>
      <w:tr>
        <w:trPr>
          <w:trHeight w:val="236"/>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Precious metals</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14,474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13,323</w:t>
            </w:r>
          </w:p>
        </w:tc>
        <w:tc>
          <w:tcPr>
            <w:tcW w:w="10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Supplies</w:t>
            </w: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27,501</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21"/>
                <w:szCs w:val="21"/>
                <w:color w:val="auto"/>
              </w:rPr>
            </w:pPr>
          </w:p>
        </w:tc>
      </w:tr>
      <w:tr>
        <w:trPr>
          <w:trHeight w:val="236"/>
        </w:trPr>
        <w:tc>
          <w:tcPr>
            <w:tcW w:w="3280" w:type="dxa"/>
            <w:vAlign w:val="bottom"/>
            <w:tcBorders>
              <w:bottom w:val="single" w:sz="8" w:color="CFF0FC"/>
            </w:tcBorders>
            <w:gridSpan w:val="2"/>
            <w:shd w:val="clear" w:color="auto" w:fill="CFF0FC"/>
          </w:tcPr>
          <w:p>
            <w:pPr>
              <w:ind w:left="300"/>
              <w:spacing w:after="0"/>
              <w:rPr>
                <w:sz w:val="20"/>
                <w:szCs w:val="20"/>
                <w:color w:val="auto"/>
              </w:rPr>
            </w:pPr>
            <w:r>
              <w:rPr>
                <w:rFonts w:ascii="Arial" w:cs="Arial" w:eastAsia="Arial" w:hAnsi="Arial"/>
                <w:sz w:val="18"/>
                <w:szCs w:val="18"/>
                <w:color w:val="auto"/>
                <w:w w:val="95"/>
              </w:rPr>
              <w:t>Total supplies, prepaid items and other</w:t>
            </w:r>
          </w:p>
        </w:tc>
        <w:tc>
          <w:tcPr>
            <w:tcW w:w="43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64,806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66,599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4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579,827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566,599</w:t>
            </w:r>
          </w:p>
        </w:tc>
        <w:tc>
          <w:tcPr>
            <w:tcW w:w="100" w:type="dxa"/>
            <w:vAlign w:val="bottom"/>
          </w:tcPr>
          <w:p>
            <w:pPr>
              <w:spacing w:after="0"/>
              <w:rPr>
                <w:sz w:val="19"/>
                <w:szCs w:val="19"/>
                <w:color w:val="auto"/>
              </w:rPr>
            </w:pPr>
          </w:p>
        </w:tc>
      </w:tr>
      <w:tr>
        <w:trPr>
          <w:trHeight w:val="249"/>
        </w:trPr>
        <w:tc>
          <w:tcPr>
            <w:tcW w:w="2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842,925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848,661</w:t>
            </w:r>
          </w:p>
        </w:tc>
        <w:tc>
          <w:tcPr>
            <w:tcW w:w="100" w:type="dxa"/>
            <w:vAlign w:val="bottom"/>
          </w:tcPr>
          <w:p>
            <w:pPr>
              <w:spacing w:after="0"/>
              <w:rPr>
                <w:sz w:val="20"/>
                <w:szCs w:val="20"/>
                <w:color w:val="auto"/>
              </w:rPr>
            </w:pPr>
          </w:p>
        </w:tc>
      </w:tr>
      <w:tr>
        <w:trPr>
          <w:trHeight w:val="249"/>
        </w:trPr>
        <w:tc>
          <w:tcPr>
            <w:tcW w:w="2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4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3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Operating lease assets</w:t>
            </w:r>
          </w:p>
        </w:tc>
        <w:tc>
          <w:tcPr>
            <w:tcW w:w="4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22,682</w:t>
            </w:r>
          </w:p>
        </w:tc>
        <w:tc>
          <w:tcPr>
            <w:tcW w:w="100" w:type="dxa"/>
            <w:vAlign w:val="bottom"/>
            <w:shd w:val="clear" w:color="auto" w:fill="CFF0FC"/>
          </w:tcPr>
          <w:p>
            <w:pPr>
              <w:spacing w:after="0"/>
              <w:rPr>
                <w:sz w:val="21"/>
                <w:szCs w:val="21"/>
                <w:color w:val="auto"/>
              </w:rPr>
            </w:pPr>
          </w:p>
        </w:tc>
      </w:tr>
      <w:tr>
        <w:trPr>
          <w:trHeight w:val="243"/>
        </w:trPr>
        <w:tc>
          <w:tcPr>
            <w:tcW w:w="3280" w:type="dxa"/>
            <w:vAlign w:val="bottom"/>
            <w:gridSpan w:val="2"/>
          </w:tcPr>
          <w:p>
            <w:pPr>
              <w:ind w:left="120"/>
              <w:spacing w:after="0"/>
              <w:rPr>
                <w:sz w:val="20"/>
                <w:szCs w:val="20"/>
                <w:color w:val="auto"/>
              </w:rPr>
            </w:pPr>
            <w:r>
              <w:rPr>
                <w:rFonts w:ascii="Arial" w:cs="Arial" w:eastAsia="Arial" w:hAnsi="Arial"/>
                <w:sz w:val="18"/>
                <w:szCs w:val="18"/>
                <w:color w:val="auto"/>
              </w:rPr>
              <w:t>Intangible and other assets, net</w:t>
            </w:r>
          </w:p>
        </w:tc>
        <w:tc>
          <w:tcPr>
            <w:tcW w:w="43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r>
      <w:tr>
        <w:trPr>
          <w:trHeight w:val="236"/>
        </w:trPr>
        <w:tc>
          <w:tcPr>
            <w:tcW w:w="2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w:t>
            </w:r>
          </w:p>
        </w:tc>
        <w:tc>
          <w:tcPr>
            <w:tcW w:w="100" w:type="dxa"/>
            <w:vAlign w:val="bottom"/>
            <w:shd w:val="clear" w:color="auto" w:fill="CFF0FC"/>
          </w:tcPr>
          <w:p>
            <w:pPr>
              <w:spacing w:after="0"/>
              <w:rPr>
                <w:sz w:val="20"/>
                <w:szCs w:val="20"/>
                <w:color w:val="auto"/>
              </w:rPr>
            </w:pPr>
          </w:p>
        </w:tc>
      </w:tr>
      <w:tr>
        <w:trPr>
          <w:trHeight w:val="243"/>
        </w:trPr>
        <w:tc>
          <w:tcPr>
            <w:tcW w:w="2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6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22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438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1,445,770</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1,439,819</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59"/>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6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80" w:type="dxa"/>
            <w:vAlign w:val="bottom"/>
          </w:tcPr>
          <w:p>
            <w:pPr>
              <w:jc w:val="center"/>
              <w:ind w:left="210"/>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-2251075</wp:posOffset>
            </wp:positionV>
            <wp:extent cx="685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-2251075</wp:posOffset>
            </wp:positionV>
            <wp:extent cx="685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-684530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-667385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2023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71"/>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20"/>
                <w:szCs w:val="20"/>
                <w:color w:val="auto"/>
              </w:rPr>
            </w:pPr>
          </w:p>
        </w:tc>
      </w:tr>
      <w:tr>
        <w:trPr>
          <w:trHeight w:val="250"/>
        </w:trPr>
        <w:tc>
          <w:tcPr>
            <w:tcW w:w="7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r>
      <w:tr>
        <w:trPr>
          <w:trHeight w:val="220"/>
        </w:trPr>
        <w:tc>
          <w:tcPr>
            <w:tcW w:w="7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0" w:type="dxa"/>
            <w:vAlign w:val="bottom"/>
            <w:gridSpan w:val="4"/>
          </w:tcPr>
          <w:p>
            <w:pPr>
              <w:jc w:val="right"/>
              <w:ind w:right="115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9"/>
                <w:szCs w:val="19"/>
                <w:color w:val="auto"/>
              </w:rPr>
            </w:pPr>
          </w:p>
        </w:tc>
      </w:tr>
      <w:tr>
        <w:trPr>
          <w:trHeight w:val="252"/>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68,341</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78,182</w:t>
            </w:r>
          </w:p>
        </w:tc>
        <w:tc>
          <w:tcPr>
            <w:tcW w:w="100" w:type="dxa"/>
            <w:vAlign w:val="bottom"/>
            <w:shd w:val="clear" w:color="auto" w:fill="CFF0FC"/>
          </w:tcPr>
          <w:p>
            <w:pPr>
              <w:spacing w:after="0"/>
              <w:rPr>
                <w:sz w:val="21"/>
                <w:szCs w:val="21"/>
                <w:color w:val="auto"/>
              </w:rPr>
            </w:pPr>
          </w:p>
        </w:tc>
      </w:tr>
      <w:tr>
        <w:trPr>
          <w:trHeight w:val="236"/>
        </w:trPr>
        <w:tc>
          <w:tcPr>
            <w:tcW w:w="7660" w:type="dxa"/>
            <w:vAlign w:val="bottom"/>
          </w:tcPr>
          <w:p>
            <w:pPr>
              <w:ind w:left="120"/>
              <w:spacing w:after="0"/>
              <w:rPr>
                <w:sz w:val="20"/>
                <w:szCs w:val="20"/>
                <w:color w:val="auto"/>
              </w:rPr>
            </w:pPr>
            <w:r>
              <w:rPr>
                <w:rFonts w:ascii="Arial" w:cs="Arial" w:eastAsia="Arial" w:hAnsi="Arial"/>
                <w:sz w:val="18"/>
                <w:szCs w:val="18"/>
                <w:color w:val="auto"/>
              </w:rPr>
              <w:t>Short-term financing</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10,168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16,134</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and other liabilities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38,470</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00" w:type="dxa"/>
            <w:vAlign w:val="bottom"/>
          </w:tcPr>
          <w:p>
            <w:pPr>
              <w:spacing w:after="0"/>
              <w:rPr>
                <w:sz w:val="21"/>
                <w:szCs w:val="2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130,670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142,308</w:t>
            </w:r>
          </w:p>
        </w:tc>
        <w:tc>
          <w:tcPr>
            <w:tcW w:w="100" w:type="dxa"/>
            <w:vAlign w:val="bottom"/>
            <w:shd w:val="clear" w:color="auto" w:fill="CFF0FC"/>
          </w:tcPr>
          <w:p>
            <w:pPr>
              <w:spacing w:after="0"/>
              <w:rPr>
                <w:sz w:val="20"/>
                <w:szCs w:val="20"/>
                <w:color w:val="auto"/>
              </w:rPr>
            </w:pP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702,071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702,733</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13,460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14,896</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accrued and other liabilities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69,095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63,487</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5)</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660" w:type="dxa"/>
            <w:vAlign w:val="bottom"/>
          </w:tcPr>
          <w:p>
            <w:pPr>
              <w:ind w:left="120"/>
              <w:spacing w:after="0"/>
              <w:rPr>
                <w:sz w:val="20"/>
                <w:szCs w:val="20"/>
                <w:color w:val="auto"/>
              </w:rPr>
            </w:pPr>
            <w:r>
              <w:rPr>
                <w:rFonts w:ascii="Arial" w:cs="Arial" w:eastAsia="Arial" w:hAnsi="Arial"/>
                <w:sz w:val="18"/>
                <w:szCs w:val="18"/>
                <w:color w:val="auto"/>
              </w:rPr>
              <w:t>Common stock, $.10 par value; 150 million shares authorized, 91.2 million</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660" w:type="dxa"/>
            <w:vAlign w:val="bottom"/>
          </w:tcPr>
          <w:p>
            <w:pPr>
              <w:ind w:left="240"/>
              <w:spacing w:after="0"/>
              <w:rPr>
                <w:sz w:val="20"/>
                <w:szCs w:val="20"/>
                <w:color w:val="auto"/>
              </w:rPr>
            </w:pPr>
            <w:r>
              <w:rPr>
                <w:rFonts w:ascii="Arial" w:cs="Arial" w:eastAsia="Arial" w:hAnsi="Arial"/>
                <w:sz w:val="18"/>
                <w:szCs w:val="18"/>
                <w:color w:val="auto"/>
              </w:rPr>
              <w:t>shares issued</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497,216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497,179</w:t>
            </w:r>
          </w:p>
        </w:tc>
        <w:tc>
          <w:tcPr>
            <w:tcW w:w="100" w:type="dxa"/>
            <w:vAlign w:val="bottom"/>
            <w:shd w:val="clear" w:color="auto" w:fill="CFF0FC"/>
          </w:tcPr>
          <w:p>
            <w:pPr>
              <w:spacing w:after="0"/>
              <w:rPr>
                <w:sz w:val="21"/>
                <w:szCs w:val="21"/>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214,993</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199,092</w:t>
            </w:r>
          </w:p>
        </w:tc>
        <w:tc>
          <w:tcPr>
            <w:tcW w:w="100" w:type="dxa"/>
            <w:vAlign w:val="bottom"/>
          </w:tcPr>
          <w:p>
            <w:pPr>
              <w:spacing w:after="0"/>
              <w:rPr>
                <w:sz w:val="21"/>
                <w:szCs w:val="21"/>
                <w:color w:val="auto"/>
              </w:rPr>
            </w:pPr>
          </w:p>
        </w:tc>
      </w:tr>
      <w:tr>
        <w:trPr>
          <w:trHeight w:val="236"/>
        </w:trPr>
        <w:tc>
          <w:tcPr>
            <w:tcW w:w="76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721,326</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705,388</w:t>
            </w:r>
          </w:p>
        </w:tc>
        <w:tc>
          <w:tcPr>
            <w:tcW w:w="100" w:type="dxa"/>
            <w:vAlign w:val="bottom"/>
            <w:shd w:val="clear" w:color="auto" w:fill="CFF0FC"/>
          </w:tcPr>
          <w:p>
            <w:pPr>
              <w:spacing w:after="0"/>
              <w:rPr>
                <w:sz w:val="20"/>
                <w:szCs w:val="20"/>
                <w:color w:val="auto"/>
              </w:rPr>
            </w:pPr>
          </w:p>
        </w:tc>
      </w:tr>
      <w:tr>
        <w:trPr>
          <w:trHeight w:val="236"/>
        </w:trPr>
        <w:tc>
          <w:tcPr>
            <w:tcW w:w="7660" w:type="dxa"/>
            <w:vAlign w:val="bottom"/>
          </w:tcPr>
          <w:p>
            <w:pPr>
              <w:ind w:left="120"/>
              <w:spacing w:after="0"/>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Common stock, 15.0 million shares (14.9 million shares at December 31, 2022)</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191,374</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529,952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515,873</w:t>
            </w:r>
          </w:p>
        </w:tc>
        <w:tc>
          <w:tcPr>
            <w:tcW w:w="100" w:type="dxa"/>
            <w:vAlign w:val="bottom"/>
          </w:tcPr>
          <w:p>
            <w:pPr>
              <w:spacing w:after="0"/>
              <w:rPr>
                <w:sz w:val="20"/>
                <w:szCs w:val="20"/>
                <w:color w:val="auto"/>
              </w:rPr>
            </w:pPr>
          </w:p>
        </w:tc>
      </w:tr>
      <w:tr>
        <w:trPr>
          <w:trHeight w:val="270"/>
        </w:trPr>
        <w:tc>
          <w:tcPr>
            <w:tcW w:w="76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1,445,770</w:t>
            </w:r>
          </w:p>
        </w:tc>
        <w:tc>
          <w:tcPr>
            <w:tcW w:w="2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1,439,819</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-350520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350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Three Months Ended</w:t>
            </w:r>
          </w:p>
        </w:tc>
      </w:tr>
      <w:tr>
        <w:trPr>
          <w:trHeight w:val="243"/>
        </w:trPr>
        <w:tc>
          <w:tcPr>
            <w:tcW w:w="7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gridSpan w:val="3"/>
          </w:tcPr>
          <w:p>
            <w:pPr>
              <w:jc w:val="center"/>
              <w:ind w:left="70"/>
              <w:spacing w:after="0"/>
              <w:rPr>
                <w:sz w:val="20"/>
                <w:szCs w:val="20"/>
                <w:color w:val="auto"/>
              </w:rPr>
            </w:pPr>
            <w:r>
              <w:rPr>
                <w:rFonts w:ascii="Arial" w:cs="Arial" w:eastAsia="Arial" w:hAnsi="Arial"/>
                <w:sz w:val="18"/>
                <w:szCs w:val="18"/>
                <w:color w:val="auto"/>
                <w:w w:val="92"/>
              </w:rPr>
              <w:t>March 31,</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7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r>
      <w:tr>
        <w:trPr>
          <w:trHeight w:val="220"/>
        </w:trPr>
        <w:tc>
          <w:tcPr>
            <w:tcW w:w="7740" w:type="dxa"/>
            <w:vAlign w:val="bottom"/>
          </w:tcPr>
          <w:p>
            <w:pPr>
              <w:spacing w:after="0"/>
              <w:rPr>
                <w:sz w:val="19"/>
                <w:szCs w:val="19"/>
                <w:color w:val="auto"/>
              </w:rPr>
            </w:pPr>
          </w:p>
        </w:tc>
        <w:tc>
          <w:tcPr>
            <w:tcW w:w="3500" w:type="dxa"/>
            <w:vAlign w:val="bottom"/>
            <w:gridSpan w:val="6"/>
          </w:tcPr>
          <w:p>
            <w:pPr>
              <w:jc w:val="center"/>
              <w:ind w:right="120"/>
              <w:spacing w:after="0"/>
              <w:rPr>
                <w:sz w:val="20"/>
                <w:szCs w:val="20"/>
                <w:color w:val="auto"/>
              </w:rPr>
            </w:pPr>
            <w:r>
              <w:rPr>
                <w:rFonts w:ascii="Arial" w:cs="Arial" w:eastAsia="Arial" w:hAnsi="Arial"/>
                <w:sz w:val="16"/>
                <w:szCs w:val="16"/>
                <w:color w:val="auto"/>
                <w:w w:val="91"/>
              </w:rPr>
              <w:t>(In Thousands, Except Per Share Amounts)</w:t>
            </w:r>
          </w:p>
        </w:tc>
      </w:tr>
      <w:tr>
        <w:trPr>
          <w:trHeight w:val="25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FF0FC"/>
          </w:tcPr>
          <w:p>
            <w:pPr>
              <w:jc w:val="right"/>
              <w:ind w:right="7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180,964</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198,981</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139,359</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108,251</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41,605</w:t>
            </w: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90,730</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9,867</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1,203</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(176 )</w:t>
            </w: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30,535</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79,971</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12,212</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Non-operating other expense (income), net</w:t>
            </w: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(3,476 )</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21,799</w:t>
            </w:r>
          </w:p>
        </w:tc>
        <w:tc>
          <w:tcPr>
            <w:tcW w:w="3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69,881</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11,115</w:t>
            </w:r>
          </w:p>
        </w:tc>
        <w:tc>
          <w:tcPr>
            <w:tcW w:w="100" w:type="dxa"/>
            <w:vAlign w:val="bottom"/>
          </w:tcPr>
          <w:p>
            <w:pPr>
              <w:spacing w:after="0"/>
              <w:rPr>
                <w:sz w:val="21"/>
                <w:szCs w:val="2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15,901</w:t>
            </w:r>
          </w:p>
        </w:tc>
        <w:tc>
          <w:tcPr>
            <w:tcW w:w="3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123317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3170" cy="1797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per common share:</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Basic:</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Diluted:</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4740" w:type="dxa"/>
        <w:tblCellMar>
          <w:top w:w="0" w:type="dxa"/>
          <w:left w:w="0" w:type="dxa"/>
          <w:bottom w:w="0" w:type="dxa"/>
          <w:right w:w="0" w:type="dxa"/>
        </w:tblCellMar>
      </w:tblPr>
      <w:tr>
        <w:trPr>
          <w:trHeight w:val="237"/>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709"/>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0.21</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0"/>
        </w:trPr>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-975360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-667385</wp:posOffset>
            </wp:positionV>
            <wp:extent cx="7132320" cy="488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22" w:lineRule="exact"/>
        <w:rPr>
          <w:sz w:val="20"/>
          <w:szCs w:val="20"/>
          <w:color w:val="auto"/>
        </w:rPr>
      </w:pPr>
    </w:p>
    <w:p>
      <w:pPr>
        <w:jc w:val="center"/>
        <w:ind w:right="300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59"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0" w:space="720"/>
            <w:col w:w="8240"/>
          </w:cols>
          <w:pgMar w:left="320" w:top="33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Treasury</w:t>
            </w:r>
          </w:p>
        </w:tc>
        <w:tc>
          <w:tcPr>
            <w:tcW w:w="1160" w:type="dxa"/>
            <w:vAlign w:val="bottom"/>
          </w:tcPr>
          <w:p>
            <w:pPr>
              <w:jc w:val="center"/>
              <w:spacing w:after="0"/>
              <w:rPr>
                <w:sz w:val="20"/>
                <w:szCs w:val="20"/>
                <w:color w:val="auto"/>
              </w:rPr>
            </w:pPr>
            <w:r>
              <w:rPr>
                <w:rFonts w:ascii="Arial" w:cs="Arial" w:eastAsia="Arial" w:hAnsi="Arial"/>
                <w:sz w:val="14"/>
                <w:szCs w:val="14"/>
                <w:color w:val="auto"/>
                <w:w w:val="95"/>
              </w:rPr>
              <w:t>Common</w:t>
            </w:r>
          </w:p>
        </w:tc>
        <w:tc>
          <w:tcPr>
            <w:tcW w:w="1080" w:type="dxa"/>
            <w:vAlign w:val="bottom"/>
          </w:tcPr>
          <w:p>
            <w:pPr>
              <w:jc w:val="center"/>
              <w:ind w:left="8"/>
              <w:spacing w:after="0"/>
              <w:rPr>
                <w:sz w:val="20"/>
                <w:szCs w:val="20"/>
                <w:color w:val="auto"/>
              </w:rPr>
            </w:pPr>
            <w:r>
              <w:rPr>
                <w:rFonts w:ascii="Arial" w:cs="Arial" w:eastAsia="Arial" w:hAnsi="Arial"/>
                <w:sz w:val="14"/>
                <w:szCs w:val="14"/>
                <w:color w:val="auto"/>
                <w:w w:val="95"/>
              </w:rPr>
              <w:t>Capital in</w:t>
            </w: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8"/>
        </w:trPr>
        <w:tc>
          <w:tcPr>
            <w:tcW w:w="86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95"/>
              </w:rPr>
              <w:t>Common</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Stock-</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6"/>
              </w:rPr>
              <w:t>Stock</w:t>
            </w:r>
          </w:p>
        </w:tc>
        <w:tc>
          <w:tcPr>
            <w:tcW w:w="108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2"/>
              </w:rPr>
              <w:t>Excess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2"/>
              </w:rPr>
              <w:t>Retained Earnings</w:t>
            </w: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0"/>
              </w:rPr>
              <w:t>Treasury</w:t>
            </w:r>
          </w:p>
        </w:tc>
        <w:tc>
          <w:tcPr>
            <w:tcW w:w="640" w:type="dxa"/>
            <w:vAlign w:val="bottom"/>
          </w:tcPr>
          <w:p>
            <w:pPr>
              <w:spacing w:after="0"/>
              <w:rPr>
                <w:sz w:val="12"/>
                <w:szCs w:val="12"/>
                <w:color w:val="auto"/>
              </w:rPr>
            </w:pPr>
          </w:p>
        </w:tc>
      </w:tr>
      <w:tr>
        <w:trPr>
          <w:trHeight w:val="148"/>
        </w:trPr>
        <w:tc>
          <w:tcPr>
            <w:tcW w:w="860" w:type="dxa"/>
            <w:vAlign w:val="bottom"/>
          </w:tcPr>
          <w:p>
            <w:pPr>
              <w:jc w:val="center"/>
              <w:ind w:right="248"/>
              <w:spacing w:after="0" w:line="149" w:lineRule="exact"/>
              <w:rPr>
                <w:sz w:val="20"/>
                <w:szCs w:val="20"/>
                <w:color w:val="auto"/>
              </w:rPr>
            </w:pPr>
            <w:r>
              <w:rPr>
                <w:rFonts w:ascii="Arial" w:cs="Arial" w:eastAsia="Arial" w:hAnsi="Arial"/>
                <w:sz w:val="14"/>
                <w:szCs w:val="14"/>
                <w:color w:val="auto"/>
                <w:w w:val="96"/>
              </w:rPr>
              <w:t>Stock</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2"/>
              </w:rPr>
              <w:t>Par</w:t>
            </w:r>
          </w:p>
        </w:tc>
        <w:tc>
          <w:tcPr>
            <w:tcW w:w="10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1"/>
              </w:rPr>
              <w:t>Par</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5"/>
              </w:rPr>
              <w:t>(Accumulated</w:t>
            </w:r>
          </w:p>
        </w:tc>
        <w:tc>
          <w:tcPr>
            <w:tcW w:w="11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5"/>
              </w:rPr>
              <w:t>Stock-</w:t>
            </w:r>
          </w:p>
        </w:tc>
        <w:tc>
          <w:tcPr>
            <w:tcW w:w="640" w:type="dxa"/>
            <w:vAlign w:val="bottom"/>
          </w:tcPr>
          <w:p>
            <w:pPr>
              <w:spacing w:after="0"/>
              <w:rPr>
                <w:sz w:val="12"/>
                <w:szCs w:val="12"/>
                <w:color w:val="auto"/>
              </w:rPr>
            </w:pPr>
          </w:p>
        </w:tc>
      </w:tr>
      <w:tr>
        <w:trPr>
          <w:trHeight w:val="182"/>
        </w:trPr>
        <w:tc>
          <w:tcPr>
            <w:tcW w:w="860" w:type="dxa"/>
            <w:vAlign w:val="bottom"/>
          </w:tcPr>
          <w:p>
            <w:pPr>
              <w:jc w:val="center"/>
              <w:ind w:right="248"/>
              <w:spacing w:after="0"/>
              <w:rPr>
                <w:sz w:val="20"/>
                <w:szCs w:val="20"/>
                <w:color w:val="auto"/>
              </w:rPr>
            </w:pPr>
            <w:r>
              <w:rPr>
                <w:rFonts w:ascii="Arial" w:cs="Arial" w:eastAsia="Arial" w:hAnsi="Arial"/>
                <w:sz w:val="14"/>
                <w:szCs w:val="14"/>
                <w:color w:val="auto"/>
                <w:w w:val="85"/>
              </w:rPr>
              <w:t>Shares</w:t>
            </w:r>
          </w:p>
        </w:tc>
        <w:tc>
          <w:tcPr>
            <w:tcW w:w="120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Value</w:t>
            </w:r>
          </w:p>
        </w:tc>
        <w:tc>
          <w:tcPr>
            <w:tcW w:w="1080" w:type="dxa"/>
            <w:vAlign w:val="bottom"/>
          </w:tcPr>
          <w:p>
            <w:pPr>
              <w:jc w:val="center"/>
              <w:ind w:left="48"/>
              <w:spacing w:after="0"/>
              <w:rPr>
                <w:sz w:val="20"/>
                <w:szCs w:val="20"/>
                <w:color w:val="auto"/>
              </w:rPr>
            </w:pPr>
            <w:r>
              <w:rPr>
                <w:rFonts w:ascii="Arial" w:cs="Arial" w:eastAsia="Arial" w:hAnsi="Arial"/>
                <w:sz w:val="14"/>
                <w:szCs w:val="14"/>
                <w:color w:val="auto"/>
                <w:w w:val="89"/>
              </w:rPr>
              <w:t>Value</w:t>
            </w:r>
          </w:p>
        </w:tc>
        <w:tc>
          <w:tcPr>
            <w:tcW w:w="1480" w:type="dxa"/>
            <w:vAlign w:val="bottom"/>
          </w:tcPr>
          <w:p>
            <w:pPr>
              <w:jc w:val="center"/>
              <w:spacing w:after="0"/>
              <w:rPr>
                <w:sz w:val="20"/>
                <w:szCs w:val="20"/>
                <w:color w:val="auto"/>
              </w:rPr>
            </w:pPr>
            <w:r>
              <w:rPr>
                <w:rFonts w:ascii="Arial" w:cs="Arial" w:eastAsia="Arial" w:hAnsi="Arial"/>
                <w:sz w:val="14"/>
                <w:szCs w:val="14"/>
                <w:color w:val="auto"/>
              </w:rPr>
              <w:t>Deficit)</w:t>
            </w:r>
          </w:p>
        </w:tc>
        <w:tc>
          <w:tcPr>
            <w:tcW w:w="1120" w:type="dxa"/>
            <w:vAlign w:val="bottom"/>
          </w:tcPr>
          <w:p>
            <w:pPr>
              <w:jc w:val="center"/>
              <w:ind w:right="68"/>
              <w:spacing w:after="0"/>
              <w:rPr>
                <w:sz w:val="20"/>
                <w:szCs w:val="20"/>
                <w:color w:val="auto"/>
              </w:rPr>
            </w:pPr>
            <w:r>
              <w:rPr>
                <w:rFonts w:ascii="Arial" w:cs="Arial" w:eastAsia="Arial" w:hAnsi="Arial"/>
                <w:sz w:val="14"/>
                <w:szCs w:val="14"/>
                <w:color w:val="auto"/>
                <w:w w:val="95"/>
              </w:rPr>
              <w:t>Common</w:t>
            </w:r>
          </w:p>
        </w:tc>
        <w:tc>
          <w:tcPr>
            <w:tcW w:w="640" w:type="dxa"/>
            <w:vAlign w:val="bottom"/>
          </w:tcPr>
          <w:p>
            <w:pPr>
              <w:ind w:left="340"/>
              <w:spacing w:after="0"/>
              <w:rPr>
                <w:sz w:val="20"/>
                <w:szCs w:val="20"/>
                <w:color w:val="auto"/>
              </w:rPr>
            </w:pPr>
            <w:r>
              <w:rPr>
                <w:rFonts w:ascii="Arial" w:cs="Arial" w:eastAsia="Arial" w:hAnsi="Arial"/>
                <w:sz w:val="14"/>
                <w:szCs w:val="14"/>
                <w:color w:val="auto"/>
                <w:w w:val="89"/>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-635</wp:posOffset>
            </wp:positionV>
            <wp:extent cx="51117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11750" cy="825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6"/>
          <w:szCs w:val="16"/>
          <w:color w:val="auto"/>
        </w:rPr>
        <w:t>(In Thousands)</w:t>
      </w:r>
    </w:p>
    <w:p>
      <w:pPr>
        <w:sectPr>
          <w:pgSz w:w="11900" w:h="16838" w:orient="portrait"/>
          <w:cols w:equalWidth="0" w:num="1">
            <w:col w:w="11240"/>
          </w:cols>
          <w:pgMar w:left="320" w:top="337" w:right="33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2022</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Shares issued restricted stock units</w:t>
      </w:r>
    </w:p>
    <w:p>
      <w:pPr>
        <w:spacing w:after="0" w:line="26" w:lineRule="exact"/>
        <w:rPr>
          <w:sz w:val="20"/>
          <w:szCs w:val="20"/>
          <w:color w:val="auto"/>
        </w:rPr>
      </w:pPr>
    </w:p>
    <w:p>
      <w:pPr>
        <w:ind w:left="100" w:right="260" w:hanging="71"/>
        <w:spacing w:after="0" w:line="279" w:lineRule="auto"/>
        <w:rPr>
          <w:sz w:val="20"/>
          <w:szCs w:val="20"/>
          <w:color w:val="auto"/>
        </w:rPr>
      </w:pPr>
      <w:r>
        <w:rPr>
          <w:rFonts w:ascii="Arial" w:cs="Arial" w:eastAsia="Arial" w:hAnsi="Arial"/>
          <w:sz w:val="13"/>
          <w:szCs w:val="13"/>
          <w:color w:val="auto"/>
        </w:rPr>
        <w:t>Shares withheld restricted stock and restricted stock units vesting</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March 31, 2023</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2021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940" w:type="dxa"/>
            <w:vAlign w:val="bottom"/>
          </w:tcPr>
          <w:p>
            <w:pPr>
              <w:jc w:val="right"/>
              <w:spacing w:after="0"/>
              <w:rPr>
                <w:sz w:val="20"/>
                <w:szCs w:val="20"/>
                <w:color w:val="auto"/>
              </w:rPr>
            </w:pPr>
            <w:r>
              <w:rPr>
                <w:rFonts w:ascii="Arial" w:cs="Arial" w:eastAsia="Arial" w:hAnsi="Arial"/>
                <w:sz w:val="14"/>
                <w:szCs w:val="14"/>
                <w:color w:val="auto"/>
              </w:rPr>
              <w:t>91,168</w:t>
            </w:r>
          </w:p>
        </w:tc>
        <w:tc>
          <w:tcPr>
            <w:tcW w:w="1460" w:type="dxa"/>
            <w:vAlign w:val="bottom"/>
            <w:gridSpan w:val="3"/>
          </w:tcPr>
          <w:p>
            <w:pPr>
              <w:jc w:val="right"/>
              <w:ind w:right="108"/>
              <w:spacing w:after="0"/>
              <w:rPr>
                <w:sz w:val="20"/>
                <w:szCs w:val="20"/>
                <w:color w:val="auto"/>
              </w:rPr>
            </w:pPr>
            <w:r>
              <w:rPr>
                <w:rFonts w:ascii="Arial" w:cs="Arial" w:eastAsia="Arial" w:hAnsi="Arial"/>
                <w:sz w:val="14"/>
                <w:szCs w:val="14"/>
                <w:color w:val="auto"/>
              </w:rPr>
              <w:t>(14,888 )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9,117</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497,179</w:t>
            </w:r>
          </w:p>
        </w:tc>
        <w:tc>
          <w:tcPr>
            <w:tcW w:w="2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199,092</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(189,515 )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515,873</w:t>
            </w:r>
          </w:p>
        </w:tc>
        <w:tc>
          <w:tcPr>
            <w:tcW w:w="60" w:type="dxa"/>
            <w:vAlign w:val="bottom"/>
          </w:tcPr>
          <w:p>
            <w:pPr>
              <w:spacing w:after="0"/>
              <w:rPr>
                <w:sz w:val="15"/>
                <w:szCs w:val="15"/>
                <w:color w:val="auto"/>
              </w:rPr>
            </w:pPr>
          </w:p>
        </w:tc>
      </w:tr>
      <w:tr>
        <w:trPr>
          <w:trHeight w:val="175"/>
        </w:trPr>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15,901</w:t>
            </w:r>
          </w:p>
        </w:tc>
        <w:tc>
          <w:tcPr>
            <w:tcW w:w="60" w:type="dxa"/>
            <w:vAlign w:val="bottom"/>
          </w:tcPr>
          <w:p>
            <w:pPr>
              <w:spacing w:after="0"/>
              <w:rPr>
                <w:sz w:val="15"/>
                <w:szCs w:val="15"/>
                <w:color w:val="auto"/>
              </w:rPr>
            </w:pPr>
          </w:p>
        </w:tc>
      </w:tr>
      <w:tr>
        <w:trPr>
          <w:trHeight w:val="175"/>
        </w:trPr>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719</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719</w:t>
            </w:r>
          </w:p>
        </w:tc>
        <w:tc>
          <w:tcPr>
            <w:tcW w:w="60" w:type="dxa"/>
            <w:vAlign w:val="bottom"/>
          </w:tcPr>
          <w:p>
            <w:pPr>
              <w:spacing w:after="0"/>
              <w:rPr>
                <w:sz w:val="15"/>
                <w:szCs w:val="15"/>
                <w:color w:val="auto"/>
              </w:rPr>
            </w:pPr>
          </w:p>
        </w:tc>
      </w:tr>
      <w:tr>
        <w:trPr>
          <w:trHeight w:val="182"/>
        </w:trPr>
        <w:tc>
          <w:tcPr>
            <w:tcW w:w="94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(682 )</w:t>
            </w: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309"/>
        </w:trPr>
        <w:tc>
          <w:tcPr>
            <w:tcW w:w="940" w:type="dxa"/>
            <w:vAlign w:val="bottom"/>
          </w:tcPr>
          <w:p>
            <w:pPr>
              <w:spacing w:after="0"/>
              <w:rPr>
                <w:sz w:val="24"/>
                <w:szCs w:val="24"/>
                <w:color w:val="auto"/>
              </w:rPr>
            </w:pPr>
          </w:p>
        </w:tc>
        <w:tc>
          <w:tcPr>
            <w:tcW w:w="1460" w:type="dxa"/>
            <w:vAlign w:val="bottom"/>
            <w:gridSpan w:val="3"/>
          </w:tcPr>
          <w:p>
            <w:pPr>
              <w:jc w:val="right"/>
              <w:ind w:right="108"/>
              <w:spacing w:after="0"/>
              <w:rPr>
                <w:sz w:val="20"/>
                <w:szCs w:val="20"/>
                <w:color w:val="auto"/>
              </w:rPr>
            </w:pPr>
            <w:r>
              <w:rPr>
                <w:rFonts w:ascii="Arial" w:cs="Arial" w:eastAsia="Arial" w:hAnsi="Arial"/>
                <w:sz w:val="14"/>
                <w:szCs w:val="14"/>
                <w:color w:val="auto"/>
              </w:rPr>
              <w:t>(204 )</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(2,541 )</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(2,541 )</w:t>
            </w:r>
          </w:p>
        </w:tc>
      </w:tr>
      <w:tr>
        <w:trPr>
          <w:trHeight w:val="169"/>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91,168</w:t>
            </w:r>
          </w:p>
        </w:tc>
        <w:tc>
          <w:tcPr>
            <w:tcW w:w="24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(15,039</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9,117</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497,216</w:t>
            </w:r>
          </w:p>
        </w:tc>
        <w:tc>
          <w:tcPr>
            <w:tcW w:w="2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214,993</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(191,374</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529,952</w:t>
            </w:r>
          </w:p>
        </w:tc>
        <w:tc>
          <w:tcPr>
            <w:tcW w:w="60" w:type="dxa"/>
            <w:vAlign w:val="bottom"/>
          </w:tcPr>
          <w:p>
            <w:pPr>
              <w:spacing w:after="0"/>
              <w:rPr>
                <w:sz w:val="14"/>
                <w:szCs w:val="14"/>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6"/>
        </w:trPr>
        <w:tc>
          <w:tcPr>
            <w:tcW w:w="940" w:type="dxa"/>
            <w:vAlign w:val="bottom"/>
          </w:tcPr>
          <w:p>
            <w:pPr>
              <w:jc w:val="right"/>
              <w:spacing w:after="0"/>
              <w:rPr>
                <w:sz w:val="20"/>
                <w:szCs w:val="20"/>
                <w:color w:val="auto"/>
              </w:rPr>
            </w:pPr>
            <w:r>
              <w:rPr>
                <w:rFonts w:ascii="Arial" w:cs="Arial" w:eastAsia="Arial" w:hAnsi="Arial"/>
                <w:sz w:val="14"/>
                <w:szCs w:val="14"/>
                <w:color w:val="auto"/>
              </w:rPr>
              <w:t>91,168</w:t>
            </w:r>
          </w:p>
        </w:tc>
        <w:tc>
          <w:tcPr>
            <w:tcW w:w="1460" w:type="dxa"/>
            <w:vAlign w:val="bottom"/>
            <w:gridSpan w:val="3"/>
          </w:tcPr>
          <w:p>
            <w:pPr>
              <w:jc w:val="right"/>
              <w:ind w:right="108"/>
              <w:spacing w:after="0"/>
              <w:rPr>
                <w:sz w:val="20"/>
                <w:szCs w:val="20"/>
                <w:color w:val="auto"/>
              </w:rPr>
            </w:pPr>
            <w:r>
              <w:rPr>
                <w:rFonts w:ascii="Arial" w:cs="Arial" w:eastAsia="Arial" w:hAnsi="Arial"/>
                <w:sz w:val="14"/>
                <w:szCs w:val="14"/>
                <w:color w:val="auto"/>
              </w:rPr>
              <w:t>(1,375 )</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9,117</w:t>
            </w:r>
          </w:p>
        </w:tc>
        <w:tc>
          <w:tcPr>
            <w:tcW w:w="48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493,161</w:t>
            </w:r>
          </w:p>
        </w:tc>
        <w:tc>
          <w:tcPr>
            <w:tcW w:w="220" w:type="dxa"/>
            <w:vAlign w:val="bottom"/>
          </w:tcPr>
          <w:p>
            <w:pPr>
              <w:spacing w:after="0"/>
              <w:rPr>
                <w:sz w:val="24"/>
                <w:szCs w:val="2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(31,255 )</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(10,533 )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460,490</w:t>
            </w:r>
          </w:p>
        </w:tc>
        <w:tc>
          <w:tcPr>
            <w:tcW w:w="60" w:type="dxa"/>
            <w:vAlign w:val="bottom"/>
          </w:tcPr>
          <w:p>
            <w:pPr>
              <w:spacing w:after="0"/>
              <w:rPr>
                <w:sz w:val="24"/>
                <w:szCs w:val="24"/>
                <w:color w:val="auto"/>
              </w:rPr>
            </w:pPr>
          </w:p>
        </w:tc>
      </w:tr>
      <w:tr>
        <w:trPr>
          <w:trHeight w:val="175"/>
        </w:trPr>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58,766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58,766</w:t>
            </w:r>
          </w:p>
        </w:tc>
        <w:tc>
          <w:tcPr>
            <w:tcW w:w="60" w:type="dxa"/>
            <w:vAlign w:val="bottom"/>
          </w:tcPr>
          <w:p>
            <w:pPr>
              <w:spacing w:after="0"/>
              <w:rPr>
                <w:sz w:val="15"/>
                <w:szCs w:val="15"/>
                <w:color w:val="auto"/>
              </w:rPr>
            </w:pPr>
          </w:p>
        </w:tc>
      </w:tr>
      <w:tr>
        <w:trPr>
          <w:trHeight w:val="179"/>
        </w:trPr>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803</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-1231265</wp:posOffset>
            </wp:positionV>
            <wp:extent cx="7132320"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-1008380</wp:posOffset>
            </wp:positionV>
            <wp:extent cx="713232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-786130</wp:posOffset>
            </wp:positionV>
            <wp:extent cx="7132320" cy="45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5402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-220980</wp:posOffset>
            </wp:positionV>
            <wp:extent cx="7132320"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2360" w:space="720"/>
            <w:col w:w="816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(229 )</w:t>
            </w: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(1,871 )</w:t>
            </w:r>
          </w:p>
        </w:tc>
        <w:tc>
          <w:tcPr>
            <w:tcW w:w="2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(1,871 )</w:t>
            </w:r>
          </w:p>
        </w:tc>
      </w:tr>
      <w:tr>
        <w:trPr>
          <w:trHeight w:val="20"/>
        </w:trPr>
        <w:tc>
          <w:tcPr>
            <w:tcW w:w="3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3080" w:type="dxa"/>
            <w:vAlign w:val="bottom"/>
          </w:tcPr>
          <w:p>
            <w:pPr>
              <w:ind w:left="20"/>
              <w:spacing w:after="0" w:line="155" w:lineRule="exact"/>
              <w:rPr>
                <w:sz w:val="20"/>
                <w:szCs w:val="20"/>
                <w:color w:val="auto"/>
              </w:rPr>
            </w:pPr>
            <w:r>
              <w:rPr>
                <w:rFonts w:ascii="Arial" w:cs="Arial" w:eastAsia="Arial" w:hAnsi="Arial"/>
                <w:sz w:val="14"/>
                <w:szCs w:val="14"/>
                <w:color w:val="auto"/>
              </w:rPr>
              <w:t>Balance at March 31, 2022</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91,168</w:t>
            </w:r>
          </w:p>
        </w:tc>
        <w:tc>
          <w:tcPr>
            <w:tcW w:w="240" w:type="dxa"/>
            <w:vAlign w:val="bottom"/>
          </w:tcPr>
          <w:p>
            <w:pPr>
              <w:spacing w:after="0"/>
              <w:rPr>
                <w:sz w:val="14"/>
                <w:szCs w:val="14"/>
                <w:color w:val="auto"/>
              </w:rPr>
            </w:pPr>
          </w:p>
        </w:tc>
        <w:tc>
          <w:tcPr>
            <w:tcW w:w="12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(1,604 )</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9,117</w:t>
            </w:r>
          </w:p>
        </w:tc>
        <w:tc>
          <w:tcPr>
            <w:tcW w:w="4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493,964</w:t>
            </w:r>
          </w:p>
        </w:tc>
        <w:tc>
          <w:tcPr>
            <w:tcW w:w="62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27,511</w:t>
            </w:r>
          </w:p>
        </w:tc>
        <w:tc>
          <w:tcPr>
            <w:tcW w:w="4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(12,404 )</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518,188</w:t>
            </w:r>
          </w:p>
        </w:tc>
        <w:tc>
          <w:tcPr>
            <w:tcW w:w="100" w:type="dxa"/>
            <w:vAlign w:val="bottom"/>
          </w:tcPr>
          <w:p>
            <w:pPr>
              <w:spacing w:after="0"/>
              <w:rPr>
                <w:sz w:val="14"/>
                <w:szCs w:val="14"/>
                <w:color w:val="auto"/>
              </w:rPr>
            </w:pPr>
          </w:p>
        </w:tc>
      </w:tr>
      <w:tr>
        <w:trPr>
          <w:trHeight w:val="20"/>
        </w:trPr>
        <w:tc>
          <w:tcPr>
            <w:tcW w:w="3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-144780</wp:posOffset>
            </wp:positionV>
            <wp:extent cx="7683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-144780</wp:posOffset>
            </wp:positionV>
            <wp:extent cx="7683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-144780</wp:posOffset>
            </wp:positionV>
            <wp:extent cx="7683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-144780</wp:posOffset>
            </wp:positionV>
            <wp:extent cx="6858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-144780</wp:posOffset>
            </wp:positionV>
            <wp:extent cx="6858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-144780</wp:posOffset>
            </wp:positionV>
            <wp:extent cx="6858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center"/>
              <w:ind w:right="361"/>
              <w:spacing w:after="0"/>
              <w:rPr>
                <w:sz w:val="20"/>
                <w:szCs w:val="20"/>
                <w:color w:val="auto"/>
              </w:rPr>
            </w:pPr>
            <w:r>
              <w:rPr>
                <w:rFonts w:ascii="Arial" w:cs="Arial" w:eastAsia="Arial" w:hAnsi="Arial"/>
                <w:sz w:val="18"/>
                <w:szCs w:val="18"/>
                <w:color w:val="auto"/>
                <w:w w:val="90"/>
              </w:rPr>
              <w:t>Three Months Ended</w:t>
            </w:r>
          </w:p>
        </w:tc>
      </w:tr>
      <w:tr>
        <w:trPr>
          <w:trHeight w:val="243"/>
        </w:trPr>
        <w:tc>
          <w:tcPr>
            <w:tcW w:w="7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gridSpan w:val="4"/>
          </w:tcPr>
          <w:p>
            <w:pPr>
              <w:jc w:val="center"/>
              <w:ind w:left="630"/>
              <w:spacing w:after="0"/>
              <w:rPr>
                <w:sz w:val="20"/>
                <w:szCs w:val="20"/>
                <w:color w:val="auto"/>
              </w:rPr>
            </w:pPr>
            <w:r>
              <w:rPr>
                <w:rFonts w:ascii="Arial" w:cs="Arial" w:eastAsia="Arial" w:hAnsi="Arial"/>
                <w:sz w:val="18"/>
                <w:szCs w:val="18"/>
                <w:color w:val="auto"/>
                <w:w w:val="92"/>
              </w:rPr>
              <w:t>March 31,</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r>
      <w:tr>
        <w:trPr>
          <w:trHeight w:val="220"/>
        </w:trPr>
        <w:tc>
          <w:tcPr>
            <w:tcW w:w="7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gridSpan w:val="4"/>
          </w:tcPr>
          <w:p>
            <w:pPr>
              <w:jc w:val="center"/>
              <w:ind w:left="630"/>
              <w:spacing w:after="0"/>
              <w:rPr>
                <w:sz w:val="20"/>
                <w:szCs w:val="20"/>
                <w:color w:val="auto"/>
              </w:rPr>
            </w:pPr>
            <w:r>
              <w:rPr>
                <w:rFonts w:ascii="Arial" w:cs="Arial" w:eastAsia="Arial" w:hAnsi="Arial"/>
                <w:sz w:val="16"/>
                <w:szCs w:val="16"/>
                <w:color w:val="auto"/>
                <w:w w:val="91"/>
              </w:rPr>
              <w:t>(In Thousands)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58,766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10,823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 of property, plant and equipment</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17,439</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Cash provided (used) by changes in assets and liabilities: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(11,707 )</w:t>
            </w: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(10,817 )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insurance</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Supplies, prepaid items and other</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(4,455 )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(6,253 )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(4,861 )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10,003</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13,618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 and other liabilities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(5,059 )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(1,574 )</w:t>
            </w:r>
          </w:p>
        </w:tc>
      </w:tr>
      <w:tr>
        <w:trPr>
          <w:trHeight w:val="230"/>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59,247</w:t>
            </w: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85,492</w:t>
            </w:r>
          </w:p>
        </w:tc>
        <w:tc>
          <w:tcPr>
            <w:tcW w:w="100" w:type="dxa"/>
            <w:vAlign w:val="bottom"/>
            <w:tcBorders>
              <w:top w:val="single" w:sz="8" w:color="CFF0FC"/>
            </w:tcBorders>
          </w:tcPr>
          <w:p>
            <w:pPr>
              <w:spacing w:after="0"/>
              <w:rPr>
                <w:sz w:val="19"/>
                <w:szCs w:val="19"/>
                <w:color w:val="auto"/>
              </w:rPr>
            </w:pPr>
          </w:p>
        </w:tc>
      </w:tr>
      <w:tr>
        <w:trPr>
          <w:trHeight w:val="249"/>
        </w:trPr>
        <w:tc>
          <w:tcPr>
            <w:tcW w:w="7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Expenditures for property, plant and equipment</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(18,437 )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(8,254 )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Proceeds from short-term investments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88,707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(133,660 )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(89,311 )</w:t>
            </w:r>
          </w:p>
        </w:tc>
      </w:tr>
      <w:tr>
        <w:trPr>
          <w:trHeight w:val="243"/>
        </w:trPr>
        <w:tc>
          <w:tcPr>
            <w:tcW w:w="774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by investing activities</w:t>
            </w: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(63,379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(97,514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Net proceeds from 6.25% senior secured notes</w:t>
            </w:r>
          </w:p>
        </w:tc>
        <w:tc>
          <w:tcPr>
            <w:tcW w:w="340" w:type="dxa"/>
            <w:vAlign w:val="bottom"/>
          </w:tcPr>
          <w:p>
            <w:pPr>
              <w:spacing w:after="0"/>
              <w:rPr>
                <w:sz w:val="20"/>
                <w:szCs w:val="20"/>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other long-term debt</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(6,912 )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Payments on short-term financing</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(5,967 )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(2,805 )</w:t>
            </w: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debt-related costs, including</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extinguishment costs</w:t>
            </w:r>
          </w:p>
        </w:tc>
        <w:tc>
          <w:tcPr>
            <w:tcW w:w="340" w:type="dxa"/>
            <w:vAlign w:val="bottom"/>
            <w:shd w:val="clear" w:color="auto" w:fill="CFF0FC"/>
          </w:tcPr>
          <w:p>
            <w:pPr>
              <w:spacing w:after="0"/>
              <w:rPr>
                <w:sz w:val="21"/>
                <w:szCs w:val="21"/>
                <w:color w:val="auto"/>
              </w:rPr>
            </w:pPr>
          </w:p>
        </w:tc>
        <w:tc>
          <w:tcPr>
            <w:tcW w:w="152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(4,102 )</w:t>
            </w: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3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(2,541 )</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(2,004 )</w:t>
            </w:r>
          </w:p>
        </w:tc>
      </w:tr>
      <w:tr>
        <w:trPr>
          <w:trHeight w:val="242"/>
        </w:trPr>
        <w:tc>
          <w:tcPr>
            <w:tcW w:w="77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(used) by financing activities</w:t>
            </w: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(10,688</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184,177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(14,820 )</w:t>
            </w:r>
          </w:p>
        </w:tc>
        <w:tc>
          <w:tcPr>
            <w:tcW w:w="1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172,155</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63,769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254,299</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-3441700</wp:posOffset>
            </wp:positionV>
            <wp:extent cx="7683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-3441700</wp:posOffset>
            </wp:positionV>
            <wp:extent cx="6858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-988060</wp:posOffset>
            </wp:positionV>
            <wp:extent cx="7145020" cy="3378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interim financial statements and notes of LSB have been prepared pursuant to the rules and regulations of the Securities and Exchange Commission (“SEC”). Pursuant to such rules and regulations, certain disclosures normally included in financial statements prepared in accordance with U.S. GAAP have been omitted. The accompanying unaudited interim financial statements and notes should be read in conjunction with the financial statements and notes included in the Company’s Form 10-K for the year ended December 31, 2022 (our “2022 Form 10-K”), filed with the SEC on February 23, 2023. The accompanying unaudited interim financial statements in this report reflect all adjustments that are, in the opinion of management, necessary for a fair statement of the Company’s results of operations and cash flows for the three-month periods ended March 31, 2023 and 2022 and the Company’s financial position as of March 31, 2023.</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and its subsidiaries are consolidated in the accompanying condensed consolidated financial statements. LSB is a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no significant operations or assets other than cash, cash equivalents, short-term investments and investments in its subsidiaries. All material intercompany accounts and transactions have been eliminated. Certain prior period amounts reported in our condensed consolidated financial statements and notes thereto have been reclassified to conform to current period presentation.</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ammonium nitrate (“AN” and “HDAN”) and urea ammonium nitrate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Covestro in Baytown, Texas.</w:t>
      </w:r>
    </w:p>
    <w:p>
      <w:pPr>
        <w:spacing w:after="0" w:line="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Canada and the Caribbean.</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7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U.S. GAAP requires management to make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Short-Term Investments - </w:t>
      </w:r>
      <w:r>
        <w:rPr>
          <w:rFonts w:ascii="Arial" w:cs="Arial" w:eastAsia="Arial" w:hAnsi="Arial"/>
          <w:sz w:val="16"/>
          <w:szCs w:val="16"/>
          <w:color w:val="auto"/>
        </w:rPr>
        <w:t>Investments, which consist of U.S. treasury bills with an original maturity up to and less than 52 weeks, are considered short-term investments and are classified as Level 1. We plan to hold these investments to maturity and have a history of holding investments to maturity. These investments are carried at cost which approximated fair value for the period ended March 31, 2023. Due to the nature of these investments, as U.S. treasury securities, no impairment is anticipated. Our estimate of expected losses is incorporated into the review of the investments' fair value quarterly.</w:t>
      </w:r>
    </w:p>
    <w:p>
      <w:pPr>
        <w:spacing w:after="0" w:line="4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Our accounts receivable are presented at net realizable value. This value includes an appropriate allowance for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uncollectible accounts to reflect any estimate of expected loss anticipated on accounts receivable balances. Our estimate is based on historical experience and periodic assessment of outstanding accounts receivable, particularly those accounts that are past due (based upon the terms of the sale). Our periodic assessment is based on our best estimate of amounts that are not recoverable which includes a present collectability review and forward looking assessment, where applicable.</w:t>
      </w:r>
    </w:p>
    <w:p>
      <w:pPr>
        <w:spacing w:after="0" w:line="7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2023, the compensation committee of our Board of Directors (“Board”) approved the grant of 171,641 shares of time-based restricted stock units and 171,641 shares of performance-based restricted stock units to certain executives and employees under our 2016 Long Term Incentive Plan (as Amended and Restated on March 4, 2021). The time-based restricted stock units will vest at the end of each one-year period at the rate of one-third per year for three years. The performance-based restricted stock units will vest on the third anniversary of the grant date subject to the achievement of a market metric established by the Board as set out in the grant. Upon the third anniversary the grants may be modified in a range between 0% and 200% based upon achievement of the market metric.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unvested restricted units carry dividend and voting rights contingent upon the vesting and lapsing of restriction. Sales of these units are restricted prior to the date of vesting. Pursuant to the terms of the underlying restricted stock unit agreements, unvested restricted shares will immediately vest upon the occurrence of a change in control (as defined by agreement), or a certain portion will immediately vest upon termination without cause or death.</w:t>
      </w:r>
    </w:p>
    <w:p>
      <w:pPr>
        <w:spacing w:after="0" w:line="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measured at fair value. Changes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derivatives are recorded in results of operations unless the normal purchase or sale exceptions apply, or hedge accounting is elected.</w:t>
      </w:r>
    </w:p>
    <w:p>
      <w:pPr>
        <w:spacing w:after="0" w:line="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reported as an asset or a liability in the balance sheet. When applicable, we present the fair values of our derivative contracts under master netting agreements using a gross fair value presentation.</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90" w:lineRule="exact"/>
        <w:rPr>
          <w:sz w:val="20"/>
          <w:szCs w:val="20"/>
          <w:color w:val="auto"/>
        </w:rPr>
      </w:pPr>
    </w:p>
    <w:p>
      <w:pPr>
        <w:ind w:left="380"/>
        <w:spacing w:after="0" w:line="28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14" w:lineRule="exact"/>
        <w:rPr>
          <w:sz w:val="20"/>
          <w:szCs w:val="20"/>
          <w:color w:val="auto"/>
        </w:rPr>
      </w:pPr>
    </w:p>
    <w:p>
      <w:pPr>
        <w:ind w:left="380"/>
        <w:spacing w:after="0" w:line="281"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U.S. GAAP are established by the FASB in the form of accounting standards updates (“ASUs”) to the FASB’s Accounting Standards Codification. We consider the applicability and impact of all ASUs. ASUs issued and outstanding or that became effective since January 1, 2023 through the date of these financial statements were assessed and determined not to be applicable or are expected to have minimal impact on our condensed consolidated financial position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2. Income Per Common Share</w:t>
            </w: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gridSpan w:val="3"/>
          </w:tcPr>
          <w:p>
            <w:pPr>
              <w:jc w:val="center"/>
              <w:ind w:right="570"/>
              <w:spacing w:after="0"/>
              <w:rPr>
                <w:sz w:val="20"/>
                <w:szCs w:val="20"/>
                <w:color w:val="auto"/>
              </w:rPr>
            </w:pPr>
            <w:r>
              <w:rPr>
                <w:rFonts w:ascii="Arial" w:cs="Arial" w:eastAsia="Arial" w:hAnsi="Arial"/>
                <w:sz w:val="18"/>
                <w:szCs w:val="18"/>
                <w:color w:val="auto"/>
                <w:w w:val="89"/>
              </w:rPr>
              <w:t>Three Months Ended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360" w:type="dxa"/>
            <w:vAlign w:val="bottom"/>
            <w:gridSpan w:val="3"/>
          </w:tcPr>
          <w:p>
            <w:pPr>
              <w:jc w:val="center"/>
              <w:ind w:right="570"/>
              <w:spacing w:after="0"/>
              <w:rPr>
                <w:sz w:val="20"/>
                <w:szCs w:val="20"/>
                <w:color w:val="auto"/>
              </w:rPr>
            </w:pPr>
            <w:r>
              <w:rPr>
                <w:rFonts w:ascii="Arial" w:cs="Arial" w:eastAsia="Arial" w:hAnsi="Arial"/>
                <w:sz w:val="18"/>
                <w:szCs w:val="18"/>
                <w:color w:val="auto"/>
                <w:w w:val="92"/>
              </w:rPr>
              <w:t>March 31,</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920" w:type="dxa"/>
            <w:vAlign w:val="bottom"/>
          </w:tcPr>
          <w:p>
            <w:pPr>
              <w:spacing w:after="0"/>
              <w:rPr>
                <w:sz w:val="21"/>
                <w:szCs w:val="21"/>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920" w:type="dxa"/>
            <w:vAlign w:val="bottom"/>
          </w:tcPr>
          <w:p>
            <w:pPr>
              <w:spacing w:after="0"/>
              <w:rPr>
                <w:sz w:val="19"/>
                <w:szCs w:val="19"/>
                <w:color w:val="auto"/>
              </w:rPr>
            </w:pPr>
          </w:p>
        </w:tc>
        <w:tc>
          <w:tcPr>
            <w:tcW w:w="3620" w:type="dxa"/>
            <w:vAlign w:val="bottom"/>
            <w:gridSpan w:val="4"/>
          </w:tcPr>
          <w:p>
            <w:pPr>
              <w:jc w:val="center"/>
              <w:ind w:left="512"/>
              <w:spacing w:after="0"/>
              <w:rPr>
                <w:sz w:val="20"/>
                <w:szCs w:val="20"/>
                <w:color w:val="auto"/>
              </w:rPr>
            </w:pPr>
            <w:r>
              <w:rPr>
                <w:rFonts w:ascii="Arial" w:cs="Arial" w:eastAsia="Arial" w:hAnsi="Arial"/>
                <w:sz w:val="16"/>
                <w:szCs w:val="16"/>
                <w:color w:val="auto"/>
                <w:w w:val="91"/>
              </w:rPr>
              <w:t>(In Thousands, Except Per Share Amounts)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300" w:type="dxa"/>
            <w:vAlign w:val="bottom"/>
          </w:tcPr>
          <w:p>
            <w:pPr>
              <w:spacing w:after="0"/>
              <w:rPr>
                <w:sz w:val="21"/>
                <w:szCs w:val="21"/>
                <w:color w:val="auto"/>
              </w:rPr>
            </w:pPr>
          </w:p>
        </w:tc>
        <w:tc>
          <w:tcPr>
            <w:tcW w:w="13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Numerator for basic and diluted net income</w:t>
            </w:r>
          </w:p>
        </w:tc>
        <w:tc>
          <w:tcPr>
            <w:tcW w:w="1260" w:type="dxa"/>
            <w:vAlign w:val="bottom"/>
            <w:vMerge w:val="restart"/>
            <w:shd w:val="clear" w:color="auto" w:fill="CFF0FC"/>
          </w:tcPr>
          <w:p>
            <w:pPr>
              <w:jc w:val="right"/>
              <w:ind w:right="1072"/>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15,901</w:t>
            </w:r>
          </w:p>
        </w:tc>
        <w:tc>
          <w:tcPr>
            <w:tcW w:w="1640" w:type="dxa"/>
            <w:vAlign w:val="bottom"/>
            <w:gridSpan w:val="2"/>
            <w:vMerge w:val="restart"/>
            <w:shd w:val="clear" w:color="auto" w:fill="CFF0FC"/>
          </w:tcPr>
          <w:p>
            <w:pPr>
              <w:jc w:val="right"/>
              <w:ind w:right="115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FF0FC"/>
          </w:tcPr>
          <w:p>
            <w:pPr>
              <w:ind w:left="300"/>
              <w:spacing w:after="0" w:line="203" w:lineRule="exact"/>
              <w:rPr>
                <w:sz w:val="20"/>
                <w:szCs w:val="20"/>
                <w:color w:val="auto"/>
              </w:rPr>
            </w:pPr>
            <w:r>
              <w:rPr>
                <w:rFonts w:ascii="Arial" w:cs="Arial" w:eastAsia="Arial" w:hAnsi="Arial"/>
                <w:sz w:val="18"/>
                <w:szCs w:val="18"/>
                <w:color w:val="auto"/>
              </w:rPr>
              <w:t>per common share</w:t>
            </w:r>
          </w:p>
        </w:tc>
        <w:tc>
          <w:tcPr>
            <w:tcW w:w="1260" w:type="dxa"/>
            <w:vAlign w:val="bottom"/>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1640" w:type="dxa"/>
            <w:vAlign w:val="bottom"/>
            <w:gridSpan w:val="2"/>
            <w:vMerge w:val="continue"/>
            <w:shd w:val="clear" w:color="auto" w:fill="CFF0FC"/>
          </w:tcPr>
          <w:p>
            <w:pPr>
              <w:spacing w:after="0"/>
              <w:rPr>
                <w:sz w:val="21"/>
                <w:szCs w:val="21"/>
                <w:color w:val="auto"/>
              </w:rPr>
            </w:pPr>
          </w:p>
        </w:tc>
        <w:tc>
          <w:tcPr>
            <w:tcW w:w="6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920" w:type="dxa"/>
            <w:vAlign w:val="bottom"/>
          </w:tcPr>
          <w:p>
            <w:pPr>
              <w:ind w:left="200"/>
              <w:spacing w:after="0"/>
              <w:rPr>
                <w:sz w:val="20"/>
                <w:szCs w:val="20"/>
                <w:color w:val="auto"/>
              </w:rPr>
            </w:pPr>
            <w:r>
              <w:rPr>
                <w:rFonts w:ascii="Arial" w:cs="Arial" w:eastAsia="Arial" w:hAnsi="Arial"/>
                <w:sz w:val="18"/>
                <w:szCs w:val="18"/>
                <w:color w:val="auto"/>
              </w:rPr>
              <w:t>Denominator for basic net income per common</w:t>
            </w:r>
          </w:p>
        </w:tc>
        <w:tc>
          <w:tcPr>
            <w:tcW w:w="12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75,807</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88,421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340"/>
              <w:spacing w:after="0" w:line="203" w:lineRule="exact"/>
              <w:rPr>
                <w:sz w:val="20"/>
                <w:szCs w:val="20"/>
                <w:color w:val="auto"/>
              </w:rPr>
            </w:pPr>
            <w:r>
              <w:rPr>
                <w:rFonts w:ascii="Arial" w:cs="Arial" w:eastAsia="Arial" w:hAnsi="Arial"/>
                <w:sz w:val="18"/>
                <w:szCs w:val="18"/>
                <w:color w:val="auto"/>
              </w:rPr>
              <w:t>share - adjusted weighted-average shares (1)</w:t>
            </w:r>
          </w:p>
        </w:tc>
        <w:tc>
          <w:tcPr>
            <w:tcW w:w="1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Effect of dilutive securities:</w:t>
            </w: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560"/>
              <w:spacing w:after="0"/>
              <w:rPr>
                <w:sz w:val="20"/>
                <w:szCs w:val="20"/>
                <w:color w:val="auto"/>
              </w:rPr>
            </w:pPr>
            <w:r>
              <w:rPr>
                <w:rFonts w:ascii="Arial" w:cs="Arial" w:eastAsia="Arial" w:hAnsi="Arial"/>
                <w:sz w:val="18"/>
                <w:szCs w:val="18"/>
                <w:color w:val="auto"/>
              </w:rPr>
              <w:t>Unvested restricted stock and stock units</w:t>
            </w:r>
          </w:p>
        </w:tc>
        <w:tc>
          <w:tcPr>
            <w:tcW w:w="1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Dilutive potential common shares</w:t>
            </w:r>
          </w:p>
        </w:tc>
        <w:tc>
          <w:tcPr>
            <w:tcW w:w="126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0"/>
              <w:spacing w:after="0"/>
              <w:rPr>
                <w:sz w:val="20"/>
                <w:szCs w:val="20"/>
                <w:color w:val="auto"/>
              </w:rPr>
            </w:pPr>
            <w:r>
              <w:rPr>
                <w:rFonts w:ascii="Arial" w:cs="Arial" w:eastAsia="Arial" w:hAnsi="Arial"/>
                <w:sz w:val="18"/>
                <w:szCs w:val="18"/>
                <w:color w:val="auto"/>
              </w:rPr>
              <w:t>Denominator for diluted net income per</w:t>
            </w: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40"/>
              <w:spacing w:after="0"/>
              <w:rPr>
                <w:sz w:val="20"/>
                <w:szCs w:val="20"/>
                <w:color w:val="auto"/>
              </w:rPr>
            </w:pPr>
            <w:r>
              <w:rPr>
                <w:rFonts w:ascii="Arial" w:cs="Arial" w:eastAsia="Arial" w:hAnsi="Arial"/>
                <w:sz w:val="18"/>
                <w:szCs w:val="18"/>
                <w:color w:val="auto"/>
              </w:rPr>
              <w:t>common share - adjusted weighted-average</w:t>
            </w:r>
          </w:p>
        </w:tc>
        <w:tc>
          <w:tcPr>
            <w:tcW w:w="12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76,311</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89,766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20" w:type="dxa"/>
            <w:vAlign w:val="bottom"/>
          </w:tcPr>
          <w:p>
            <w:pPr>
              <w:ind w:left="340"/>
              <w:spacing w:after="0" w:line="203" w:lineRule="exact"/>
              <w:rPr>
                <w:sz w:val="20"/>
                <w:szCs w:val="20"/>
                <w:color w:val="auto"/>
              </w:rPr>
            </w:pPr>
            <w:r>
              <w:rPr>
                <w:rFonts w:ascii="Arial" w:cs="Arial" w:eastAsia="Arial" w:hAnsi="Arial"/>
                <w:sz w:val="18"/>
                <w:szCs w:val="18"/>
                <w:color w:val="auto"/>
              </w:rPr>
              <w:t>shares</w:t>
            </w:r>
          </w:p>
        </w:tc>
        <w:tc>
          <w:tcPr>
            <w:tcW w:w="1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Basic net income per common share</w:t>
            </w:r>
          </w:p>
        </w:tc>
        <w:tc>
          <w:tcPr>
            <w:tcW w:w="1260" w:type="dxa"/>
            <w:vAlign w:val="bottom"/>
            <w:tcBorders>
              <w:bottom w:val="single" w:sz="8" w:color="auto"/>
            </w:tcBorders>
          </w:tcPr>
          <w:p>
            <w:pPr>
              <w:jc w:val="right"/>
              <w:ind w:right="107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Pr>
          <w:p>
            <w:pPr>
              <w:spacing w:after="0"/>
              <w:rPr>
                <w:sz w:val="21"/>
                <w:szCs w:val="21"/>
                <w:color w:val="auto"/>
              </w:rPr>
            </w:pPr>
          </w:p>
        </w:tc>
        <w:tc>
          <w:tcPr>
            <w:tcW w:w="134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2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1260" w:type="dxa"/>
            <w:vAlign w:val="bottom"/>
          </w:tcPr>
          <w:p>
            <w:pPr>
              <w:jc w:val="right"/>
              <w:ind w:right="107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0.21</w:t>
            </w:r>
          </w:p>
        </w:tc>
        <w:tc>
          <w:tcPr>
            <w:tcW w:w="164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-2199640</wp:posOffset>
            </wp:positionV>
            <wp:extent cx="1489710"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89710" cy="17970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-1103630</wp:posOffset>
            </wp:positionV>
            <wp:extent cx="68580" cy="436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4368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-1103630</wp:posOffset>
            </wp:positionV>
            <wp:extent cx="68580" cy="436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436880"/>
                    </a:xfrm>
                    <a:prstGeom prst="rect">
                      <a:avLst/>
                    </a:prstGeom>
                    <a:noFill/>
                  </pic:spPr>
                </pic:pic>
              </a:graphicData>
            </a:graphic>
          </wp:anchor>
        </w:drawing>
      </w:r>
    </w:p>
    <w:p>
      <w:pPr>
        <w:spacing w:after="0" w:line="7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8"/>
          </w:tcPr>
          <w:p>
            <w:pPr>
              <w:jc w:val="right"/>
              <w:ind w:right="103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1410"/>
              <w:spacing w:after="0"/>
              <w:rPr>
                <w:sz w:val="20"/>
                <w:szCs w:val="20"/>
                <w:color w:val="auto"/>
              </w:rPr>
            </w:pPr>
            <w:r>
              <w:rPr>
                <w:rFonts w:ascii="Arial" w:cs="Arial" w:eastAsia="Arial" w:hAnsi="Arial"/>
                <w:sz w:val="18"/>
                <w:szCs w:val="18"/>
                <w:color w:val="auto"/>
                <w:w w:val="99"/>
              </w:rPr>
              <w:t>March 31,</w:t>
            </w:r>
          </w:p>
        </w:tc>
        <w:tc>
          <w:tcPr>
            <w:tcW w:w="1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80" w:type="dxa"/>
            <w:vAlign w:val="bottom"/>
            <w:gridSpan w:val="4"/>
          </w:tcPr>
          <w:p>
            <w:pPr>
              <w:jc w:val="right"/>
              <w:ind w:right="61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stock and stock units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89"/>
              </w:rPr>
              <w:t>395,301</w:t>
            </w: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13,000</w:t>
            </w: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r>
      <w:tr>
        <w:trPr>
          <w:trHeight w:val="270"/>
        </w:trPr>
        <w:tc>
          <w:tcPr>
            <w:tcW w:w="1140" w:type="dxa"/>
            <w:vAlign w:val="bottom"/>
            <w:tcBorders>
              <w:bottom w:val="single" w:sz="8" w:color="CFF0FC"/>
            </w:tcBorders>
            <w:shd w:val="clear" w:color="auto" w:fill="CFF0FC"/>
          </w:tcPr>
          <w:p>
            <w:pPr>
              <w:spacing w:after="0"/>
              <w:rPr>
                <w:sz w:val="23"/>
                <w:szCs w:val="23"/>
                <w:color w:val="auto"/>
              </w:rPr>
            </w:pPr>
          </w:p>
        </w:tc>
        <w:tc>
          <w:tcPr>
            <w:tcW w:w="618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spacing w:after="0"/>
              <w:rPr>
                <w:sz w:val="23"/>
                <w:szCs w:val="23"/>
                <w:color w:val="auto"/>
              </w:rPr>
            </w:pPr>
          </w:p>
        </w:tc>
        <w:tc>
          <w:tcPr>
            <w:tcW w:w="6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9"/>
              </w:rPr>
              <w:t>408,301</w:t>
            </w:r>
          </w:p>
        </w:tc>
        <w:tc>
          <w:tcPr>
            <w:tcW w:w="240" w:type="dxa"/>
            <w:vAlign w:val="bottom"/>
            <w:tcBorders>
              <w:bottom w:val="single" w:sz="8" w:color="CFF0FC"/>
            </w:tcBorders>
            <w:shd w:val="clear" w:color="auto" w:fill="CFF0FC"/>
          </w:tcPr>
          <w:p>
            <w:pPr>
              <w:spacing w:after="0"/>
              <w:rPr>
                <w:sz w:val="23"/>
                <w:szCs w:val="23"/>
                <w:color w:val="auto"/>
              </w:rPr>
            </w:pPr>
          </w:p>
        </w:tc>
        <w:tc>
          <w:tcPr>
            <w:tcW w:w="1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9"/>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color w:val="auto"/>
                <w:w w:val="97"/>
              </w:rPr>
              <w:t>March 31,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1130"/>
              <w:spacing w:after="0"/>
              <w:rPr>
                <w:sz w:val="20"/>
                <w:szCs w:val="20"/>
                <w:color w:val="auto"/>
              </w:rPr>
            </w:pPr>
            <w:r>
              <w:rPr>
                <w:rFonts w:ascii="Arial" w:cs="Arial" w:eastAsia="Arial" w:hAnsi="Arial"/>
                <w:sz w:val="18"/>
                <w:szCs w:val="18"/>
                <w:color w:val="auto"/>
                <w:w w:val="95"/>
              </w:rPr>
              <w:t>December 31,</w:t>
            </w:r>
          </w:p>
        </w:tc>
        <w:tc>
          <w:tcPr>
            <w:tcW w:w="100" w:type="dxa"/>
            <w:vAlign w:val="bottom"/>
          </w:tcPr>
          <w:p>
            <w:pPr>
              <w:spacing w:after="0"/>
              <w:rPr>
                <w:sz w:val="24"/>
                <w:szCs w:val="24"/>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2023</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1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4"/>
          </w:tcPr>
          <w:p>
            <w:pPr>
              <w:jc w:val="right"/>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22,212</w:t>
            </w:r>
          </w:p>
        </w:tc>
        <w:tc>
          <w:tcPr>
            <w:tcW w:w="600" w:type="dxa"/>
            <w:vAlign w:val="bottom"/>
            <w:gridSpan w:val="3"/>
            <w:shd w:val="clear" w:color="auto" w:fill="CFF0FC"/>
          </w:tcPr>
          <w:p>
            <w:pPr>
              <w:jc w:val="right"/>
              <w:ind w:right="176"/>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11,196</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7,259</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12,440</w:t>
            </w:r>
          </w:p>
        </w:tc>
        <w:tc>
          <w:tcPr>
            <w:tcW w:w="80" w:type="dxa"/>
            <w:vAlign w:val="bottom"/>
            <w:shd w:val="clear" w:color="auto" w:fill="CFF0FC"/>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44,139</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38,992</w:t>
            </w:r>
          </w:p>
        </w:tc>
        <w:tc>
          <w:tcPr>
            <w:tcW w:w="80" w:type="dxa"/>
            <w:vAlign w:val="bottom"/>
            <w:shd w:val="clear" w:color="auto" w:fill="CFF0FC"/>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noncurrent portion</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18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43,617</w:t>
            </w:r>
          </w:p>
        </w:tc>
        <w:tc>
          <w:tcPr>
            <w:tcW w:w="2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38,470</w:t>
            </w:r>
          </w:p>
        </w:tc>
        <w:tc>
          <w:tcPr>
            <w:tcW w:w="80" w:type="dxa"/>
            <w:vAlign w:val="bottom"/>
            <w:tcBorders>
              <w:bottom w:val="single" w:sz="8" w:color="CFF0FC"/>
            </w:tcBorders>
            <w:shd w:val="clear" w:color="auto" w:fill="CFF0FC"/>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-2080260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-2063115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6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March 31,</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December 31,</w:t>
            </w:r>
          </w:p>
        </w:tc>
      </w:tr>
      <w:tr>
        <w:trPr>
          <w:trHeight w:val="250"/>
        </w:trPr>
        <w:tc>
          <w:tcPr>
            <w:tcW w:w="6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1"/>
                <w:szCs w:val="21"/>
                <w:color w:val="auto"/>
              </w:rPr>
            </w:pPr>
          </w:p>
        </w:tc>
      </w:tr>
      <w:tr>
        <w:trPr>
          <w:trHeight w:val="220"/>
        </w:trPr>
        <w:tc>
          <w:tcPr>
            <w:tcW w:w="6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5"/>
          </w:tcPr>
          <w:p>
            <w:pPr>
              <w:jc w:val="right"/>
              <w:ind w:right="960"/>
              <w:spacing w:after="0"/>
              <w:rPr>
                <w:sz w:val="20"/>
                <w:szCs w:val="20"/>
                <w:color w:val="auto"/>
              </w:rPr>
            </w:pPr>
            <w:r>
              <w:rPr>
                <w:rFonts w:ascii="Arial" w:cs="Arial" w:eastAsia="Arial" w:hAnsi="Arial"/>
                <w:sz w:val="16"/>
                <w:szCs w:val="16"/>
                <w:color w:val="auto"/>
              </w:rPr>
              <w:t>(In Thousands)</w:t>
            </w:r>
          </w:p>
        </w:tc>
      </w:tr>
      <w:tr>
        <w:trPr>
          <w:trHeight w:val="225"/>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8.50% (A)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Senior Secured Notes due 2028, with an interest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180" w:type="dxa"/>
            <w:vAlign w:val="bottom"/>
          </w:tcPr>
          <w:p>
            <w:pPr>
              <w:ind w:left="140"/>
              <w:spacing w:after="0"/>
              <w:rPr>
                <w:sz w:val="20"/>
                <w:szCs w:val="20"/>
                <w:color w:val="auto"/>
              </w:rPr>
            </w:pPr>
            <w:r>
              <w:rPr>
                <w:rFonts w:ascii="Arial" w:cs="Arial" w:eastAsia="Arial" w:hAnsi="Arial"/>
                <w:sz w:val="18"/>
                <w:szCs w:val="18"/>
                <w:color w:val="auto"/>
              </w:rPr>
              <w:t>rate of 6.25% (B)</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0"/>
                <w:szCs w:val="20"/>
                <w:color w:val="auto"/>
              </w:rPr>
            </w:pPr>
          </w:p>
        </w:tc>
      </w:tr>
      <w:tr>
        <w:trPr>
          <w:trHeight w:val="222"/>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Secured Financing due 2023, with an interest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4"/>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8.32% (C)</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80" w:type="dxa"/>
            <w:vAlign w:val="bottom"/>
            <w:shd w:val="clear" w:color="auto" w:fill="CFF0FC"/>
          </w:tcPr>
          <w:p>
            <w:pPr>
              <w:spacing w:after="0"/>
              <w:rPr>
                <w:sz w:val="21"/>
                <w:szCs w:val="21"/>
                <w:color w:val="auto"/>
              </w:rPr>
            </w:pPr>
          </w:p>
        </w:tc>
      </w:tr>
      <w:tr>
        <w:trPr>
          <w:trHeight w:val="215"/>
        </w:trPr>
        <w:tc>
          <w:tcPr>
            <w:tcW w:w="6180" w:type="dxa"/>
            <w:vAlign w:val="bottom"/>
          </w:tcPr>
          <w:p>
            <w:pPr>
              <w:spacing w:after="0"/>
              <w:rPr>
                <w:sz w:val="20"/>
                <w:szCs w:val="20"/>
                <w:color w:val="auto"/>
              </w:rPr>
            </w:pPr>
            <w:r>
              <w:rPr>
                <w:rFonts w:ascii="Arial" w:cs="Arial" w:eastAsia="Arial" w:hAnsi="Arial"/>
                <w:sz w:val="18"/>
                <w:szCs w:val="18"/>
                <w:color w:val="auto"/>
              </w:rPr>
              <w:t>Secured Financing due 2025, with an interest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180" w:type="dxa"/>
            <w:vAlign w:val="bottom"/>
          </w:tcPr>
          <w:p>
            <w:pPr>
              <w:ind w:left="140"/>
              <w:spacing w:after="0"/>
              <w:rPr>
                <w:sz w:val="20"/>
                <w:szCs w:val="20"/>
                <w:color w:val="auto"/>
              </w:rPr>
            </w:pPr>
            <w:r>
              <w:rPr>
                <w:rFonts w:ascii="Arial" w:cs="Arial" w:eastAsia="Arial" w:hAnsi="Arial"/>
                <w:sz w:val="18"/>
                <w:szCs w:val="18"/>
                <w:color w:val="auto"/>
              </w:rPr>
              <w:t>rate of 8.75% (D)</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19,277</w:t>
            </w:r>
          </w:p>
        </w:tc>
        <w:tc>
          <w:tcPr>
            <w:tcW w:w="80" w:type="dxa"/>
            <w:vAlign w:val="bottom"/>
          </w:tcPr>
          <w:p>
            <w:pPr>
              <w:spacing w:after="0"/>
              <w:rPr>
                <w:sz w:val="20"/>
                <w:szCs w:val="20"/>
                <w:color w:val="auto"/>
              </w:rPr>
            </w:pPr>
          </w:p>
        </w:tc>
      </w:tr>
      <w:tr>
        <w:trPr>
          <w:trHeight w:val="24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(11,780 )</w:t>
            </w:r>
          </w:p>
        </w:tc>
        <w:tc>
          <w:tcPr>
            <w:tcW w:w="100" w:type="dxa"/>
            <w:vAlign w:val="bottom"/>
          </w:tcPr>
          <w:p>
            <w:pPr>
              <w:spacing w:after="0"/>
              <w:rPr>
                <w:sz w:val="21"/>
                <w:szCs w:val="21"/>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(12,321 )</w:t>
            </w:r>
          </w:p>
        </w:tc>
      </w:tr>
      <w:tr>
        <w:trPr>
          <w:trHeight w:val="236"/>
        </w:trPr>
        <w:tc>
          <w:tcPr>
            <w:tcW w:w="61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710,615</w:t>
            </w: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712,255</w:t>
            </w:r>
          </w:p>
        </w:tc>
        <w:tc>
          <w:tcPr>
            <w:tcW w:w="80" w:type="dxa"/>
            <w:vAlign w:val="bottom"/>
            <w:shd w:val="clear" w:color="auto" w:fill="CFF0FC"/>
          </w:tcPr>
          <w:p>
            <w:pPr>
              <w:spacing w:after="0"/>
              <w:rPr>
                <w:sz w:val="20"/>
                <w:szCs w:val="20"/>
                <w:color w:val="auto"/>
              </w:rPr>
            </w:pPr>
          </w:p>
        </w:tc>
      </w:tr>
      <w:tr>
        <w:trPr>
          <w:trHeight w:val="243"/>
        </w:trPr>
        <w:tc>
          <w:tcPr>
            <w:tcW w:w="618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80" w:type="dxa"/>
            <w:vAlign w:val="bottom"/>
          </w:tcPr>
          <w:p>
            <w:pPr>
              <w:spacing w:after="0"/>
              <w:rPr>
                <w:sz w:val="21"/>
                <w:szCs w:val="21"/>
                <w:color w:val="auto"/>
              </w:rPr>
            </w:pPr>
          </w:p>
        </w:tc>
      </w:tr>
      <w:tr>
        <w:trPr>
          <w:trHeight w:val="276"/>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due after one year,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702,071</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702,733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jc w:val="both"/>
        <w:ind w:left="380" w:hanging="372"/>
        <w:spacing w:after="0" w:line="269" w:lineRule="auto"/>
        <w:tabs>
          <w:tab w:leader="none" w:pos="3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as of March 31, 2023, was $0.9 million, which reduces the amount available for borrowing under the Working Capital Revolver Loan. At March 31, 2023, our available borrowings under our Working Capital Revolver Loan were approximately $62.3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74" w:lineRule="exact"/>
        <w:rPr>
          <w:rFonts w:ascii="Arial" w:cs="Arial" w:eastAsia="Arial" w:hAnsi="Arial"/>
          <w:sz w:val="17"/>
          <w:szCs w:val="17"/>
          <w:b w:val="1"/>
          <w:bCs w:val="1"/>
          <w:color w:val="auto"/>
        </w:rPr>
      </w:pPr>
    </w:p>
    <w:p>
      <w:pPr>
        <w:jc w:val="both"/>
        <w:ind w:left="380" w:hanging="372"/>
        <w:spacing w:after="0" w:line="263"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On October 14, 2021, LSB completed the issuance and sale of $500 million aggregate principal amount of the Notes of its 6.25% Senior Secured Notes due 2028 (the “Notes”), pursuant to an indenture (the “Indenture”), dated as of October 14, 2021. The Notes were issued at a price equal to 100% of their face value.</w:t>
      </w:r>
    </w:p>
    <w:p>
      <w:pPr>
        <w:spacing w:after="0" w:line="74"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March 8, 2022, LSB completed the issuance and sale of an additional $200 million aggregate principal amount of the Notes (the “New Notes”), which were issued pursuant to the Indenture (the Notes together with the New Notes, the “Senior Secured Notes”). The New Notes were issued at a price equal to 100% of their face value, plus accrued interest from October 14, 2021 to March 7, 2022.</w:t>
      </w:r>
    </w:p>
    <w:p>
      <w:pPr>
        <w:spacing w:after="0" w:line="47"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Senior Secured Notes mature on October 15, 2028</w:t>
      </w:r>
      <w:r>
        <w:rPr>
          <w:rFonts w:ascii="Arial" w:cs="Arial" w:eastAsia="Arial" w:hAnsi="Arial"/>
          <w:sz w:val="18"/>
          <w:szCs w:val="18"/>
          <w:color w:val="0000FF"/>
        </w:rPr>
        <w:t>.</w:t>
      </w:r>
      <w:r>
        <w:rPr>
          <w:rFonts w:ascii="Arial" w:cs="Arial" w:eastAsia="Arial" w:hAnsi="Arial"/>
          <w:sz w:val="18"/>
          <w:szCs w:val="18"/>
          <w:color w:val="auto"/>
        </w:rPr>
        <w:t xml:space="preserve"> Interest is to be paid in arrears on May 15 and October 15.</w:t>
      </w:r>
    </w:p>
    <w:p>
      <w:pPr>
        <w:spacing w:after="0" w:line="116" w:lineRule="exact"/>
        <w:rPr>
          <w:rFonts w:ascii="Arial" w:cs="Arial" w:eastAsia="Arial" w:hAnsi="Arial"/>
          <w:sz w:val="18"/>
          <w:szCs w:val="18"/>
          <w:b w:val="1"/>
          <w:bCs w:val="1"/>
          <w:color w:val="auto"/>
        </w:rPr>
      </w:pPr>
    </w:p>
    <w:p>
      <w:pPr>
        <w:jc w:val="both"/>
        <w:ind w:left="380" w:hanging="372"/>
        <w:spacing w:after="0" w:line="263" w:lineRule="auto"/>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financing arrangement with an affiliate of Eldridge. Principal and interest are payable in 48 equal monthly installments with a final balloon payment of approximately $3 million due in June 2023. The final balloon payment was repaid in April 2023.</w:t>
      </w:r>
    </w:p>
    <w:p>
      <w:pPr>
        <w:spacing w:after="0" w:line="74" w:lineRule="exact"/>
        <w:rPr>
          <w:rFonts w:ascii="Arial" w:cs="Arial" w:eastAsia="Arial" w:hAnsi="Arial"/>
          <w:sz w:val="18"/>
          <w:szCs w:val="18"/>
          <w:b w:val="1"/>
          <w:bCs w:val="1"/>
          <w:color w:val="auto"/>
        </w:rPr>
      </w:pPr>
    </w:p>
    <w:p>
      <w:pPr>
        <w:jc w:val="both"/>
        <w:ind w:left="380" w:hanging="372"/>
        <w:spacing w:after="0" w:line="286" w:lineRule="auto"/>
        <w:tabs>
          <w:tab w:leader="none" w:pos="38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In August 2020, El Dorado Ammonia L.L.C. (“EDA”), one of our subsidiaries, entered into a $30 million secured financing arrangement with an affiliate of Eldridge. Beginning in September 2020, principal and interest is payable in 60 equal monthly installments with a final balloon payment of approximately $5 million due in August 2025. This financing arrangement is secured by an ammonia storage tank and is guaranteed by LSB.</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Outstanding 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March 31, 2023, certain of our natural gas contracts qualify as normal purchases under GAAP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thus are not mark-to-market. These contracts included volume purchase commitments with fixed costs of approximately 21.1 million MMBtus of natural gas. Further, the natural gas contracts extend through December 2023 at a weighted-average cost of $3.60 per MMBtu ($75.9 million) and a weighted-average market value of $2.52 per MMBtu ($53.1 million).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our accrued liabilities for environmental matters totaled approximately $0.5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volume of effluents that can be discharged and control the method of such discharge.</w:t>
      </w:r>
    </w:p>
    <w:p>
      <w:pPr>
        <w:spacing w:after="0" w:line="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2017, the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Since that time, PCC and ODEQ engaged in ongoing discussions related to the renewal of the injection well to address the wastewater stream. In 2022, ODEQ responded to the application in the form of an information request. PCC has submitted a formal response to the information request and is currently evaluating wastewater treatment alternatives.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risk assessment was submitted in 2007. In 2015, the Arkansas Department of Environmental Quality (“ADEQ”) stated that El Dorado Chemical was meeting the requirements of the CAO and should continue semi-annual monitoring. A CAO was signed in 2018,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which required an Evaluation Report of the data and effectiveness of the groundwater remedy for nitrate contamination. During 2019, the Evaluation Report was submitted to the ADEQ and the ADEQ approved the report. No liability has been established as of March 31, 2023, in connection with this ADEQ matter.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August 2015, the trial court dismissed plaintiff’s negligence claims against us and EDC based on a duty to inspect but allowed the plaintiffs to proceed on claims for design defect and failure to warn.</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of March 31, 2023, no liability reserve has been established in connection with this matter.</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Global’s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Arial" w:cs="Arial" w:eastAsia="Arial" w:hAnsi="Arial"/>
          <w:sz w:val="17"/>
          <w:szCs w:val="17"/>
          <w:i w:val="1"/>
          <w:iCs w:val="1"/>
          <w:color w:val="auto"/>
        </w:rPr>
        <w:t>Global Industrial, Inc. d/b/a Global Turnaround vs. Leidos Constructors,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LLC et al., </w:t>
      </w:r>
      <w:r>
        <w:rPr>
          <w:rFonts w:ascii="Arial" w:cs="Arial" w:eastAsia="Arial" w:hAnsi="Arial"/>
          <w:sz w:val="17"/>
          <w:szCs w:val="17"/>
          <w:color w:val="auto"/>
        </w:rPr>
        <w:t>in the Circuit court of Union County, Arkansas, wherein Global sought damages under breach of contract and other claims. At the time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summons, 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This judgement was accrued for at the time of the ruling, and we continue to accrue post-judgement interest.</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filed a notice of intent to appeal and the court entered a stay of the judgment pending appeal. 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liability was established at March 31, 2023 or December 31, 2022, in connection with the cross-claims in Part (2) of the matter, except for certain invoices held in accounts payable. 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58" w:lineRule="exact"/>
        <w:rPr>
          <w:sz w:val="20"/>
          <w:szCs w:val="20"/>
          <w:color w:val="auto"/>
        </w:rPr>
      </w:pPr>
    </w:p>
    <w:p>
      <w:pPr>
        <w:ind w:left="200" w:right="7400" w:hanging="192"/>
        <w:spacing w:after="0" w:line="377" w:lineRule="auto"/>
        <w:tabs>
          <w:tab w:leader="none" w:pos="23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Hedges and Financial Instruments Natural Gas Contracts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Periodically, we entered into certain forward natural gas contracts, which are accounted for on a mark-to-market basis. We are utilizing these natural gas contracts as economic hedges for risk management purposes but are not designated as hedging instruments. At March 31, 2023 and December 31, 2022, we had no outstanding natural gas contracts accounted for on a mark-to-market basis. When present the valuations of the natural gas contracts are classified as Level 2.</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2023 and December 31, 2022, we did not have any financial instruments with fair values materially different from their carrying amounts (which excludes issuance costs, if applicable) except for our Senior Secured Notes included in the table below. The carrying value of our Senior Secured Notes approximates fair value and is classified as a Level 2 fair value measurement. The fair value of financial instruments is not indicative of the overall fair value of our assets and liabilities since financial instruments do not include all assets, including intangibles and all liabilities.</w:t>
      </w:r>
    </w:p>
    <w:p>
      <w:pPr>
        <w:spacing w:after="0" w:line="161" w:lineRule="exact"/>
        <w:rPr>
          <w:sz w:val="20"/>
          <w:szCs w:val="20"/>
          <w:color w:val="auto"/>
        </w:rPr>
      </w:pPr>
    </w:p>
    <w:tbl>
      <w:tblPr>
        <w:tblLayout w:type="fixed"/>
        <w:tblInd w:w="1080" w:type="dxa"/>
        <w:tblCellMar>
          <w:top w:w="0" w:type="dxa"/>
          <w:left w:w="0" w:type="dxa"/>
          <w:bottom w:w="0" w:type="dxa"/>
          <w:right w:w="0" w:type="dxa"/>
        </w:tblCellMar>
      </w:tblPr>
      <w:tr>
        <w:trPr>
          <w:trHeight w:val="219"/>
        </w:trPr>
        <w:tc>
          <w:tcPr>
            <w:tcW w:w="4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jc w:val="right"/>
              <w:ind w:right="446"/>
              <w:spacing w:after="0"/>
              <w:rPr>
                <w:sz w:val="20"/>
                <w:szCs w:val="20"/>
                <w:color w:val="auto"/>
              </w:rPr>
            </w:pPr>
            <w:r>
              <w:rPr>
                <w:rFonts w:ascii="Arial" w:cs="Arial" w:eastAsia="Arial" w:hAnsi="Arial"/>
                <w:sz w:val="16"/>
                <w:szCs w:val="16"/>
                <w:color w:val="auto"/>
              </w:rPr>
              <w:t>March 31, 2023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color w:val="auto"/>
              </w:rPr>
              <w:t>December 31, 2022</w:t>
            </w:r>
          </w:p>
        </w:tc>
        <w:tc>
          <w:tcPr>
            <w:tcW w:w="80" w:type="dxa"/>
            <w:vAlign w:val="bottom"/>
          </w:tcPr>
          <w:p>
            <w:pPr>
              <w:spacing w:after="0"/>
              <w:rPr>
                <w:sz w:val="19"/>
                <w:szCs w:val="19"/>
                <w:color w:val="auto"/>
              </w:rPr>
            </w:pPr>
          </w:p>
        </w:tc>
      </w:tr>
      <w:tr>
        <w:trPr>
          <w:trHeight w:val="210"/>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color w:val="auto"/>
                <w:w w:val="95"/>
              </w:rPr>
              <w:t>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6"/>
                <w:szCs w:val="16"/>
                <w:color w:val="auto"/>
              </w:rPr>
              <w:t>Estimated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79"/>
              <w:spacing w:after="0"/>
              <w:rPr>
                <w:sz w:val="20"/>
                <w:szCs w:val="20"/>
                <w:color w:val="auto"/>
              </w:rPr>
            </w:pPr>
            <w:r>
              <w:rPr>
                <w:rFonts w:ascii="Arial" w:cs="Arial" w:eastAsia="Arial" w:hAnsi="Arial"/>
                <w:sz w:val="16"/>
                <w:szCs w:val="16"/>
                <w:color w:val="auto"/>
                <w:w w:val="95"/>
              </w:rPr>
              <w:t>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40"/>
              <w:spacing w:after="0"/>
              <w:rPr>
                <w:sz w:val="20"/>
                <w:szCs w:val="20"/>
                <w:color w:val="auto"/>
              </w:rPr>
            </w:pPr>
            <w:r>
              <w:rPr>
                <w:rFonts w:ascii="Arial" w:cs="Arial" w:eastAsia="Arial" w:hAnsi="Arial"/>
                <w:sz w:val="16"/>
                <w:szCs w:val="16"/>
                <w:color w:val="auto"/>
              </w:rPr>
              <w:t>Estimated</w:t>
            </w:r>
          </w:p>
        </w:tc>
        <w:tc>
          <w:tcPr>
            <w:tcW w:w="80" w:type="dxa"/>
            <w:vAlign w:val="bottom"/>
          </w:tcPr>
          <w:p>
            <w:pPr>
              <w:spacing w:after="0"/>
              <w:rPr>
                <w:sz w:val="18"/>
                <w:szCs w:val="18"/>
                <w:color w:val="auto"/>
              </w:rPr>
            </w:pPr>
          </w:p>
        </w:tc>
      </w:tr>
      <w:tr>
        <w:trPr>
          <w:trHeight w:val="242"/>
        </w:trPr>
        <w:tc>
          <w:tcPr>
            <w:tcW w:w="47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7"/>
              </w:rPr>
              <w:t>Amount</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7"/>
              </w:rPr>
              <w:t>Amount</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Fair Value</w:t>
            </w:r>
          </w:p>
        </w:tc>
        <w:tc>
          <w:tcPr>
            <w:tcW w:w="80" w:type="dxa"/>
            <w:vAlign w:val="bottom"/>
          </w:tcPr>
          <w:p>
            <w:pPr>
              <w:spacing w:after="0"/>
              <w:rPr>
                <w:sz w:val="21"/>
                <w:szCs w:val="21"/>
                <w:color w:val="auto"/>
              </w:rPr>
            </w:pPr>
          </w:p>
        </w:tc>
      </w:tr>
      <w:tr>
        <w:trPr>
          <w:trHeight w:val="171"/>
        </w:trPr>
        <w:tc>
          <w:tcPr>
            <w:tcW w:w="4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600"/>
              <w:spacing w:after="0"/>
              <w:rPr>
                <w:sz w:val="20"/>
                <w:szCs w:val="20"/>
                <w:color w:val="auto"/>
              </w:rPr>
            </w:pPr>
            <w:r>
              <w:rPr>
                <w:rFonts w:ascii="Arial" w:cs="Arial" w:eastAsia="Arial" w:hAnsi="Arial"/>
                <w:sz w:val="11"/>
                <w:szCs w:val="11"/>
                <w:color w:val="auto"/>
                <w:w w:val="95"/>
              </w:rPr>
              <w:t>(In Millions)</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53"/>
        </w:trPr>
        <w:tc>
          <w:tcPr>
            <w:tcW w:w="4760" w:type="dxa"/>
            <w:vAlign w:val="bottom"/>
            <w:shd w:val="clear" w:color="auto" w:fill="CFF0FC"/>
          </w:tcPr>
          <w:p>
            <w:pPr>
              <w:ind w:left="20"/>
              <w:spacing w:after="0" w:line="234" w:lineRule="exact"/>
              <w:rPr>
                <w:sz w:val="20"/>
                <w:szCs w:val="20"/>
                <w:color w:val="auto"/>
              </w:rPr>
            </w:pPr>
            <w:r>
              <w:rPr>
                <w:rFonts w:ascii="Arial" w:cs="Arial" w:eastAsia="Arial" w:hAnsi="Arial"/>
                <w:sz w:val="16"/>
                <w:szCs w:val="16"/>
                <w:color w:val="auto"/>
              </w:rPr>
              <w:t xml:space="preserve">Senior Secured Notes </w:t>
            </w:r>
            <w:r>
              <w:rPr>
                <w:rFonts w:ascii="Arial" w:cs="Arial" w:eastAsia="Arial" w:hAnsi="Arial"/>
                <w:sz w:val="21"/>
                <w:szCs w:val="21"/>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w:t>
            </w:r>
          </w:p>
        </w:tc>
        <w:tc>
          <w:tcPr>
            <w:tcW w:w="80" w:type="dxa"/>
            <w:vAlign w:val="bottom"/>
            <w:shd w:val="clear" w:color="auto" w:fill="CFF0FC"/>
          </w:tcPr>
          <w:p>
            <w:pPr>
              <w:spacing w:after="0"/>
              <w:rPr>
                <w:sz w:val="22"/>
                <w:szCs w:val="22"/>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-24765</wp:posOffset>
            </wp:positionV>
            <wp:extent cx="596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4294505</wp:posOffset>
            </wp:positionH>
            <wp:positionV relativeFrom="paragraph">
              <wp:posOffset>-7620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-24765</wp:posOffset>
            </wp:positionV>
            <wp:extent cx="596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-7620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-24765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-7620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-24765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-7620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8" w:lineRule="exact"/>
        <w:rPr>
          <w:sz w:val="20"/>
          <w:szCs w:val="20"/>
          <w:color w:val="auto"/>
        </w:rPr>
      </w:pPr>
    </w:p>
    <w:p>
      <w:pPr>
        <w:ind w:left="1020" w:hanging="504"/>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a quoted price of 88.25 at March 31, 2023 and 91.00 at December 31, 2022.</w:t>
      </w:r>
    </w:p>
    <w:p>
      <w:pPr>
        <w:spacing w:after="0" w:line="200" w:lineRule="exact"/>
        <w:rPr>
          <w:rFonts w:ascii="Arial" w:cs="Arial" w:eastAsia="Arial" w:hAnsi="Arial"/>
          <w:sz w:val="16"/>
          <w:szCs w:val="16"/>
          <w:color w:val="auto"/>
        </w:rPr>
      </w:pPr>
    </w:p>
    <w:p>
      <w:pPr>
        <w:spacing w:after="0" w:line="24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284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0" w:type="dxa"/>
            <w:vAlign w:val="bottom"/>
            <w:gridSpan w:val="3"/>
          </w:tcPr>
          <w:p>
            <w:pPr>
              <w:jc w:val="center"/>
              <w:ind w:right="410"/>
              <w:spacing w:after="0"/>
              <w:rPr>
                <w:sz w:val="20"/>
                <w:szCs w:val="20"/>
                <w:color w:val="auto"/>
              </w:rPr>
            </w:pPr>
            <w:r>
              <w:rPr>
                <w:rFonts w:ascii="Arial" w:cs="Arial" w:eastAsia="Arial" w:hAnsi="Arial"/>
                <w:sz w:val="18"/>
                <w:szCs w:val="18"/>
                <w:color w:val="auto"/>
                <w:w w:val="92"/>
              </w:rPr>
              <w:t>March 31,</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774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7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0" w:type="dxa"/>
            <w:vAlign w:val="bottom"/>
            <w:gridSpan w:val="3"/>
          </w:tcPr>
          <w:p>
            <w:pPr>
              <w:jc w:val="center"/>
              <w:ind w:right="410"/>
              <w:spacing w:after="0"/>
              <w:rPr>
                <w:sz w:val="20"/>
                <w:szCs w:val="20"/>
                <w:color w:val="auto"/>
              </w:rPr>
            </w:pPr>
            <w:r>
              <w:rPr>
                <w:rFonts w:ascii="Arial" w:cs="Arial" w:eastAsia="Arial" w:hAnsi="Arial"/>
                <w:sz w:val="16"/>
                <w:szCs w:val="16"/>
                <w:color w:val="auto"/>
                <w:w w:val="91"/>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Federal</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10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Arial" w:cs="Arial" w:eastAsia="Arial" w:hAnsi="Arial"/>
                <w:sz w:val="18"/>
                <w:szCs w:val="18"/>
                <w:color w:val="auto"/>
              </w:rPr>
              <w:t>Total Current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290</w:t>
            </w:r>
          </w:p>
        </w:tc>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r>
      <w:tr>
        <w:trPr>
          <w:trHeight w:val="242"/>
        </w:trPr>
        <w:tc>
          <w:tcPr>
            <w:tcW w:w="7740" w:type="dxa"/>
            <w:vAlign w:val="bottom"/>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Deferred:</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Federal</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4,622</w:t>
            </w:r>
          </w:p>
        </w:tc>
        <w:tc>
          <w:tcPr>
            <w:tcW w:w="128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11,385</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986</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(562 )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Deferred</w:t>
            </w:r>
          </w:p>
        </w:tc>
        <w:tc>
          <w:tcPr>
            <w:tcW w:w="1040" w:type="dxa"/>
            <w:vAlign w:val="bottom"/>
            <w:tcBorders>
              <w:top w:val="single" w:sz="8" w:color="auto"/>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5,608</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10,823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5,898</w:t>
            </w:r>
          </w:p>
        </w:tc>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11,115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-1137920</wp:posOffset>
            </wp:positionV>
            <wp:extent cx="7683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7683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tax provision for the three months ended March 31, 2023, was $5.9 million (27.1% provision on pre-tax income). The tax provision for the three months ended March 31, 2022, was $11.1 million (15.9% provision on pre-tax income). For 2023, the effective tax rate is higher than the statutory tax rate primarily due to state taxes, including state valuation allowances on certain newly generated state tax attributes. For 2022, the effective tax rate was less than the statutory tax rate primarily due to the impact of the valuation allowances.</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$1.7 million increase in the related valuation allowance associated with these state deferred tax assets will be recorded during the year as part of the estimated annual effective tax rate applied to ordinary income.</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LSB and certain of its subsidiaries file income tax returns in the U.S. federal jurisdiction and various state jurisdictions. With few exceptions, the 2019-2022 years remain open for all purposes of examination by the U.S. Internal Revenue Service (“IRS”) and other major tax jurisdictions. Additionally, the 2013-2018 years remain subject to examination for determining the amount of net operating loss and other carryforwards.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primarily derive our revenues from the sales of various chemical products. The Company’s net sales disaggregation is consistent with other financial information utilized or provided outside of our condensed consolidated financial statements. With our continued focus on optimizing our commercial strategy and product mix going forward we will report revenue by product as opposed to the end market. Accordingly, this approach is reflected in disaggregated net sales, mirroring how the Company manages its net sales by product through contracts with customers.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The following table presents our net sales disaggregated by our principal product types: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45"/>
        </w:trPr>
        <w:tc>
          <w:tcPr>
            <w:tcW w:w="758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4"/>
                <w:szCs w:val="24"/>
                <w:color w:val="auto"/>
              </w:rPr>
            </w:pPr>
          </w:p>
        </w:tc>
      </w:tr>
      <w:tr>
        <w:trPr>
          <w:trHeight w:val="243"/>
        </w:trPr>
        <w:tc>
          <w:tcPr>
            <w:tcW w:w="7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40" w:type="dxa"/>
            <w:vAlign w:val="bottom"/>
            <w:gridSpan w:val="3"/>
          </w:tcPr>
          <w:p>
            <w:pPr>
              <w:jc w:val="center"/>
              <w:ind w:left="31"/>
              <w:spacing w:after="0"/>
              <w:rPr>
                <w:sz w:val="20"/>
                <w:szCs w:val="20"/>
                <w:color w:val="auto"/>
              </w:rPr>
            </w:pPr>
            <w:r>
              <w:rPr>
                <w:rFonts w:ascii="Arial" w:cs="Arial" w:eastAsia="Arial" w:hAnsi="Arial"/>
                <w:sz w:val="18"/>
                <w:szCs w:val="18"/>
                <w:color w:val="auto"/>
                <w:w w:val="92"/>
              </w:rPr>
              <w:t>March 31,</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50"/>
        </w:trPr>
        <w:tc>
          <w:tcPr>
            <w:tcW w:w="75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r>
      <w:tr>
        <w:trPr>
          <w:trHeight w:val="220"/>
        </w:trPr>
        <w:tc>
          <w:tcPr>
            <w:tcW w:w="7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jc w:val="center"/>
              <w:ind w:left="31"/>
              <w:spacing w:after="0"/>
              <w:rPr>
                <w:sz w:val="20"/>
                <w:szCs w:val="20"/>
                <w:color w:val="auto"/>
              </w:rPr>
            </w:pPr>
            <w:r>
              <w:rPr>
                <w:rFonts w:ascii="Arial" w:cs="Arial" w:eastAsia="Arial" w:hAnsi="Arial"/>
                <w:sz w:val="16"/>
                <w:szCs w:val="16"/>
                <w:color w:val="auto"/>
                <w:w w:val="91"/>
              </w:rPr>
              <w:t>(In Thousands)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52"/>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AN &amp; Nitric Acid</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58,272</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71,800</w:t>
            </w:r>
          </w:p>
        </w:tc>
        <w:tc>
          <w:tcPr>
            <w:tcW w:w="280" w:type="dxa"/>
            <w:vAlign w:val="bottom"/>
          </w:tcPr>
          <w:p>
            <w:pPr>
              <w:spacing w:after="0"/>
              <w:rPr>
                <w:sz w:val="20"/>
                <w:szCs w:val="20"/>
                <w:color w:val="auto"/>
              </w:rPr>
            </w:pPr>
          </w:p>
        </w:tc>
      </w:tr>
      <w:tr>
        <w:trPr>
          <w:trHeight w:val="249"/>
        </w:trPr>
        <w:tc>
          <w:tcPr>
            <w:tcW w:w="7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Urea ammonium nitrate (UAN)</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46,590</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56,569</w:t>
            </w:r>
          </w:p>
        </w:tc>
        <w:tc>
          <w:tcPr>
            <w:tcW w:w="280" w:type="dxa"/>
            <w:vAlign w:val="bottom"/>
            <w:shd w:val="clear" w:color="auto" w:fill="CFF0FC"/>
          </w:tcPr>
          <w:p>
            <w:pPr>
              <w:spacing w:after="0"/>
              <w:rPr>
                <w:sz w:val="21"/>
                <w:szCs w:val="21"/>
                <w:color w:val="auto"/>
              </w:rPr>
            </w:pPr>
          </w:p>
        </w:tc>
      </w:tr>
      <w:tr>
        <w:trPr>
          <w:trHeight w:val="236"/>
        </w:trPr>
        <w:tc>
          <w:tcPr>
            <w:tcW w:w="7580" w:type="dxa"/>
            <w:vAlign w:val="bottom"/>
          </w:tcPr>
          <w:p>
            <w:pPr>
              <w:ind w:left="200"/>
              <w:spacing w:after="0"/>
              <w:rPr>
                <w:sz w:val="20"/>
                <w:szCs w:val="20"/>
                <w:color w:val="auto"/>
              </w:rPr>
            </w:pPr>
            <w:r>
              <w:rPr>
                <w:rFonts w:ascii="Arial" w:cs="Arial" w:eastAsia="Arial" w:hAnsi="Arial"/>
                <w:sz w:val="18"/>
                <w:szCs w:val="18"/>
                <w:color w:val="auto"/>
              </w:rPr>
              <w:t>Ammonia</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63,415</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59,342</w:t>
            </w:r>
          </w:p>
        </w:tc>
        <w:tc>
          <w:tcPr>
            <w:tcW w:w="280" w:type="dxa"/>
            <w:vAlign w:val="bottom"/>
          </w:tcPr>
          <w:p>
            <w:pPr>
              <w:spacing w:after="0"/>
              <w:rPr>
                <w:sz w:val="20"/>
                <w:szCs w:val="20"/>
                <w:color w:val="auto"/>
              </w:rPr>
            </w:pPr>
          </w:p>
        </w:tc>
      </w:tr>
      <w:tr>
        <w:trPr>
          <w:trHeight w:val="243"/>
        </w:trPr>
        <w:tc>
          <w:tcPr>
            <w:tcW w:w="7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12,687</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11,270</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6"/>
        </w:trPr>
        <w:tc>
          <w:tcPr>
            <w:tcW w:w="7580" w:type="dxa"/>
            <w:vAlign w:val="bottom"/>
          </w:tcPr>
          <w:p>
            <w:pPr>
              <w:ind w:left="380"/>
              <w:spacing w:after="0"/>
              <w:rPr>
                <w:sz w:val="20"/>
                <w:szCs w:val="20"/>
                <w:color w:val="auto"/>
              </w:rPr>
            </w:pPr>
            <w:r>
              <w:rPr>
                <w:rFonts w:ascii="Arial" w:cs="Arial" w:eastAsia="Arial" w:hAnsi="Arial"/>
                <w:sz w:val="18"/>
                <w:szCs w:val="18"/>
                <w:color w:val="auto"/>
              </w:rPr>
              <w:t>Total net sales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180,964</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198,981</w:t>
            </w:r>
          </w:p>
        </w:tc>
        <w:tc>
          <w:tcPr>
            <w:tcW w:w="280" w:type="dxa"/>
            <w:vAlign w:val="bottom"/>
          </w:tcPr>
          <w:p>
            <w:pPr>
              <w:spacing w:after="0"/>
              <w:rPr>
                <w:sz w:val="20"/>
                <w:szCs w:val="20"/>
                <w:color w:val="auto"/>
              </w:rPr>
            </w:pPr>
          </w:p>
        </w:tc>
      </w:tr>
      <w:tr>
        <w:trPr>
          <w:trHeight w:val="20"/>
        </w:trPr>
        <w:tc>
          <w:tcPr>
            <w:tcW w:w="7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5801995</wp:posOffset>
            </wp:positionH>
            <wp:positionV relativeFrom="paragraph">
              <wp:posOffset>-187960</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6957695</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30 months at March 31, 2023.</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$3.8 million, $2.0 million and $1.6 million of contract liabilities as of March 31, 2023, December 31, 2022 and December 31, 2021, respectively. For the three months ended March 31, 2023 and 2022, revenues of $0.6 million and $1.4 million, respectively, were recognized and included in the balance at the beginning of the respective period. We had approximately $86.9 million of accounts receivable as of December 31, 2021.</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At March 31, 2023,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totals approximately $92.1 million, of which approximately 60% of this amount relates to 2023 through 2025, approximately 26% relates to 2026 through 2027, with the remainder thereafter.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2023, we have two separate outstanding financing arrangements by an affiliate of Eldridge as discussed in footnotes (C) and (D) of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 affiliate of Eldridge holds $30 million of the New Notes.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20"/>
                <w:szCs w:val="20"/>
                <w:color w:val="auto"/>
              </w:rPr>
            </w:pPr>
          </w:p>
        </w:tc>
      </w:tr>
      <w:tr>
        <w:trPr>
          <w:trHeight w:val="243"/>
        </w:trPr>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center"/>
              <w:ind w:left="551"/>
              <w:spacing w:after="0"/>
              <w:rPr>
                <w:sz w:val="20"/>
                <w:szCs w:val="20"/>
                <w:color w:val="auto"/>
              </w:rPr>
            </w:pPr>
            <w:r>
              <w:rPr>
                <w:rFonts w:ascii="Arial" w:cs="Arial" w:eastAsia="Arial" w:hAnsi="Arial"/>
                <w:sz w:val="18"/>
                <w:szCs w:val="18"/>
                <w:color w:val="auto"/>
                <w:w w:val="92"/>
              </w:rPr>
              <w:t>March 31,</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6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r>
      <w:tr>
        <w:trPr>
          <w:trHeight w:val="220"/>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3"/>
          </w:tcPr>
          <w:p>
            <w:pPr>
              <w:jc w:val="center"/>
              <w:ind w:left="551"/>
              <w:spacing w:after="0"/>
              <w:rPr>
                <w:sz w:val="20"/>
                <w:szCs w:val="20"/>
                <w:color w:val="auto"/>
              </w:rPr>
            </w:pPr>
            <w:r>
              <w:rPr>
                <w:rFonts w:ascii="Arial" w:cs="Arial" w:eastAsia="Arial" w:hAnsi="Arial"/>
                <w:sz w:val="16"/>
                <w:szCs w:val="16"/>
                <w:color w:val="auto"/>
                <w:w w:val="91"/>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2"/>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Income taxes,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6960" w:type="dxa"/>
            <w:vAlign w:val="bottom"/>
          </w:tcPr>
          <w:p>
            <w:pPr>
              <w:ind w:left="180"/>
              <w:spacing w:after="0"/>
              <w:rPr>
                <w:sz w:val="20"/>
                <w:szCs w:val="20"/>
                <w:color w:val="auto"/>
              </w:rPr>
            </w:pPr>
            <w:r>
              <w:rPr>
                <w:rFonts w:ascii="Arial" w:cs="Arial" w:eastAsia="Arial" w:hAnsi="Arial"/>
                <w:sz w:val="18"/>
                <w:szCs w:val="18"/>
                <w:color w:val="auto"/>
              </w:rPr>
              <w:t>Accounts receivable, supplies, other assets, accounts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60" w:type="dxa"/>
            <w:vAlign w:val="bottom"/>
          </w:tcPr>
          <w:p>
            <w:pPr>
              <w:ind w:left="360"/>
              <w:spacing w:after="0"/>
              <w:rPr>
                <w:sz w:val="20"/>
                <w:szCs w:val="20"/>
                <w:color w:val="auto"/>
              </w:rPr>
            </w:pPr>
            <w:r>
              <w:rPr>
                <w:rFonts w:ascii="Arial" w:cs="Arial" w:eastAsia="Arial" w:hAnsi="Arial"/>
                <w:sz w:val="18"/>
                <w:szCs w:val="18"/>
                <w:color w:val="auto"/>
              </w:rPr>
              <w:t>payable and accrued liabilities associated with additions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960" w:type="dxa"/>
            <w:vAlign w:val="bottom"/>
          </w:tcPr>
          <w:p>
            <w:pPr>
              <w:ind w:left="360"/>
              <w:spacing w:after="0"/>
              <w:rPr>
                <w:sz w:val="20"/>
                <w:szCs w:val="20"/>
                <w:color w:val="auto"/>
              </w:rPr>
            </w:pPr>
            <w:r>
              <w:rPr>
                <w:rFonts w:ascii="Arial" w:cs="Arial" w:eastAsia="Arial" w:hAnsi="Arial"/>
                <w:sz w:val="18"/>
                <w:szCs w:val="18"/>
                <w:color w:val="auto"/>
              </w:rPr>
              <w:t>of property, plant and equipment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21,761</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17,295</w:t>
            </w:r>
          </w:p>
        </w:tc>
        <w:tc>
          <w:tcPr>
            <w:tcW w:w="100" w:type="dxa"/>
            <w:vAlign w:val="bottom"/>
          </w:tcPr>
          <w:p>
            <w:pPr>
              <w:spacing w:after="0"/>
              <w:rPr>
                <w:sz w:val="20"/>
                <w:szCs w:val="20"/>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associated with debt-related costs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March 31, 2023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our subsidiaries, we manufacture and sell chemical products for the agricultural, mining and industrial markets. We own and operate facilities in Cherokee, Alabama, El Dorado, Arkansas and Pryor, Oklahoma and operate a facility on behalf of Covestro in Baytown, Texas. Our products are sold through distributors and directly to end customers primarily throughout the U.S. and parts of Mexico, Canada and the Caribbean.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Operating Initiatives for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expect our future results of operations and financial condition to benefit from the following key initiatives:</w:t>
      </w:r>
    </w:p>
    <w:p>
      <w:pPr>
        <w:spacing w:after="0" w:line="102" w:lineRule="exact"/>
        <w:rPr>
          <w:sz w:val="20"/>
          <w:szCs w:val="20"/>
          <w:color w:val="auto"/>
        </w:rPr>
      </w:pPr>
    </w:p>
    <w:p>
      <w:pPr>
        <w:ind w:left="1020" w:right="20" w:hanging="504"/>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Investing to improve Environmental, Health &amp; Safety and Reliability at our Facilities while Supplying our Customers with Products of the Highest Quality.</w:t>
      </w:r>
    </w:p>
    <w:p>
      <w:pPr>
        <w:spacing w:after="0" w:line="75" w:lineRule="exact"/>
        <w:rPr>
          <w:rFonts w:ascii="Arial" w:cs="Arial" w:eastAsia="Arial" w:hAnsi="Arial"/>
          <w:sz w:val="18"/>
          <w:szCs w:val="18"/>
          <w:color w:val="auto"/>
        </w:rPr>
      </w:pPr>
    </w:p>
    <w:p>
      <w:pPr>
        <w:jc w:val="both"/>
        <w:ind w:left="1260" w:hanging="368"/>
        <w:spacing w:after="0" w:line="256"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In 2023 we remain focused on our efforts to further the progress we have made with our safety programs to move closer to attaining zero injuries. We plan to continue to invest additional capital at all three of our facilities during 2023 to build upon the success we have had in implementing enhanced safety programs during the last several years.</w:t>
      </w:r>
    </w:p>
    <w:p>
      <w:pPr>
        <w:spacing w:after="0" w:line="82" w:lineRule="exact"/>
        <w:rPr>
          <w:rFonts w:ascii="Arial" w:cs="Arial" w:eastAsia="Arial" w:hAnsi="Arial"/>
          <w:sz w:val="18"/>
          <w:szCs w:val="18"/>
          <w:color w:val="auto"/>
        </w:rPr>
      </w:pPr>
    </w:p>
    <w:p>
      <w:pPr>
        <w:jc w:val="both"/>
        <w:ind w:left="1260" w:hanging="368"/>
        <w:spacing w:after="0" w:line="259"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We have multiple initiatives currently underway focused on continuing to improve the reliability of our plants as we advance towards our 95% on-stream operating rate goal. Progress towards this goal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w:t>
      </w:r>
    </w:p>
    <w:p>
      <w:pPr>
        <w:spacing w:after="0" w:line="77" w:lineRule="exact"/>
        <w:rPr>
          <w:rFonts w:ascii="Arial" w:cs="Arial" w:eastAsia="Arial" w:hAnsi="Arial"/>
          <w:sz w:val="18"/>
          <w:szCs w:val="18"/>
          <w:color w:val="auto"/>
        </w:rPr>
      </w:pPr>
    </w:p>
    <w:p>
      <w:pPr>
        <w:jc w:val="both"/>
        <w:ind w:left="1020" w:hanging="504"/>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and Optimization of our Product Mix. </w:t>
      </w:r>
      <w:r>
        <w:rPr>
          <w:rFonts w:ascii="Arial" w:cs="Arial" w:eastAsia="Arial" w:hAnsi="Arial"/>
          <w:sz w:val="18"/>
          <w:szCs w:val="18"/>
          <w:color w:val="auto"/>
        </w:rPr>
        <w:t>Over the course of 2022, we were successful in improving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production capacity of our plants, particularly through Turnarounds at two of our facilities. We plan to continue to expand the distribution of our products by partnering with customers to take product into different markets, while also focusing on opportunities to upgrade our margins through the optimization of our product mix. In January of 2023, we took over direct distribution of our Pryor facility’s UAN production following several years of working with a third party to sell the product. We believe that this, combined with continued expansion of our customer relationships and the robust market analysis capabilities we have developed, will make us more effective in identifying and capitalizing on the most profitable distribution opportunities for our products. Additionally, we will continue to progress several capital improvement projects during 2023 that are related to our storage and distribution capabilities which we believe will assist us in improving our overall margins.</w:t>
      </w:r>
    </w:p>
    <w:p>
      <w:pPr>
        <w:spacing w:after="0" w:line="85" w:lineRule="exact"/>
        <w:rPr>
          <w:rFonts w:ascii="Arial" w:cs="Arial" w:eastAsia="Arial" w:hAnsi="Arial"/>
          <w:sz w:val="18"/>
          <w:szCs w:val="18"/>
          <w:color w:val="auto"/>
        </w:rPr>
      </w:pPr>
    </w:p>
    <w:p>
      <w:pPr>
        <w:jc w:val="both"/>
        <w:ind w:left="1020" w:hanging="504"/>
        <w:spacing w:after="0" w:line="27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Development and Implementation of a Strategy to Capitalize on Low Carbon Ammonia and Clean Energy Opportunities. </w:t>
      </w:r>
      <w:r>
        <w:rPr>
          <w:rFonts w:ascii="Arial" w:cs="Arial" w:eastAsia="Arial" w:hAnsi="Arial"/>
          <w:sz w:val="17"/>
          <w:szCs w:val="17"/>
          <w:color w:val="auto"/>
        </w:rPr>
        <w:t>The reduction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greenhouse gas emissions, particularly related to carbon dioxide, has been and we expect will increasingly become a global environmental priority as part of efforts to stem the harmful effects of climate change. Ammonia has continued to emerge as one of the more viable alternatives to serve as a hydrogen-based energy source for a variety of applications due to its higher energy density and ease of storage relative to hydrogen gas. Blue and green ammonia can be used as zero carbon fuel in the maritime sector, as a carbon free fertilizer and as a coal substitute in power generation. If ammonia were to be adopted for these and other energy needs globally, some studies have indicated that future demand could increase significantly from current levels of global annual production of ammonia.</w:t>
      </w:r>
    </w:p>
    <w:p>
      <w:pPr>
        <w:spacing w:after="0" w:line="73" w:lineRule="exact"/>
        <w:rPr>
          <w:sz w:val="20"/>
          <w:szCs w:val="20"/>
          <w:color w:val="auto"/>
        </w:rPr>
      </w:pPr>
    </w:p>
    <w:p>
      <w:pPr>
        <w:jc w:val="both"/>
        <w:ind w:left="980"/>
        <w:spacing w:after="0" w:line="271" w:lineRule="auto"/>
        <w:rPr>
          <w:sz w:val="20"/>
          <w:szCs w:val="20"/>
          <w:color w:val="auto"/>
        </w:rPr>
      </w:pPr>
      <w:r>
        <w:rPr>
          <w:rFonts w:ascii="Arial" w:cs="Arial" w:eastAsia="Arial" w:hAnsi="Arial"/>
          <w:sz w:val="17"/>
          <w:szCs w:val="17"/>
          <w:color w:val="auto"/>
        </w:rPr>
        <w:t>As a result, we are currently evaluating and developing projects that could enable us to become a producer and marketer of blue and green ammonia and other derivative products. Blue ammonia is produced using natural gas and conventional processes but includes an additional stage where the carbon dioxide emissions are captured and permanently stored in deep underground rock formations. The resulting low carbon emission product, we believe, can be sold at a premium to agricultural, industrial, mining, power generation and marine customers seeking to reduce their carbon footprint and potentially capitalize on government incentives. Green ammonia is ammonia produced using renewable energy to power electrolyzers that extract hydrogen from water, resulting in zero-carbon production of ammonia, which we believe can also be sold at a premium to a variety of customers and industries around the world.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ind w:left="980"/>
        <w:spacing w:after="0" w:line="259" w:lineRule="auto"/>
        <w:rPr>
          <w:sz w:val="20"/>
          <w:szCs w:val="20"/>
          <w:color w:val="auto"/>
        </w:rPr>
      </w:pPr>
      <w:r>
        <w:rPr>
          <w:rFonts w:ascii="Arial" w:cs="Arial" w:eastAsia="Arial" w:hAnsi="Arial"/>
          <w:sz w:val="18"/>
          <w:szCs w:val="18"/>
          <w:color w:val="auto"/>
        </w:rPr>
        <w:t>We believe we are well-positioned to capitalize on this opportunity and become a market leader given our potential to retrofit our existing plants rather than needing to invest entirely in greenfield projects, which we believe can reduce our time to market for this product and also reduce the upfront capital expenditures necessary to enable us to produce this product, thereby enhancing the economic attractiveness for us to such investments.</w:t>
      </w:r>
    </w:p>
    <w:p>
      <w:pPr>
        <w:spacing w:after="0" w:line="77" w:lineRule="exact"/>
        <w:rPr>
          <w:sz w:val="20"/>
          <w:szCs w:val="20"/>
          <w:color w:val="auto"/>
        </w:rPr>
      </w:pPr>
    </w:p>
    <w:p>
      <w:pPr>
        <w:jc w:val="both"/>
        <w:ind w:left="1020" w:hanging="504"/>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Evaluate and Pursue Organic Capacity Expansion. </w:t>
      </w:r>
      <w:r>
        <w:rPr>
          <w:rFonts w:ascii="Arial" w:cs="Arial" w:eastAsia="Arial" w:hAnsi="Arial"/>
          <w:sz w:val="18"/>
          <w:szCs w:val="18"/>
          <w:color w:val="auto"/>
        </w:rPr>
        <w:t>We are evaluating opportunities across all our facilities to increase production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implementation of several potential debottlenecking projects. Our initial calculations suggest that these projects could potentially represent significant incremental annual profitability using an assumed mid-market pricing for Tampa Ammonia, UAN and natural gas. We have engaged third party engineering firms to conduct feasibility studies on several potential projects at our El Dorado site. We expect to receive the results of these studies by mid-year 2023. If the proposed projects meet our return criteria, we would expect to make recommendations to our Board to move forward and engage an engineering firm to conduct the front end engineering design ("FEED") process. We estimate the FEED process will take nine to twelve months to complete. Upon completion of the FEED process, we expect to again review the projects in relation to the outlook for our product end markets and the overall economy and make a decision as to which products to pursue.</w:t>
      </w:r>
    </w:p>
    <w:p>
      <w:pPr>
        <w:spacing w:after="0" w:line="85" w:lineRule="exact"/>
        <w:rPr>
          <w:rFonts w:ascii="Arial" w:cs="Arial" w:eastAsia="Arial" w:hAnsi="Arial"/>
          <w:sz w:val="18"/>
          <w:szCs w:val="18"/>
          <w:color w:val="auto"/>
        </w:rPr>
      </w:pPr>
    </w:p>
    <w:p>
      <w:pPr>
        <w:jc w:val="both"/>
        <w:ind w:left="1020" w:hanging="504"/>
        <w:spacing w:after="0" w:line="30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Pursue Acquisitions of Strategic Assets or Companies. </w:t>
      </w:r>
      <w:r>
        <w:rPr>
          <w:rFonts w:ascii="Arial" w:cs="Arial" w:eastAsia="Arial" w:hAnsi="Arial"/>
          <w:sz w:val="16"/>
          <w:szCs w:val="16"/>
          <w:color w:val="auto"/>
        </w:rPr>
        <w:t>We are continuously evaluating opportunities to acquire strategic assets or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where we believe those acquisitions will enhance the value of the Company and provide attractive returns. We evaluate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Signed Agreements for Low and No Carbon Ammonia Projects</w:t>
      </w:r>
    </w:p>
    <w:p>
      <w:pPr>
        <w:spacing w:after="0" w:line="5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April 2022 we entered into an agreement with Lapis Energy to develop a project to capture and permanently sequester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at our El Dorado, Arkansas facility. Lapis, backed by Cresta Fund Management, a Dallas-based middle-market infrastructure investment firm, will make 100% of the capital investment required for the project development. The project is expected to be completed by 2025, subject to the approval of a Class VI permit, at which time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injections are expected to begin. Once operational, the project at the El Dorado site will initially capture and permanently sequester more than 450,000 metric tons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per year in underground saline aquifers, with the potential to increase this quantity based on a potential debottlenecking project at the facility. The permanently sequestered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generated from the facility’s ammonia production is expected to qualify for federal tax credits under Internal Revenue Code Section 45Q, which are $85 per metric ton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captured beginning in 2026. Once in operation, the sequestered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is expected to reduce LSB’s scope 1 GHG emissions by approximately 25% from current levels. In addition, sequestering more than 450,000 metric tons of CO</w:t>
      </w:r>
      <w:r>
        <w:rPr>
          <w:rFonts w:ascii="Arial" w:cs="Arial" w:eastAsia="Arial" w:hAnsi="Arial"/>
          <w:sz w:val="23"/>
          <w:szCs w:val="23"/>
          <w:color w:val="auto"/>
          <w:vertAlign w:val="subscript"/>
        </w:rPr>
        <w:t>2</w:t>
      </w:r>
      <w:r>
        <w:rPr>
          <w:rFonts w:ascii="Arial" w:cs="Arial" w:eastAsia="Arial" w:hAnsi="Arial"/>
          <w:sz w:val="17"/>
          <w:szCs w:val="17"/>
          <w:color w:val="auto"/>
        </w:rPr>
        <w:t xml:space="preserve"> annually is expected to enable LSB to produce over 375,000 metric tons of blue ammonia annually, a product that could potentially be sold at higher price levels than conventional ammonia. In February 2023, we achieved a key milestone in the advancement of our blue ammonia project at El Dorado by filing a pre-construction Class VI permit application with the U.S. Environmental Protection Agency (the “EPA”). The EPA accepted our application in March 2023.</w:t>
      </w:r>
    </w:p>
    <w:p>
      <w:pPr>
        <w:spacing w:after="0" w:line="1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2022 we entered into agreements with Thyssenkrupp Uhde USA, LLC and Bloom Energy Corporation, (NYSE:BE) to develop a project to produce approximately 30,000 metric tons of zero-carbon or “green” ammonia per year at our Pryor, Oklahoma facility. Thyssenkrupp Uhde completed a feasibility study to convert a small portion of Pryor’s existing conventional or “grey” ammonia capacity into green ammonia. We continue to work with several engineering, procurement and construction firms for other designs and cost estimates. Once a project design is selected and Board approval is granted, the project will move forward into the FEED, detailed engineering and construction. Bloom will operate and maintain the solid oxide electrolyzer. The green hydrogen produced from the electrolyzers is expected to qualify for federal incentive programs such as the production and tax credit under Internal Revenue Code Section 45V, which are up to $3 per kilogram of clean hydrogen beginning in 2023.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Lower Product Selling Prices Partially Offset by Stronger Sales Volume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Sales volumes of our products increased in the first quarter of 2023 as compared to the same quarter of 2022. This was driven largely by stronger ammonia production at our facilities, reflecting investments we have made in plant reliability over the past several years. With respect to our first quarter 2023 profitability, higher sales volumes were more than offset by the impact of lower selling prices relative to the first quarter of 2022.</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factor in the decline in nitrogen fertilizer prices over the past eight months is the decline in natural gas costs in Europe. Natural gas is the primary feedstock for the production of ammonia. Natural gas prices in Europe have dropped due to a reduction in demand primarily related to warmer than expected temperatures throughout Europe this past winter and a reduction in industrial demand. The lower natural gas costs have enabled numerous European ammonia facilities to resume operations, increasing global supply for nitrogen products. With that said, natural gas costs in Europe remain significantly higher than those in the U.S. and European operators remain the high cost, or marginal producers, with production costs substantially higher than those in the U.S.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jc w:val="both"/>
        <w:ind w:right="100"/>
        <w:spacing w:after="0" w:line="263" w:lineRule="auto"/>
        <w:rPr>
          <w:sz w:val="20"/>
          <w:szCs w:val="20"/>
          <w:color w:val="auto"/>
        </w:rPr>
      </w:pPr>
      <w:r>
        <w:rPr>
          <w:rFonts w:ascii="Arial" w:cs="Arial" w:eastAsia="Arial" w:hAnsi="Arial"/>
          <w:sz w:val="18"/>
          <w:szCs w:val="18"/>
          <w:color w:val="auto"/>
        </w:rPr>
        <w:t>In addition to the lower production costs for European producers as compared to a year ago, the decline in fertilizer prices reflects the impact of a delayed spring fertilizer application in many corn growing regions of the U.S. due to cold and wet weather. Nitrogen prices have also been pressured by lower demand for ammonia from Asian industrial markets as well as from phosphate producers.</w:t>
      </w:r>
    </w:p>
    <w:p>
      <w:pPr>
        <w:spacing w:after="0" w:line="7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Despite these factors, nitrogen pricing remains at attractive levels and appears to have stabilized with potential for improvement as 2023 progresses, given an increasingly favorable demand outlook.</w:t>
      </w:r>
    </w:p>
    <w:p>
      <w:pPr>
        <w:spacing w:after="0" w:line="6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We expect favorable U.S. corn market dynamics to continue to provide support for stronger fertilizer pricing as 2023 progresses. Current U.S. corn stock/use ratios sit near multi-year lows due, in part, to the impact of dry conditions in South America, the Western U.S. and parts of Europe on global corn supplies. As a result, corn prices remain significantly above 10-year averages which, combined with lower input costs relative to last year, should incentivize farmers to plant additional acres and maximize yield through the current planting season. Recent U.S. Department of Agriculture (“USDA”) reports indicate that U.S. corn acreage planted in the 2022-2023 planting season was approximately 88.6 million acres, lower than the 2021-2022 estimated plantings of 93.3 million acres. As a result of the reduction in acres planted for the 2022-2023 season and the impact on global corn stocks which remain below usage levels, we believe that acres planted for the 2023-2024 season could increase to approximately 92 million acres, which we expect to drive increased demand for fertilizers.</w:t>
      </w:r>
    </w:p>
    <w:p>
      <w:pPr>
        <w:spacing w:after="0" w:line="88" w:lineRule="exact"/>
        <w:rPr>
          <w:sz w:val="20"/>
          <w:szCs w:val="20"/>
          <w:color w:val="auto"/>
        </w:rPr>
      </w:pPr>
    </w:p>
    <w:p>
      <w:pPr>
        <w:jc w:val="both"/>
        <w:ind w:right="100"/>
        <w:spacing w:after="0" w:line="305" w:lineRule="auto"/>
        <w:rPr>
          <w:sz w:val="20"/>
          <w:szCs w:val="20"/>
          <w:color w:val="auto"/>
        </w:rPr>
      </w:pPr>
      <w:r>
        <w:rPr>
          <w:rFonts w:ascii="Arial" w:cs="Arial" w:eastAsia="Arial" w:hAnsi="Arial"/>
          <w:sz w:val="16"/>
          <w:szCs w:val="16"/>
          <w:color w:val="auto"/>
        </w:rPr>
        <w:t>Our industrial business has been robust and demand for our products is steady. Nitric acid demand is stable as the demand impacts of high inflation in the U.S. has been offset by global producers shifting production from international facilities to their U.S. operations in order to take advantage of lower domestic input costs. Demand for AN for use in mining applications is robust due to attractive market fundamentals for quarrying and aggregate production and U.S. metals. While economic concerns persist for 2023, we believe that we have a meaningful degree of downside protection from the potential impacts of a recession given the nature of our contracts and our ability to shift our production mix to products where demand and pricing are strongest.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Fertilizer</w:t>
      </w:r>
    </w:p>
    <w:p>
      <w:pPr>
        <w:spacing w:after="0" w:line="1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6"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6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According to the April Report, farmers planted approximately 88.6 million acres of corn in 2022, down 5% compared to the 2021 planting season. In addition, the USDA estimates the U.S. ending stocks for the 2022 Harvest will be approximately 34 million metric tons, a 2.6% decrease from the 2021 Harvest. The USDA also lowered the expected yield for the 2022 Harvest, down approximately 2% from a year ago.</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April 2023 estimates are associated with the corn market: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2023 Crop</w:t>
            </w:r>
          </w:p>
        </w:tc>
        <w:tc>
          <w:tcPr>
            <w:tcW w:w="2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2022 Crop</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4"/>
              </w:rPr>
              <w:t>2021 Crop</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43"/>
        </w:trPr>
        <w:tc>
          <w:tcPr>
            <w:tcW w:w="35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(2022 Harvest)</w:t>
            </w:r>
          </w:p>
        </w:tc>
        <w:tc>
          <w:tcPr>
            <w:tcW w:w="2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6"/>
              </w:rPr>
              <w:t>(2021 Harvest)</w:t>
            </w:r>
          </w:p>
        </w:tc>
        <w:tc>
          <w:tcPr>
            <w:tcW w:w="220" w:type="dxa"/>
            <w:vAlign w:val="bottom"/>
          </w:tcPr>
          <w:p>
            <w:pPr>
              <w:spacing w:after="0"/>
              <w:rPr>
                <w:sz w:val="21"/>
                <w:szCs w:val="21"/>
                <w:color w:val="auto"/>
              </w:rPr>
            </w:pPr>
          </w:p>
        </w:tc>
        <w:tc>
          <w:tcPr>
            <w:tcW w:w="15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(2020 Harvest)</w:t>
            </w:r>
          </w:p>
        </w:tc>
        <w:tc>
          <w:tcPr>
            <w:tcW w:w="220" w:type="dxa"/>
            <w:vAlign w:val="bottom"/>
          </w:tcPr>
          <w:p>
            <w:pPr>
              <w:spacing w:after="0"/>
              <w:rPr>
                <w:sz w:val="21"/>
                <w:szCs w:val="21"/>
                <w:color w:val="auto"/>
              </w:rPr>
            </w:pPr>
          </w:p>
        </w:tc>
        <w:tc>
          <w:tcPr>
            <w:tcW w:w="14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Percentage</w:t>
            </w:r>
          </w:p>
        </w:tc>
      </w:tr>
      <w:tr>
        <w:trPr>
          <w:trHeight w:val="228"/>
        </w:trPr>
        <w:tc>
          <w:tcPr>
            <w:tcW w:w="354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April Report (1)</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Change (2)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8"/>
              </w:rPr>
              <w:t>April Report (1)</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Change (3)</w:t>
            </w:r>
          </w:p>
        </w:tc>
        <w:tc>
          <w:tcPr>
            <w:tcW w:w="200" w:type="dxa"/>
            <w:vAlign w:val="bottom"/>
          </w:tcPr>
          <w:p>
            <w:pPr>
              <w:spacing w:after="0"/>
              <w:rPr>
                <w:sz w:val="19"/>
                <w:szCs w:val="19"/>
                <w:color w:val="auto"/>
              </w:rPr>
            </w:pPr>
          </w:p>
        </w:tc>
      </w:tr>
      <w:tr>
        <w:trPr>
          <w:trHeight w:val="224"/>
        </w:trPr>
        <w:tc>
          <w:tcPr>
            <w:tcW w:w="3540" w:type="dxa"/>
            <w:vAlign w:val="bottom"/>
          </w:tcPr>
          <w:p>
            <w:pPr>
              <w:ind w:left="20"/>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460" w:type="dxa"/>
            <w:vAlign w:val="bottom"/>
          </w:tcPr>
          <w:p>
            <w:pPr>
              <w:jc w:val="right"/>
              <w:spacing w:after="0"/>
              <w:rPr>
                <w:sz w:val="20"/>
                <w:szCs w:val="20"/>
                <w:color w:val="auto"/>
              </w:rPr>
            </w:pPr>
            <w:r>
              <w:rPr>
                <w:rFonts w:ascii="Arial" w:cs="Arial" w:eastAsia="Arial" w:hAnsi="Arial"/>
                <w:sz w:val="18"/>
                <w:szCs w:val="18"/>
                <w:color w:val="auto"/>
              </w:rPr>
              <w:t>88.6</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460" w:type="dxa"/>
            <w:vAlign w:val="bottom"/>
          </w:tcPr>
          <w:p>
            <w:pPr>
              <w:jc w:val="right"/>
              <w:spacing w:after="0"/>
              <w:rPr>
                <w:sz w:val="20"/>
                <w:szCs w:val="20"/>
                <w:color w:val="auto"/>
              </w:rPr>
            </w:pPr>
            <w:r>
              <w:rPr>
                <w:rFonts w:ascii="Arial" w:cs="Arial" w:eastAsia="Arial" w:hAnsi="Arial"/>
                <w:sz w:val="18"/>
                <w:szCs w:val="18"/>
                <w:color w:val="auto"/>
              </w:rPr>
              <w:t>173.3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176.7</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(1.9 %)</w:t>
            </w:r>
          </w:p>
        </w:tc>
        <w:tc>
          <w:tcPr>
            <w:tcW w:w="1260" w:type="dxa"/>
            <w:vAlign w:val="bottom"/>
          </w:tcPr>
          <w:p>
            <w:pPr>
              <w:jc w:val="right"/>
              <w:spacing w:after="0"/>
              <w:rPr>
                <w:sz w:val="20"/>
                <w:szCs w:val="20"/>
                <w:color w:val="auto"/>
              </w:rPr>
            </w:pPr>
            <w:r>
              <w:rPr>
                <w:rFonts w:ascii="Arial" w:cs="Arial" w:eastAsia="Arial" w:hAnsi="Arial"/>
                <w:sz w:val="18"/>
                <w:szCs w:val="18"/>
                <w:color w:val="auto"/>
              </w:rPr>
              <w:t>171.4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460" w:type="dxa"/>
            <w:vAlign w:val="bottom"/>
          </w:tcPr>
          <w:p>
            <w:pPr>
              <w:jc w:val="right"/>
              <w:spacing w:after="0"/>
              <w:rPr>
                <w:sz w:val="20"/>
                <w:szCs w:val="20"/>
                <w:color w:val="auto"/>
              </w:rPr>
            </w:pPr>
            <w:r>
              <w:rPr>
                <w:rFonts w:ascii="Arial" w:cs="Arial" w:eastAsia="Arial" w:hAnsi="Arial"/>
                <w:sz w:val="18"/>
                <w:szCs w:val="18"/>
                <w:color w:val="auto"/>
              </w:rPr>
              <w:t>13,730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15,074</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(8.9 %)</w:t>
            </w:r>
          </w:p>
        </w:tc>
        <w:tc>
          <w:tcPr>
            <w:tcW w:w="1260" w:type="dxa"/>
            <w:vAlign w:val="bottom"/>
          </w:tcPr>
          <w:p>
            <w:pPr>
              <w:jc w:val="right"/>
              <w:spacing w:after="0"/>
              <w:rPr>
                <w:sz w:val="20"/>
                <w:szCs w:val="20"/>
                <w:color w:val="auto"/>
              </w:rPr>
            </w:pPr>
            <w:r>
              <w:rPr>
                <w:rFonts w:ascii="Arial" w:cs="Arial" w:eastAsia="Arial" w:hAnsi="Arial"/>
                <w:sz w:val="18"/>
                <w:szCs w:val="18"/>
                <w:color w:val="auto"/>
              </w:rPr>
              <w:t>14,111</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(2.6 %)</w:t>
            </w: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8.6 %</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460" w:type="dxa"/>
            <w:vAlign w:val="bottom"/>
          </w:tcPr>
          <w:p>
            <w:pPr>
              <w:jc w:val="right"/>
              <w:spacing w:after="0"/>
              <w:rPr>
                <w:sz w:val="20"/>
                <w:szCs w:val="20"/>
                <w:color w:val="auto"/>
              </w:rPr>
            </w:pPr>
            <w:r>
              <w:rPr>
                <w:rFonts w:ascii="Arial" w:cs="Arial" w:eastAsia="Arial" w:hAnsi="Arial"/>
                <w:sz w:val="18"/>
                <w:szCs w:val="18"/>
                <w:color w:val="auto"/>
              </w:rPr>
              <w:t>295.3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306.9</w:t>
            </w:r>
          </w:p>
        </w:tc>
        <w:tc>
          <w:tcPr>
            <w:tcW w:w="1740" w:type="dxa"/>
            <w:vAlign w:val="bottom"/>
            <w:gridSpan w:val="4"/>
          </w:tcPr>
          <w:p>
            <w:pPr>
              <w:jc w:val="right"/>
              <w:ind w:right="60"/>
              <w:spacing w:after="0"/>
              <w:rPr>
                <w:sz w:val="20"/>
                <w:szCs w:val="20"/>
                <w:color w:val="auto"/>
              </w:rPr>
            </w:pPr>
            <w:r>
              <w:rPr>
                <w:rFonts w:ascii="Arial" w:cs="Arial" w:eastAsia="Arial" w:hAnsi="Arial"/>
                <w:sz w:val="18"/>
                <w:szCs w:val="18"/>
                <w:color w:val="auto"/>
              </w:rPr>
              <w:t>(3.8 %)</w:t>
            </w:r>
          </w:p>
        </w:tc>
        <w:tc>
          <w:tcPr>
            <w:tcW w:w="1260" w:type="dxa"/>
            <w:vAlign w:val="bottom"/>
          </w:tcPr>
          <w:p>
            <w:pPr>
              <w:jc w:val="right"/>
              <w:spacing w:after="0"/>
              <w:rPr>
                <w:sz w:val="20"/>
                <w:szCs w:val="20"/>
                <w:color w:val="auto"/>
              </w:rPr>
            </w:pPr>
            <w:r>
              <w:rPr>
                <w:rFonts w:ascii="Arial" w:cs="Arial" w:eastAsia="Arial" w:hAnsi="Arial"/>
                <w:sz w:val="18"/>
                <w:szCs w:val="18"/>
                <w:color w:val="auto"/>
              </w:rPr>
              <w:t>292.8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left="760" w:right="10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obtained from WASDE report dated April 11, 2023 (“April Report”) for the 2022/2023 (“2023 Crop”), 2021/2022 (“2022 Crop”) and 2020/2021 (“2021 Crop”) corn marketing years. The marketing year is the twelve-month period during</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19" w:name="page20"/>
    <w:bookmarkEnd w:id="19"/>
    <w:p>
      <w:pPr>
        <w:ind w:left="760"/>
        <w:spacing w:after="0" w:line="258" w:lineRule="auto"/>
        <w:rPr>
          <w:sz w:val="20"/>
          <w:szCs w:val="20"/>
          <w:color w:val="auto"/>
        </w:rPr>
      </w:pPr>
      <w:r>
        <w:rPr>
          <w:rFonts w:ascii="Arial" w:cs="Arial" w:eastAsia="Arial" w:hAnsi="Arial"/>
          <w:sz w:val="18"/>
          <w:szCs w:val="18"/>
          <w:color w:val="auto"/>
        </w:rPr>
        <w:t>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1"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2022 Crop amounts.</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the percentage change between the 2023 Crop amounts compared to the 2021 Crop amounts.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current USDA corn outlook for the U.S. is for reductions to imports and food, seed, and industrial (FSI) use, with unchanged ending stocks. Corn imports were lowered 10 million bushels and feed and residual use was left unchanged. FSI was lowered 10 million bushels reflecting cuts to corn used for glucose and dextrose and starch. With supply and use falling by the same amount, ending stocks are unchanged. From a demand perspective, corn prices remain well above historical 5-year averages and remain significantly higher than $4 per bushel, the level that we believe represents a key threshold as it relates to favorable farmer economics.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 Products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industrial products sales volumes are dependent upon general economic conditions, primarily in the housing, automotive and paper industries. Demand for our industrial products has remained steady. Nitric acid demand is stable as the demand impacts of high inflation in the U.S. has been offset by global producers shifting production from international facilities to their U.S. operations in order to take advantage of lower domestic input costs. Our sales prices generally vary with the market price of ammonia or natural gas, as applicable, in our pricing arrangements with customers.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mining products are LDAN and AN solution, which are primarily used as AN fuel oil and specialty emulsions for usage in the quarry and the construction industries, for metals mining and to a lesser extent, for coal. Demand for AN for use in mining applications is solid due to attractive market fundamentals for quarrying and aggregate production and U.S. metals.</w:t>
      </w:r>
    </w:p>
    <w:p>
      <w:pPr>
        <w:spacing w:after="0" w:line="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economic concerns persist for 2023, we believe that for both our industrial and mining products we have a meaningful degree of downside protection from the potential impacts of a recession given the nature of our contracts and our ability to shift our production mix to products where demand and pricing are strongest.</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volume of natural gas we purchased and the average cost per MMBtu:</w:t>
      </w:r>
    </w:p>
    <w:p>
      <w:pPr>
        <w:spacing w:after="0" w:line="23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06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March 31,</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Natural gas average cost per MMBtu</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5.66</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4.74</w:t>
            </w:r>
          </w:p>
        </w:tc>
        <w:tc>
          <w:tcPr>
            <w:tcW w:w="8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-205105</wp:posOffset>
            </wp:positionV>
            <wp:extent cx="873125"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73125" cy="205740"/>
                    </a:xfrm>
                    <a:prstGeom prst="rect">
                      <a:avLst/>
                    </a:prstGeom>
                    <a:noFill/>
                  </pic:spPr>
                </pic:pic>
              </a:graphicData>
            </a:graphic>
          </wp:anchor>
        </w:drawing>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Costs for transporting nitrogen-based products can be significant relative to their selling price. We continue to evaluate the recent rising costs of freight domestically. As a result of increases in demand for available rail, truck and barge options to transport product, primarily during the spring and fall planting seasons, higher transportation costs have and could continue to impact our margins if we are unable to fully pass through these costs to our customers. Additionally, continued truck driver shortages could impact our ability to fulfill customer demand. As a result, we continue to evaluate supply chain efficiencies to reduce or counter the impact of higher logistics costs.</w:t>
      </w:r>
    </w:p>
    <w:p>
      <w:pPr>
        <w:spacing w:after="0" w:line="79"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cost absorption from lower production of our products and increased costs related to repairs and maintenance, which repair and maintenance costs are expensed as incurred.</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completing with the next ammonia plant Turnaround planned in the third quarter of 2024.</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El Dorado Facility completed its scheduled ammonia plant Turnaround during the third quarter of 2022. Our Pryor Facility completed its scheduled ammonia plant Turnaround during the fourth quarter of 2022. Our El Dorado Facility and our Pryor Facility are now on a three-year and two-year ammonia plant Turnaround cycle, respectively.</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 For 2023, we are targeting total ammonia production of approximately 830,000 tons to 850,000 tons.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First Quarter of 2023</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first quarter of 2023 were $181.0 million compared to $199.0 million for the same period in 2022. Our consolidated operating income for the first quarter of 2023 was $30.5 million compared to $80.0 million for the same period in 2022. The items impacting our operating results are discussed in more detail below and under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First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2023, average selling prices for our key products decreased compared to the first quarter of 2022. As discussed above under “Recent Business Developments,” declining European natural gas prices resulting in ammonia production costs in Europe declining substantially, translating into lower selling prices for ammonia and ammonia derivative fertilizers.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2023, average industrial selling prices for most of our products were also lower compared to the same period of 2022, primarily driven by the $478 per metric ton decrease in the Tampa Ammonia benchmark price, as many of our industrial contracts are indexed to the Tampa Ammonia benchmark price.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March 31, 2023 and 2022 and accompanying notes and the discussions under “Overview” and “Liquidity and Capital Resources” included in this MD&amp;A.</w:t>
      </w:r>
    </w:p>
    <w:p>
      <w:pPr>
        <w:spacing w:after="0" w:line="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the following information about our results of operations. Net sales to unaffiliated customers are reported in the condensed consolidated financial statements and gross profit represents net sales less cost of sales. Net sales are reported on a gross basis with the cost of freight being recorded in cost of sales.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left="2200"/>
        <w:spacing w:after="0"/>
        <w:rPr>
          <w:sz w:val="20"/>
          <w:szCs w:val="20"/>
          <w:color w:val="auto"/>
        </w:rPr>
      </w:pPr>
      <w:r>
        <w:rPr>
          <w:rFonts w:ascii="Arial" w:cs="Arial" w:eastAsia="Arial" w:hAnsi="Arial"/>
          <w:sz w:val="18"/>
          <w:szCs w:val="18"/>
          <w:b w:val="1"/>
          <w:bCs w:val="1"/>
          <w:u w:val="single" w:color="auto"/>
          <w:color w:val="auto"/>
        </w:rPr>
        <w:t>Three Months Ended March 31, 2023 Compared to Three Months Ended March 31,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6"/>
          </w:tcPr>
          <w:p>
            <w:pPr>
              <w:jc w:val="right"/>
              <w:ind w:right="87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4"/>
          </w:tcPr>
          <w:p>
            <w:pPr>
              <w:jc w:val="right"/>
              <w:ind w:right="30"/>
              <w:spacing w:after="0"/>
              <w:rPr>
                <w:sz w:val="20"/>
                <w:szCs w:val="20"/>
                <w:color w:val="auto"/>
              </w:rPr>
            </w:pPr>
            <w:r>
              <w:rPr>
                <w:rFonts w:ascii="Arial" w:cs="Arial" w:eastAsia="Arial" w:hAnsi="Arial"/>
                <w:sz w:val="18"/>
                <w:szCs w:val="18"/>
                <w:color w:val="auto"/>
              </w:rPr>
              <w:t>March 31,</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4"/>
          </w:tcPr>
          <w:p>
            <w:pPr>
              <w:jc w:val="right"/>
              <w:ind w:right="70"/>
              <w:spacing w:after="0"/>
              <w:rPr>
                <w:sz w:val="20"/>
                <w:szCs w:val="20"/>
                <w:color w:val="auto"/>
              </w:rPr>
            </w:pPr>
            <w:r>
              <w:rPr>
                <w:rFonts w:ascii="Arial" w:cs="Arial" w:eastAsia="Arial" w:hAnsi="Arial"/>
                <w:sz w:val="16"/>
                <w:szCs w:val="16"/>
                <w:color w:val="auto"/>
                <w:w w:val="93"/>
              </w:rPr>
              <w:t>(Dollars In Thousands)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AN &amp; Nitric Acid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58,272</w:t>
            </w:r>
          </w:p>
        </w:tc>
        <w:tc>
          <w:tcPr>
            <w:tcW w:w="220" w:type="dxa"/>
            <w:vAlign w:val="bottom"/>
          </w:tcPr>
          <w:p>
            <w:pPr>
              <w:spacing w:after="0"/>
              <w:rPr>
                <w:sz w:val="21"/>
                <w:szCs w:val="21"/>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71,800</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(13,528 )</w:t>
            </w:r>
          </w:p>
        </w:tc>
        <w:tc>
          <w:tcPr>
            <w:tcW w:w="0" w:type="dxa"/>
            <w:vAlign w:val="bottom"/>
          </w:tcPr>
          <w:p>
            <w:pPr>
              <w:spacing w:after="0"/>
              <w:rPr>
                <w:sz w:val="1"/>
                <w:szCs w:val="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Urea ammonium nitrate (UAN)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46,590</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56,569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(9,979 )</w:t>
            </w:r>
          </w:p>
        </w:tc>
        <w:tc>
          <w:tcPr>
            <w:tcW w:w="0" w:type="dxa"/>
            <w:vAlign w:val="bottom"/>
          </w:tcPr>
          <w:p>
            <w:pPr>
              <w:spacing w:after="0"/>
              <w:rPr>
                <w:sz w:val="1"/>
                <w:szCs w:val="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Ammonia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63,415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59,342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960" w:type="dxa"/>
            <w:vAlign w:val="bottom"/>
          </w:tcPr>
          <w:p>
            <w:pPr>
              <w:ind w:left="20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180,964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198,981</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(18,017</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59,015</w:t>
            </w:r>
          </w:p>
        </w:tc>
        <w:tc>
          <w:tcPr>
            <w:tcW w:w="220" w:type="dxa"/>
            <w:vAlign w:val="bottom"/>
          </w:tcPr>
          <w:p>
            <w:pPr>
              <w:spacing w:after="0"/>
              <w:rPr>
                <w:sz w:val="21"/>
                <w:szCs w:val="21"/>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110,418</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(51,403 )</w:t>
            </w:r>
          </w:p>
        </w:tc>
        <w:tc>
          <w:tcPr>
            <w:tcW w:w="0" w:type="dxa"/>
            <w:vAlign w:val="bottom"/>
          </w:tcPr>
          <w:p>
            <w:pPr>
              <w:spacing w:after="0"/>
              <w:rPr>
                <w:sz w:val="1"/>
                <w:szCs w:val="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80" w:type="dxa"/>
            <w:vAlign w:val="bottom"/>
          </w:tcPr>
          <w:p>
            <w:pPr>
              <w:spacing w:after="0"/>
              <w:rPr>
                <w:sz w:val="21"/>
                <w:szCs w:val="21"/>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(17,416 )</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(17,157 )</w:t>
            </w:r>
          </w:p>
        </w:tc>
        <w:tc>
          <w:tcPr>
            <w:tcW w:w="26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56"/>
        </w:trPr>
        <w:tc>
          <w:tcPr>
            <w:tcW w:w="4960" w:type="dxa"/>
            <w:vAlign w:val="bottom"/>
          </w:tcPr>
          <w:p>
            <w:pPr>
              <w:ind w:left="120"/>
              <w:spacing w:after="0"/>
              <w:rPr>
                <w:sz w:val="20"/>
                <w:szCs w:val="20"/>
                <w:color w:val="auto"/>
              </w:rPr>
            </w:pPr>
            <w:r>
              <w:rPr>
                <w:rFonts w:ascii="Arial" w:cs="Arial" w:eastAsia="Arial" w:hAnsi="Arial"/>
                <w:sz w:val="18"/>
                <w:szCs w:val="18"/>
                <w:color w:val="auto"/>
              </w:rPr>
              <w:t>Turnaround expense</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(2,531 )</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60" w:type="dxa"/>
            <w:vAlign w:val="bottom"/>
          </w:tcPr>
          <w:p>
            <w:pPr>
              <w:ind w:left="20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41,605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90,730</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(49,125</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9,867</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10,935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(1,068 )</w:t>
            </w:r>
          </w:p>
        </w:tc>
        <w:tc>
          <w:tcPr>
            <w:tcW w:w="0" w:type="dxa"/>
            <w:vAlign w:val="bottom"/>
          </w:tcPr>
          <w:p>
            <w:pPr>
              <w:spacing w:after="0"/>
              <w:rPr>
                <w:sz w:val="1"/>
                <w:szCs w:val="1"/>
                <w:color w:val="auto"/>
              </w:rPr>
            </w:pPr>
          </w:p>
        </w:tc>
      </w:tr>
      <w:tr>
        <w:trPr>
          <w:trHeight w:val="256"/>
        </w:trPr>
        <w:tc>
          <w:tcPr>
            <w:tcW w:w="49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(176 )</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960" w:type="dxa"/>
            <w:vAlign w:val="bottom"/>
          </w:tcPr>
          <w:p>
            <w:pPr>
              <w:ind w:left="12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30,535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79,971</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(49,436</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9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Non-operating other expense (income), net</w:t>
            </w:r>
          </w:p>
        </w:tc>
        <w:tc>
          <w:tcPr>
            <w:tcW w:w="280" w:type="dxa"/>
            <w:vAlign w:val="bottom"/>
          </w:tcPr>
          <w:p>
            <w:pPr>
              <w:spacing w:after="0"/>
              <w:rPr>
                <w:sz w:val="21"/>
                <w:szCs w:val="21"/>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(3,476 )</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(3,611 )</w:t>
            </w:r>
          </w:p>
        </w:tc>
        <w:tc>
          <w:tcPr>
            <w:tcW w:w="0" w:type="dxa"/>
            <w:vAlign w:val="bottom"/>
          </w:tcPr>
          <w:p>
            <w:pPr>
              <w:spacing w:after="0"/>
              <w:rPr>
                <w:sz w:val="1"/>
                <w:szCs w:val="1"/>
                <w:color w:val="auto"/>
              </w:rPr>
            </w:pPr>
          </w:p>
        </w:tc>
      </w:tr>
      <w:tr>
        <w:trPr>
          <w:trHeight w:val="256"/>
        </w:trPr>
        <w:tc>
          <w:tcPr>
            <w:tcW w:w="49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11,115</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(5,217 )</w:t>
            </w:r>
          </w:p>
        </w:tc>
        <w:tc>
          <w:tcPr>
            <w:tcW w:w="0" w:type="dxa"/>
            <w:vAlign w:val="bottom"/>
          </w:tcPr>
          <w:p>
            <w:pPr>
              <w:spacing w:after="0"/>
              <w:rPr>
                <w:sz w:val="1"/>
                <w:szCs w:val="1"/>
                <w:color w:val="auto"/>
              </w:rPr>
            </w:pPr>
          </w:p>
        </w:tc>
      </w:tr>
      <w:tr>
        <w:trPr>
          <w:trHeight w:val="236"/>
        </w:trPr>
        <w:tc>
          <w:tcPr>
            <w:tcW w:w="49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58,766</w:t>
            </w: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(42,865</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20"/>
              <w:spacing w:after="0"/>
              <w:rPr>
                <w:sz w:val="20"/>
                <w:szCs w:val="20"/>
                <w:color w:val="auto"/>
              </w:rPr>
            </w:pPr>
            <w:r>
              <w:rPr>
                <w:rFonts w:ascii="Arial" w:cs="Arial" w:eastAsia="Arial" w:hAnsi="Arial"/>
                <w:sz w:val="18"/>
                <w:szCs w:val="18"/>
                <w:color w:val="auto"/>
              </w:rPr>
              <w:t>Other information: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60" w:type="dxa"/>
            <w:vAlign w:val="bottom"/>
          </w:tcPr>
          <w:p>
            <w:pPr>
              <w:ind w:left="12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(3)</w:t>
            </w:r>
          </w:p>
        </w:tc>
        <w:tc>
          <w:tcPr>
            <w:tcW w:w="280" w:type="dxa"/>
            <w:vAlign w:val="bottom"/>
          </w:tcPr>
          <w:p>
            <w:pPr>
              <w:spacing w:after="0"/>
              <w:rPr>
                <w:sz w:val="22"/>
                <w:szCs w:val="22"/>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23.0 %</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45.6 %</w:t>
            </w:r>
          </w:p>
        </w:tc>
        <w:tc>
          <w:tcPr>
            <w:tcW w:w="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tcPr>
          <w:p>
            <w:pPr>
              <w:ind w:left="12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ind w:left="20"/>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tcPr>
          <w:p>
            <w:pPr>
              <w:ind w:left="120"/>
              <w:spacing w:after="0"/>
              <w:rPr>
                <w:sz w:val="20"/>
                <w:szCs w:val="20"/>
                <w:color w:val="auto"/>
              </w:rPr>
            </w:pPr>
            <w:r>
              <w:rPr>
                <w:rFonts w:ascii="Arial" w:cs="Arial" w:eastAsia="Arial" w:hAnsi="Arial"/>
                <w:sz w:val="18"/>
                <w:szCs w:val="18"/>
                <w:color w:val="auto"/>
              </w:rPr>
              <w:t>Property, plant and equipment expenditures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-3860800</wp:posOffset>
            </wp:positionV>
            <wp:extent cx="713232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-3552825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-3244215</wp:posOffset>
            </wp:positionV>
            <wp:extent cx="7132320" cy="496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965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-2593975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-2285365</wp:posOffset>
            </wp:positionV>
            <wp:extent cx="7132320" cy="4711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-1026795</wp:posOffset>
            </wp:positionV>
            <wp:extent cx="7132320" cy="488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883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3594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59410"/>
                    </a:xfrm>
                    <a:prstGeom prst="rect">
                      <a:avLst/>
                    </a:prstGeom>
                    <a:noFill/>
                  </pic:spPr>
                </pic:pic>
              </a:graphicData>
            </a:graphic>
          </wp:anchor>
        </w:drawing>
      </w:r>
    </w:p>
    <w:p>
      <w:pPr>
        <w:spacing w:after="0" w:line="11"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a non-GAAP measure since the amount excludes unallocated depreciation, amortization and Turnaround expenses.</w:t>
      </w:r>
    </w:p>
    <w:p>
      <w:pPr>
        <w:spacing w:after="0" w:line="33" w:lineRule="exact"/>
        <w:rPr>
          <w:rFonts w:ascii="Arial" w:cs="Arial" w:eastAsia="Arial" w:hAnsi="Arial"/>
          <w:sz w:val="15"/>
          <w:szCs w:val="15"/>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18" w:lineRule="exact"/>
        <w:rPr>
          <w:rFonts w:ascii="Arial" w:cs="Arial" w:eastAsia="Arial" w:hAnsi="Arial"/>
          <w:sz w:val="16"/>
          <w:szCs w:val="16"/>
          <w:color w:val="auto"/>
        </w:rPr>
      </w:pPr>
    </w:p>
    <w:p>
      <w:pPr>
        <w:ind w:left="760" w:hanging="378"/>
        <w:spacing w:after="0"/>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Percentage</w:t>
      </w:r>
    </w:p>
    <w:p>
      <w:pPr>
        <w:spacing w:after="0" w:line="7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wp:posOffset>
            </wp:positionV>
            <wp:extent cx="899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9916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(18 )%</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7 %</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13 %</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(9 )%</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(47 )%</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2 %</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(54 )%</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(10 %)</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(62 )%</w:t>
      </w:r>
    </w:p>
    <w:p>
      <w:pPr>
        <w:spacing w:after="0" w:line="3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23 %</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(47 )%</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73 %</w:t>
      </w:r>
    </w:p>
    <w:p>
      <w:pPr>
        <w:spacing w:after="0" w:line="2124" w:lineRule="exact"/>
        <w:rPr>
          <w:sz w:val="20"/>
          <w:szCs w:val="20"/>
          <w:color w:val="auto"/>
        </w:rPr>
      </w:pPr>
    </w:p>
    <w:p>
      <w:pPr>
        <w:sectPr>
          <w:pgSz w:w="11900" w:h="16838" w:orient="portrait"/>
          <w:cols w:equalWidth="0" w:num="2">
            <w:col w:w="9720" w:space="320"/>
            <w:col w:w="1300"/>
          </w:cols>
          <w:pgMar w:left="320" w:top="553" w:right="239" w:bottom="1032" w:gutter="0" w:footer="0" w:header="0"/>
        </w:sectPr>
      </w:pPr>
    </w:p>
    <w:p>
      <w:pPr>
        <w:spacing w:after="0"/>
        <w:rPr>
          <w:sz w:val="20"/>
          <w:szCs w:val="20"/>
          <w:color w:val="auto"/>
        </w:rPr>
      </w:pPr>
      <w:r>
        <w:rPr>
          <w:rFonts w:ascii="Arial" w:cs="Arial" w:eastAsia="Arial" w:hAnsi="Arial"/>
          <w:sz w:val="18"/>
          <w:szCs w:val="18"/>
          <w:color w:val="auto"/>
        </w:rPr>
        <w:t>The following tables provide key operating metrics for the fertilizer and major industrial and mining products: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7"/>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5"/>
          </w:tcPr>
          <w:p>
            <w:pPr>
              <w:jc w:val="center"/>
              <w:ind w:left="650"/>
              <w:spacing w:after="0"/>
              <w:rPr>
                <w:sz w:val="20"/>
                <w:szCs w:val="20"/>
                <w:color w:val="auto"/>
              </w:rPr>
            </w:pPr>
            <w:r>
              <w:rPr>
                <w:rFonts w:ascii="Arial" w:cs="Arial" w:eastAsia="Arial" w:hAnsi="Arial"/>
                <w:sz w:val="18"/>
                <w:szCs w:val="18"/>
                <w:color w:val="auto"/>
                <w:w w:val="92"/>
              </w:rPr>
              <w:t>March 31,</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gridSpan w:val="3"/>
          </w:tcPr>
          <w:p>
            <w:pPr>
              <w:jc w:val="right"/>
              <w:ind w:right="560"/>
              <w:spacing w:after="0"/>
              <w:rPr>
                <w:sz w:val="20"/>
                <w:szCs w:val="20"/>
                <w:color w:val="auto"/>
              </w:rPr>
            </w:pPr>
            <w:r>
              <w:rPr>
                <w:rFonts w:ascii="Arial" w:cs="Arial" w:eastAsia="Arial" w:hAnsi="Arial"/>
                <w:sz w:val="18"/>
                <w:szCs w:val="18"/>
                <w:color w:val="auto"/>
              </w:rPr>
              <w:t>Percentage</w:t>
            </w:r>
          </w:p>
        </w:tc>
      </w:tr>
      <w:tr>
        <w:trPr>
          <w:trHeight w:val="263"/>
        </w:trPr>
        <w:tc>
          <w:tcPr>
            <w:tcW w:w="20" w:type="dxa"/>
            <w:vAlign w:val="bottom"/>
          </w:tcPr>
          <w:p>
            <w:pPr>
              <w:spacing w:after="0"/>
              <w:rPr>
                <w:sz w:val="22"/>
                <w:szCs w:val="22"/>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Product (tons sold)</w:t>
            </w:r>
          </w:p>
        </w:tc>
        <w:tc>
          <w:tcPr>
            <w:tcW w:w="344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4"/>
          </w:tcPr>
          <w:p>
            <w:pPr>
              <w:ind w:left="180"/>
              <w:spacing w:after="0"/>
              <w:rPr>
                <w:sz w:val="20"/>
                <w:szCs w:val="20"/>
                <w:color w:val="auto"/>
              </w:rPr>
            </w:pPr>
            <w:r>
              <w:rPr>
                <w:rFonts w:ascii="Arial" w:cs="Arial" w:eastAsia="Arial" w:hAnsi="Arial"/>
                <w:sz w:val="18"/>
                <w:szCs w:val="18"/>
                <w:color w:val="auto"/>
              </w:rPr>
              <w:t>Change</w:t>
            </w:r>
          </w:p>
        </w:tc>
        <w:tc>
          <w:tcPr>
            <w:tcW w:w="1720" w:type="dxa"/>
            <w:vAlign w:val="bottom"/>
            <w:gridSpan w:val="3"/>
          </w:tcPr>
          <w:p>
            <w:pPr>
              <w:jc w:val="right"/>
              <w:ind w:right="680"/>
              <w:spacing w:after="0"/>
              <w:rPr>
                <w:sz w:val="20"/>
                <w:szCs w:val="20"/>
                <w:color w:val="auto"/>
              </w:rPr>
            </w:pPr>
            <w:r>
              <w:rPr>
                <w:rFonts w:ascii="Arial" w:cs="Arial" w:eastAsia="Arial" w:hAnsi="Arial"/>
                <w:sz w:val="18"/>
                <w:szCs w:val="18"/>
                <w:color w:val="auto"/>
              </w:rPr>
              <w:t>Change</w:t>
            </w:r>
          </w:p>
        </w:tc>
      </w:tr>
      <w:tr>
        <w:trPr>
          <w:trHeight w:val="217"/>
        </w:trPr>
        <w:tc>
          <w:tcPr>
            <w:tcW w:w="20" w:type="dxa"/>
            <w:vAlign w:val="bottom"/>
          </w:tcPr>
          <w:p>
            <w:pPr>
              <w:spacing w:after="0"/>
              <w:rPr>
                <w:sz w:val="18"/>
                <w:szCs w:val="18"/>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AN &amp; Nitric Acid</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122,745</w:t>
            </w: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144,517</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(21,772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20" w:type="dxa"/>
            <w:vAlign w:val="bottom"/>
          </w:tcPr>
          <w:p>
            <w:pPr>
              <w:spacing w:after="0"/>
              <w:rPr>
                <w:sz w:val="21"/>
                <w:szCs w:val="21"/>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Urea ammonium nitrate (UAN)</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113,026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100,153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12,873</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13 %</w:t>
            </w:r>
          </w:p>
        </w:tc>
      </w:tr>
      <w:tr>
        <w:trPr>
          <w:trHeight w:val="256"/>
        </w:trPr>
        <w:tc>
          <w:tcPr>
            <w:tcW w:w="20" w:type="dxa"/>
            <w:vAlign w:val="bottom"/>
          </w:tcPr>
          <w:p>
            <w:pPr>
              <w:spacing w:after="0"/>
              <w:rPr>
                <w:sz w:val="22"/>
                <w:szCs w:val="22"/>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Ammonia</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88,997</w:t>
            </w: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60,725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28,272</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47 %</w:t>
            </w:r>
          </w:p>
        </w:tc>
      </w:tr>
      <w:tr>
        <w:trPr>
          <w:trHeight w:val="236"/>
        </w:trPr>
        <w:tc>
          <w:tcPr>
            <w:tcW w:w="20" w:type="dxa"/>
            <w:vAlign w:val="bottom"/>
          </w:tcPr>
          <w:p>
            <w:pPr>
              <w:spacing w:after="0"/>
              <w:rPr>
                <w:sz w:val="20"/>
                <w:szCs w:val="20"/>
                <w:color w:val="auto"/>
              </w:rPr>
            </w:pPr>
          </w:p>
        </w:tc>
        <w:tc>
          <w:tcPr>
            <w:tcW w:w="454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324,768</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305,395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19,373</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6 %</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7"/>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March 31,</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Percentage</w:t>
            </w:r>
          </w:p>
        </w:tc>
      </w:tr>
      <w:tr>
        <w:trPr>
          <w:trHeight w:val="263"/>
        </w:trPr>
        <w:tc>
          <w:tcPr>
            <w:tcW w:w="20" w:type="dxa"/>
            <w:vAlign w:val="bottom"/>
          </w:tcPr>
          <w:p>
            <w:pPr>
              <w:spacing w:after="0"/>
              <w:rPr>
                <w:sz w:val="22"/>
                <w:szCs w:val="22"/>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4"/>
          </w:tcPr>
          <w:p>
            <w:pPr>
              <w:ind w:left="160"/>
              <w:spacing w:after="0"/>
              <w:rPr>
                <w:sz w:val="20"/>
                <w:szCs w:val="20"/>
                <w:color w:val="auto"/>
              </w:rPr>
            </w:pPr>
            <w:r>
              <w:rPr>
                <w:rFonts w:ascii="Arial" w:cs="Arial" w:eastAsia="Arial" w:hAnsi="Arial"/>
                <w:sz w:val="18"/>
                <w:szCs w:val="18"/>
                <w:color w:val="auto"/>
              </w:rPr>
              <w:t>Change</w:t>
            </w: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Change</w:t>
            </w:r>
          </w:p>
        </w:tc>
      </w:tr>
      <w:tr>
        <w:trPr>
          <w:trHeight w:val="217"/>
        </w:trPr>
        <w:tc>
          <w:tcPr>
            <w:tcW w:w="20" w:type="dxa"/>
            <w:vAlign w:val="bottom"/>
          </w:tcPr>
          <w:p>
            <w:pPr>
              <w:spacing w:after="0"/>
              <w:rPr>
                <w:sz w:val="18"/>
                <w:szCs w:val="18"/>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AN &amp; Nitric Acid</w:t>
            </w: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20" w:type="dxa"/>
            <w:vAlign w:val="bottom"/>
          </w:tcPr>
          <w:p>
            <w:pPr>
              <w:spacing w:after="0"/>
              <w:rPr>
                <w:sz w:val="21"/>
                <w:szCs w:val="21"/>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Urea ammonium nitrate (UAN)</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1"/>
                <w:szCs w:val="21"/>
                <w:color w:val="auto"/>
              </w:rPr>
            </w:pPr>
          </w:p>
        </w:tc>
        <w:tc>
          <w:tcPr>
            <w:tcW w:w="6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21"/>
                <w:szCs w:val="21"/>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0"/>
              <w:spacing w:after="0"/>
              <w:rPr>
                <w:sz w:val="20"/>
                <w:szCs w:val="20"/>
                <w:color w:val="auto"/>
              </w:rPr>
            </w:pPr>
            <w:r>
              <w:rPr>
                <w:rFonts w:ascii="Arial" w:cs="Arial" w:eastAsia="Arial" w:hAnsi="Arial"/>
                <w:sz w:val="18"/>
                <w:szCs w:val="18"/>
                <w:color w:val="auto"/>
              </w:rPr>
              <w:t>(153 )</w:t>
            </w:r>
          </w:p>
        </w:tc>
        <w:tc>
          <w:tcPr>
            <w:tcW w:w="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20" w:type="dxa"/>
            <w:vAlign w:val="bottom"/>
          </w:tcPr>
          <w:p>
            <w:pPr>
              <w:spacing w:after="0"/>
              <w:rPr>
                <w:sz w:val="21"/>
                <w:szCs w:val="21"/>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Ammonia</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713</w:t>
            </w:r>
          </w:p>
        </w:tc>
        <w:tc>
          <w:tcPr>
            <w:tcW w:w="40" w:type="dxa"/>
            <w:vAlign w:val="bottom"/>
          </w:tcPr>
          <w:p>
            <w:pPr>
              <w:spacing w:after="0"/>
              <w:rPr>
                <w:sz w:val="21"/>
                <w:szCs w:val="21"/>
                <w:color w:val="auto"/>
              </w:rPr>
            </w:pPr>
          </w:p>
        </w:tc>
        <w:tc>
          <w:tcPr>
            <w:tcW w:w="6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977</w:t>
            </w:r>
          </w:p>
        </w:tc>
        <w:tc>
          <w:tcPr>
            <w:tcW w:w="40" w:type="dxa"/>
            <w:vAlign w:val="bottom"/>
          </w:tcPr>
          <w:p>
            <w:pPr>
              <w:spacing w:after="0"/>
              <w:rPr>
                <w:sz w:val="21"/>
                <w:szCs w:val="21"/>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0"/>
              <w:spacing w:after="0"/>
              <w:rPr>
                <w:sz w:val="20"/>
                <w:szCs w:val="20"/>
                <w:color w:val="auto"/>
              </w:rPr>
            </w:pPr>
            <w:r>
              <w:rPr>
                <w:rFonts w:ascii="Arial" w:cs="Arial" w:eastAsia="Arial" w:hAnsi="Arial"/>
                <w:sz w:val="18"/>
                <w:szCs w:val="18"/>
                <w:color w:val="auto"/>
              </w:rPr>
              <w:t>(264 )</w:t>
            </w:r>
          </w:p>
        </w:tc>
        <w:tc>
          <w:tcPr>
            <w:tcW w:w="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(27 )%</w:t>
            </w:r>
          </w:p>
        </w:tc>
      </w:tr>
      <w:tr>
        <w:trPr>
          <w:trHeight w:val="45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7"/>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March 31,</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Percentage</w:t>
            </w:r>
          </w:p>
        </w:tc>
      </w:tr>
      <w:tr>
        <w:trPr>
          <w:trHeight w:val="263"/>
        </w:trPr>
        <w:tc>
          <w:tcPr>
            <w:tcW w:w="20" w:type="dxa"/>
            <w:vAlign w:val="bottom"/>
          </w:tcPr>
          <w:p>
            <w:pPr>
              <w:spacing w:after="0"/>
              <w:rPr>
                <w:sz w:val="22"/>
                <w:szCs w:val="22"/>
                <w:color w:val="auto"/>
              </w:rPr>
            </w:pPr>
          </w:p>
        </w:tc>
        <w:tc>
          <w:tcPr>
            <w:tcW w:w="4540" w:type="dxa"/>
            <w:vAlign w:val="bottom"/>
            <w:gridSpan w:val="4"/>
          </w:tcPr>
          <w:p>
            <w:pPr>
              <w:spacing w:after="0"/>
              <w:rPr>
                <w:sz w:val="20"/>
                <w:szCs w:val="20"/>
                <w:color w:val="auto"/>
              </w:rPr>
            </w:pPr>
            <w:r>
              <w:rPr>
                <w:rFonts w:ascii="Arial" w:cs="Arial" w:eastAsia="Arial" w:hAnsi="Arial"/>
                <w:sz w:val="14"/>
                <w:szCs w:val="14"/>
                <w:color w:val="auto"/>
              </w:rPr>
              <w:t>Average Benchmark Prices (price per ton)</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4"/>
          </w:tcPr>
          <w:p>
            <w:pPr>
              <w:ind w:left="160"/>
              <w:spacing w:after="0"/>
              <w:rPr>
                <w:sz w:val="20"/>
                <w:szCs w:val="20"/>
                <w:color w:val="auto"/>
              </w:rPr>
            </w:pPr>
            <w:r>
              <w:rPr>
                <w:rFonts w:ascii="Arial" w:cs="Arial" w:eastAsia="Arial" w:hAnsi="Arial"/>
                <w:sz w:val="18"/>
                <w:szCs w:val="18"/>
                <w:color w:val="auto"/>
              </w:rPr>
              <w:t>Change</w:t>
            </w:r>
          </w:p>
        </w:tc>
        <w:tc>
          <w:tcPr>
            <w:tcW w:w="172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Change</w:t>
            </w:r>
          </w:p>
        </w:tc>
      </w:tr>
      <w:tr>
        <w:trPr>
          <w:trHeight w:val="217"/>
        </w:trPr>
        <w:tc>
          <w:tcPr>
            <w:tcW w:w="20" w:type="dxa"/>
            <w:vAlign w:val="bottom"/>
          </w:tcPr>
          <w:p>
            <w:pPr>
              <w:spacing w:after="0"/>
              <w:rPr>
                <w:sz w:val="18"/>
                <w:szCs w:val="18"/>
                <w:color w:val="auto"/>
              </w:rPr>
            </w:pPr>
          </w:p>
        </w:tc>
        <w:tc>
          <w:tcPr>
            <w:tcW w:w="24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5"/>
              </w:rPr>
              <w:t>Tampa Ammonia Benchmark</w:t>
            </w:r>
          </w:p>
        </w:tc>
        <w:tc>
          <w:tcPr>
            <w:tcW w:w="21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1"/>
              </w:rPr>
              <w:t>)%</w:t>
            </w:r>
          </w:p>
        </w:tc>
      </w:tr>
      <w:tr>
        <w:trPr>
          <w:trHeight w:val="242"/>
        </w:trPr>
        <w:tc>
          <w:tcPr>
            <w:tcW w:w="20" w:type="dxa"/>
            <w:vAlign w:val="bottom"/>
          </w:tcPr>
          <w:p>
            <w:pPr>
              <w:spacing w:after="0"/>
              <w:rPr>
                <w:sz w:val="21"/>
                <w:szCs w:val="21"/>
                <w:color w:val="auto"/>
              </w:rPr>
            </w:pPr>
          </w:p>
        </w:tc>
        <w:tc>
          <w:tcPr>
            <w:tcW w:w="4540" w:type="dxa"/>
            <w:vAlign w:val="bottom"/>
            <w:gridSpan w:val="4"/>
          </w:tcPr>
          <w:p>
            <w:pPr>
              <w:ind w:left="180"/>
              <w:spacing w:after="0"/>
              <w:rPr>
                <w:sz w:val="20"/>
                <w:szCs w:val="20"/>
                <w:color w:val="auto"/>
              </w:rPr>
            </w:pPr>
            <w:r>
              <w:rPr>
                <w:rFonts w:ascii="Arial" w:cs="Arial" w:eastAsia="Arial" w:hAnsi="Arial"/>
                <w:sz w:val="18"/>
                <w:szCs w:val="18"/>
                <w:color w:val="auto"/>
              </w:rPr>
              <w:t>NOLA UAN</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1"/>
                <w:szCs w:val="21"/>
                <w:color w:val="auto"/>
              </w:rPr>
            </w:pPr>
          </w:p>
        </w:tc>
        <w:tc>
          <w:tcPr>
            <w:tcW w:w="6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21"/>
                <w:szCs w:val="21"/>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50"/>
              <w:spacing w:after="0"/>
              <w:rPr>
                <w:sz w:val="20"/>
                <w:szCs w:val="20"/>
                <w:color w:val="auto"/>
              </w:rPr>
            </w:pPr>
            <w:r>
              <w:rPr>
                <w:rFonts w:ascii="Arial" w:cs="Arial" w:eastAsia="Arial" w:hAnsi="Arial"/>
                <w:sz w:val="18"/>
                <w:szCs w:val="18"/>
                <w:color w:val="auto"/>
              </w:rPr>
              <w:t>(251 )</w:t>
            </w:r>
          </w:p>
        </w:tc>
        <w:tc>
          <w:tcPr>
            <w:tcW w:w="6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(44 )%</w:t>
            </w:r>
          </w:p>
        </w:tc>
      </w:tr>
      <w:tr>
        <w:trPr>
          <w:trHeight w:val="66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-3133090</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-2825115</wp:posOffset>
            </wp:positionV>
            <wp:extent cx="7132320" cy="342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422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-1874520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-1566545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553" w:right="239" w:bottom="1032"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of our primary products decreased during the first quarter of 2023 compared to the prior year period driven by the impact of lower selling prices relative to the first quarter of 2022 for all of our products. Partially offsetting weaker pricing was an increase in sales volume of ammonia driven largely by stronger production at our facilities, reflecting the investments made in plant reliability over the past several years.</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Demand for our industrial and mining products remains strong despite growing global recessionary forces. Our contractual agreements with industrial customers that specify minimum volumes and our product mix flexibility helps us mitigate the impact of a reduction in demand from certain end markets by shifting production to products with stronger demand.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the table above, we recognized a gross profit of $41.6 million for the first quarter of 2023 compared to $90.7 million for the same period in 2022, or a $49.1 million reduction. Overall, our gross profit percentage was 23.0% compared to 45.6% for the same period in 2022. Our adjusted gross profit percentage decreased to 32.6% for the first quarter of 2023 from 55.5% for the first quarter of 2022.</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decrease in gross profit was primarily driven by lower sales prices for our products partially offset by higher sales volumes of our ammonia and UAN products. Gross profit was also negatively impacted by higher overall average natural gas costs, both in our beginning inventory and inventory produced during the first quarter of 2023 which averaged $5.66 per MMBtu for 2023 as compared to $4.74 per MMBtu for 2022.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SG&amp;A expenses were $9.9 million for the first quarter of 2023, a decrease of $1.1 million compared to the same period in 2022. The net decrease was primarily driven by approximately $2.4 million of expense relating to nonrecurring transaction fees incurred and other professional fees during the first quarter of 2022 partially offset by a $1.3 million increase in payroll related expense for the first quarter of 2023.</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Expense (Income),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incurred during the first quarter of 2023 primarily relates to losses incurred on the disposal of assets.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Interest expense for the first quarter of 2023 was $12.2 million compared to $10.0 million for the same period of 2022. The increase relates to the issuance of $200 million of 6.25% Senior Secured Notes during March of 2022 which were outstanding during the entire first quarter of 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income for the first quarter of 2023 was $3.5 million primarily relating to interest income from our short-term investments. Non-operating other expense was minimal for the first quarter of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provision for income taxes for the first quarter of 2023 was $5.9 million compared to $11.1 million for the same period of 2022. The resulting effective tax rate for the first quarter of 2023 was 27.1% compared to 15.9% for the same period of 2022. For the first quarter of 2023, the effective tax rate is greater than the statutory rate primarily due to the impact of state taxes including state valuation allowances on certain newly generated state tax attributes. For the first quarter of 2022 the effective tax rate was lower than the statutory rate primarily due to the impact of the valuation allowances. See discussion in Note 7.</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three months ended March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6"/>
        </w:trPr>
        <w:tc>
          <w:tcPr>
            <w:tcW w:w="58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6"/>
                <w:szCs w:val="16"/>
                <w:color w:val="auto"/>
                <w:w w:val="96"/>
              </w:rPr>
              <w:t>(In Thousands)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92"/>
        </w:trPr>
        <w:tc>
          <w:tcPr>
            <w:tcW w:w="580" w:type="dxa"/>
            <w:vAlign w:val="bottom"/>
          </w:tcPr>
          <w:p>
            <w:pPr>
              <w:spacing w:after="0"/>
              <w:rPr>
                <w:sz w:val="24"/>
                <w:szCs w:val="24"/>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00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59,247</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85,492</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(26,245 )</w:t>
            </w:r>
          </w:p>
        </w:tc>
        <w:tc>
          <w:tcPr>
            <w:tcW w:w="560" w:type="dxa"/>
            <w:vAlign w:val="bottom"/>
          </w:tcPr>
          <w:p>
            <w:pPr>
              <w:spacing w:after="0"/>
              <w:rPr>
                <w:sz w:val="24"/>
                <w:szCs w:val="24"/>
                <w:color w:val="auto"/>
              </w:rPr>
            </w:pPr>
          </w:p>
        </w:tc>
      </w:tr>
      <w:tr>
        <w:trPr>
          <w:trHeight w:val="237"/>
        </w:trPr>
        <w:tc>
          <w:tcPr>
            <w:tcW w:w="580" w:type="dxa"/>
            <w:vAlign w:val="bottom"/>
          </w:tcPr>
          <w:p>
            <w:pPr>
              <w:spacing w:after="0"/>
              <w:rPr>
                <w:sz w:val="20"/>
                <w:szCs w:val="20"/>
                <w:color w:val="auto"/>
              </w:rPr>
            </w:pPr>
          </w:p>
        </w:tc>
        <w:tc>
          <w:tcPr>
            <w:tcW w:w="3920" w:type="dxa"/>
            <w:vAlign w:val="bottom"/>
            <w:tcBorders>
              <w:top w:val="single" w:sz="8" w:color="CFF0FC"/>
            </w:tcBorders>
          </w:tcPr>
          <w:p>
            <w:pPr>
              <w:spacing w:after="0"/>
              <w:rPr>
                <w:sz w:val="20"/>
                <w:szCs w:val="20"/>
                <w:color w:val="auto"/>
              </w:rPr>
            </w:pPr>
          </w:p>
        </w:tc>
        <w:tc>
          <w:tcPr>
            <w:tcW w:w="20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r>
      <w:tr>
        <w:trPr>
          <w:trHeight w:val="283"/>
        </w:trPr>
        <w:tc>
          <w:tcPr>
            <w:tcW w:w="580" w:type="dxa"/>
            <w:vAlign w:val="bottom"/>
          </w:tcPr>
          <w:p>
            <w:pPr>
              <w:spacing w:after="0"/>
              <w:rPr>
                <w:sz w:val="24"/>
                <w:szCs w:val="24"/>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00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(63,379 )</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(97,514 )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34,135</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tcPr>
          <w:p>
            <w:pPr>
              <w:spacing w:after="0"/>
              <w:rPr>
                <w:sz w:val="19"/>
                <w:szCs w:val="19"/>
                <w:color w:val="auto"/>
              </w:rPr>
            </w:pPr>
          </w:p>
        </w:tc>
        <w:tc>
          <w:tcPr>
            <w:tcW w:w="200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83"/>
        </w:trPr>
        <w:tc>
          <w:tcPr>
            <w:tcW w:w="580" w:type="dxa"/>
            <w:vAlign w:val="bottom"/>
          </w:tcPr>
          <w:p>
            <w:pPr>
              <w:spacing w:after="0"/>
              <w:rPr>
                <w:sz w:val="24"/>
                <w:szCs w:val="24"/>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(10,688 )</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184,177</w:t>
            </w: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(194,865 )</w:t>
            </w: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3920" w:type="dxa"/>
            <w:vAlign w:val="bottom"/>
            <w:tcBorders>
              <w:top w:val="single" w:sz="8" w:color="CFF0FC"/>
            </w:tcBorders>
          </w:tcPr>
          <w:p>
            <w:pPr>
              <w:spacing w:after="0"/>
              <w:rPr>
                <w:sz w:val="24"/>
                <w:szCs w:val="24"/>
                <w:color w:val="auto"/>
              </w:rPr>
            </w:pPr>
          </w:p>
        </w:tc>
        <w:tc>
          <w:tcPr>
            <w:tcW w:w="2000" w:type="dxa"/>
            <w:vAlign w:val="bottom"/>
            <w:tcBorders>
              <w:top w:val="single" w:sz="8" w:color="CFF0FC"/>
            </w:tcBorders>
          </w:tcPr>
          <w:p>
            <w:pPr>
              <w:jc w:val="right"/>
              <w:ind w:right="690"/>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20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-1198245</wp:posOffset>
            </wp:positionV>
            <wp:extent cx="187515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75155" cy="18859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-855345</wp:posOffset>
            </wp:positionV>
            <wp:extent cx="1875155" cy="1797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75155" cy="17970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-521970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-504825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-521970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-504825</wp:posOffset>
            </wp:positionV>
            <wp:extent cx="59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-521970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-504825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$59.2 million for the first three months of 2023 compared to $85.5 million for the same period of 2022, a change of $26.2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three months of 2023, the net cash provided is the result of net income of $15.9 million plus adjustments of $17.4 million for depreciation and amortization of PP&amp;E, $5.6 million for deferred taxes, other adjustments of $1.9 million and cash provided of $18.4 million primarily from our working capital.</w:t>
      </w:r>
    </w:p>
    <w:p>
      <w:pPr>
        <w:spacing w:after="0" w:line="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2022, the net cash provided is the result of net income of $58.8 million plus adjustments of $17.2 million for depreciation and amortization of PP&amp;E, $10.8 million for deferred taxes and other adjustments of $1.7 million and net cash used of $3.0 million primarily from our working capital.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by investing activities was $63.4 million for the first three months of 2023 compared to $97.5 million for the same period of 2022, a change of $34.1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three months of 2023, the net cash used primarily relates purchases of short-term investments of $133.7 million and expenditures for PP&amp;E of $18.4 million, partially offset by proceeds from short-term investments of $88.7 million.</w:t>
      </w:r>
    </w:p>
    <w:p>
      <w:pPr>
        <w:spacing w:after="0" w:line="62" w:lineRule="exact"/>
        <w:rPr>
          <w:sz w:val="20"/>
          <w:szCs w:val="20"/>
          <w:color w:val="auto"/>
        </w:rPr>
      </w:pPr>
    </w:p>
    <w:p>
      <w:pPr>
        <w:ind w:right="780"/>
        <w:spacing w:after="0" w:line="375" w:lineRule="auto"/>
        <w:rPr>
          <w:sz w:val="20"/>
          <w:szCs w:val="20"/>
          <w:color w:val="auto"/>
        </w:rPr>
      </w:pPr>
      <w:r>
        <w:rPr>
          <w:rFonts w:ascii="Arial" w:cs="Arial" w:eastAsia="Arial" w:hAnsi="Arial"/>
          <w:sz w:val="18"/>
          <w:szCs w:val="18"/>
          <w:color w:val="auto"/>
        </w:rPr>
        <w:t xml:space="preserve">For the first quarter of 2022, the net cash used primarily relates purchases of short-term investments of $89.3 million and expenditures for PP&amp;E. </w:t>
      </w:r>
      <w:r>
        <w:rPr>
          <w:rFonts w:ascii="Arial" w:cs="Arial" w:eastAsia="Arial" w:hAnsi="Arial"/>
          <w:sz w:val="18"/>
          <w:szCs w:val="18"/>
          <w:b w:val="1"/>
          <w:bCs w:val="1"/>
          <w:u w:val="single" w:color="auto"/>
          <w:color w:val="auto"/>
        </w:rPr>
        <w:t>Net Cash Flow from Financing Activities</w:t>
      </w:r>
    </w:p>
    <w:p>
      <w:pPr>
        <w:jc w:val="both"/>
        <w:spacing w:after="0" w:line="277" w:lineRule="auto"/>
        <w:rPr>
          <w:sz w:val="20"/>
          <w:szCs w:val="20"/>
          <w:color w:val="auto"/>
        </w:rPr>
      </w:pPr>
      <w:r>
        <w:rPr>
          <w:rFonts w:ascii="Arial" w:cs="Arial" w:eastAsia="Arial" w:hAnsi="Arial"/>
          <w:sz w:val="18"/>
          <w:szCs w:val="18"/>
          <w:color w:val="auto"/>
        </w:rPr>
        <w:t>Net cash used by financing activities was $10.7 million for the first three months of 2023 compared to net cash provided of $184.2 million for the same period of 2022, a change of $194.9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three months of 2023, the net cash used primarily consists of payments on other long-term debt and short-term financing of $8.2 million and payments of $2.5 million for other financing activities.</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2022, the net cash provided primarily consists of proceeds of $200 million from the New Notes partially offset by payments on other long-term debt and short-term financing of $9.7 million, payments of $4.1 million for equity and debt-related cost and $2.0 million for other financing activities.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short-term investments, long-term debt and stockholders’ equity:</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50"/>
        </w:trPr>
        <w:tc>
          <w:tcPr>
            <w:tcW w:w="6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5"/>
          </w:tcPr>
          <w:p>
            <w:pPr>
              <w:jc w:val="right"/>
              <w:ind w:right="120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86"/>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8"/>
                <w:szCs w:val="18"/>
                <w:color w:val="auto"/>
              </w:rPr>
              <w:t>Total cash, cash equivalents and short-term investments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Working Capital Revolver Loan</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 xml:space="preserve">Senior Secured Notes due 2028 </w:t>
            </w:r>
            <w:r>
              <w:rPr>
                <w:rFonts w:ascii="Arial" w:cs="Arial" w:eastAsia="Arial" w:hAnsi="Arial"/>
                <w:sz w:val="14"/>
                <w:szCs w:val="14"/>
                <w:color w:val="auto"/>
              </w:rPr>
              <w:t>(1)</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Secured Financing due 2023</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Secured Financing due 2025</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60" w:type="dxa"/>
            <w:vAlign w:val="bottom"/>
          </w:tcPr>
          <w:p>
            <w:pPr>
              <w:ind w:left="18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(11.8 )</w:t>
            </w: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76"/>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 including current portion,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-1968500</wp:posOffset>
            </wp:positionV>
            <wp:extent cx="1104265"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4265" cy="17970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-1634490</wp:posOffset>
            </wp:positionV>
            <wp:extent cx="59690" cy="3422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34226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-1634490</wp:posOffset>
            </wp:positionV>
            <wp:extent cx="59690" cy="3422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34226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-205105</wp:posOffset>
            </wp:positionV>
            <wp:extent cx="1104265" cy="205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04265" cy="205740"/>
                    </a:xfrm>
                    <a:prstGeom prst="rect">
                      <a:avLst/>
                    </a:prstGeom>
                    <a:noFill/>
                  </pic:spPr>
                </pic:pic>
              </a:graphicData>
            </a:graphic>
          </wp:anchor>
        </w:drawing>
      </w:r>
    </w:p>
    <w:p>
      <w:pPr>
        <w:spacing w:after="0" w:line="74"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discussion contained in Note 4.</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March 31, 2023, our Working Capital Revolver Loan was undrawn and had approximately $62.3 million of availability.</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full year of 2023, we expect capital expenditures to be approximately $60 million to $80 million. This capital spending is primarily planned for reliability and maintenance capital projects.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242424"/>
        </w:rPr>
        <w:t>From time to time, when the Company exceeds the funding threshold in our natural gas purchase commitments the Company is required to fund cash collateral to our counterparty.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short-term investments, the availability on our revolving credit facility and our cash flow from operations will be sufficient to fund our anticipated liquidity needs for the next twelve months.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2023, we have approximately $426 million of cash and short-term investments. From time to time, we may seek to deploy capital through additional share repurchases or the retirement or purchase of outstanding debt. Such repurchases may be made in open market purchases, privately negotiated transactions or otherwise and will depend on prevailing market conditions, our liquidity requirements, contractual restrictions and other factors. The amounts involved may be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4, the Working Capital Revolver Loan requires, among other things, that we meet certain financial covenants. The Working Capital Revolver Loan does not include financial covenant requirements unless a defined covenant trigger event has occurred and is continuing. As of March 31, 2023, no trigger event had occurred.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 xml:space="preserve">Senior Secured Notes due 2028 – </w:t>
      </w:r>
      <w:r>
        <w:rPr>
          <w:rFonts w:ascii="Arial" w:cs="Arial" w:eastAsia="Arial" w:hAnsi="Arial"/>
          <w:sz w:val="18"/>
          <w:szCs w:val="18"/>
          <w:color w:val="auto"/>
        </w:rPr>
        <w:t>LSB has $700 million aggregate principal amount of the 6.25% Senior Secured Notes currently outstanding. Interest is</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paid semiannually in arrears on May 15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and October 15</w:t>
      </w:r>
      <w:r>
        <w:rPr>
          <w:rFonts w:ascii="Arial" w:cs="Arial" w:eastAsia="Arial" w:hAnsi="Arial"/>
          <w:sz w:val="20"/>
          <w:szCs w:val="20"/>
          <w:color w:val="auto"/>
          <w:vertAlign w:val="superscript"/>
        </w:rPr>
        <w:t>th</w:t>
      </w:r>
      <w:r>
        <w:rPr>
          <w:rFonts w:ascii="Arial" w:cs="Arial" w:eastAsia="Arial" w:hAnsi="Arial"/>
          <w:sz w:val="18"/>
          <w:szCs w:val="18"/>
          <w:color w:val="auto"/>
        </w:rPr>
        <w:t>, maturing October 15, 2028.</w:t>
      </w:r>
    </w:p>
    <w:p>
      <w:pPr>
        <w:jc w:val="both"/>
        <w:spacing w:after="0" w:line="346" w:lineRule="auto"/>
        <w:rPr>
          <w:sz w:val="20"/>
          <w:szCs w:val="20"/>
          <w:color w:val="auto"/>
        </w:rPr>
      </w:pPr>
      <w:r>
        <w:rPr>
          <w:rFonts w:ascii="Arial" w:cs="Arial" w:eastAsia="Arial" w:hAnsi="Arial"/>
          <w:sz w:val="16"/>
          <w:szCs w:val="16"/>
          <w:b w:val="1"/>
          <w:bCs w:val="1"/>
          <w:color w:val="auto"/>
        </w:rPr>
        <w:t xml:space="preserve">Secured Financing due 2023 – </w:t>
      </w:r>
      <w:r>
        <w:rPr>
          <w:rFonts w:ascii="Arial" w:cs="Arial" w:eastAsia="Arial" w:hAnsi="Arial"/>
          <w:sz w:val="16"/>
          <w:szCs w:val="16"/>
          <w:color w:val="auto"/>
        </w:rPr>
        <w:t>EDC is party to a secured financing arrangement with an affiliate of Eldridge. Principal and interest are payable in 48 equal</w:t>
      </w:r>
      <w:r>
        <w:rPr>
          <w:rFonts w:ascii="Arial" w:cs="Arial" w:eastAsia="Arial" w:hAnsi="Arial"/>
          <w:sz w:val="16"/>
          <w:szCs w:val="16"/>
          <w:b w:val="1"/>
          <w:bCs w:val="1"/>
          <w:color w:val="auto"/>
        </w:rPr>
        <w:t xml:space="preserve"> </w:t>
      </w:r>
      <w:r>
        <w:rPr>
          <w:rFonts w:ascii="Arial" w:cs="Arial" w:eastAsia="Arial" w:hAnsi="Arial"/>
          <w:sz w:val="16"/>
          <w:szCs w:val="16"/>
          <w:color w:val="auto"/>
        </w:rPr>
        <w:t>monthly installments with a final balloon payment of approximately $3 million due in June 2023. The final balloon payment was repaid in April 2023.</w:t>
      </w:r>
    </w:p>
    <w:p>
      <w:pPr>
        <w:spacing w:after="0" w:line="9"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Eldridge.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March 31, 2023, our Working Capital Revolver Loan was undrawn and had approximately $62.3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Quarter 2023</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2023, capital expenditures relating to PP&amp;E were $18.4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subject to specific federal and state environmental compliance laws, regulations and guidelines. As a result, our expenses were $1.1 million for the first quarter of 2023 in connection with environmental projects. For the remainder of 2023, we expect to incur expenses ranging from $3.1 million to $3.5 million in connection with additional environmental projects. However, it is possible that the actual costs could be significantly different than our estimates.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fertilizer products sold to the fertilizer industry are seasonal, while sales into the industrial and mining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fertilizer markets depend upon weather conditions and other circumstances beyond our control.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2023, we have agreed to indemnify the sureties for payments, up to $9.7 million, made by them in respect of such bonds. These insurance bonds are expected to expire or be renewed later in 2023-2024.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See “Critical Accounting Policies and Estimates,” Item 7 of our 2022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Income taxes are accounted for under the asset and liability method. Deferred tax assets and liabilities are measured using enacted tax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March 31, 2023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March 31, 2023, we had no embedded losses associated with sales commitments with firm sales prices.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2023, we had no outstanding natural gas contracts which are accounted for on a mark-to-market basis.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March 31, 2023, we had no outstanding borrowings on this credit facility and no other variable rate borrowings. We currently do not hedge our interest rate risk associated with our variable interest loan.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2023. Based on this evaluation, the Company's Chief Executive Officer and Chief Financial Officer have concluded that the Company's disclosure controls and procedures were effective as of March 31, 2023, at the reasonable assurance level. There were no changes to our internal control over financial reporting (as such term is defined in Rules 13a-15(f) and 15d-15(f) under the Securities Exchange Act of 1934) during the quarter ended March 31, 2023, that have materially affected, or are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4"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the best returns for our stockholders;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current nitrogen expansion projects;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0"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60" w:hanging="378"/>
        <w:spacing w:after="0" w:line="27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output and capacity of our existing production facilities;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the ongoing COVID-19 pandemic and related response; and</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of increases in prices of raw materials;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or in the interpretation of such laws and regulations;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cost to maintain internal controls over financial reporting;</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increases resulting from increased inflation;</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conditions, including the effects of climate change;</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imported agricultural products;</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supply chain disruptions;</w:t>
      </w:r>
    </w:p>
    <w:p>
      <w:pPr>
        <w:spacing w:after="0" w:line="35"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4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2022.</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ADEQ</w:t>
            </w:r>
          </w:p>
        </w:tc>
        <w:tc>
          <w:tcPr>
            <w:tcW w:w="8400" w:type="dxa"/>
            <w:vAlign w:val="bottom"/>
          </w:tcPr>
          <w:p>
            <w:pPr>
              <w:ind w:left="340"/>
              <w:spacing w:after="0"/>
              <w:rPr>
                <w:sz w:val="20"/>
                <w:szCs w:val="20"/>
                <w:color w:val="auto"/>
              </w:rPr>
            </w:pPr>
            <w:r>
              <w:rPr>
                <w:rFonts w:ascii="Arial" w:cs="Arial" w:eastAsia="Arial" w:hAnsi="Arial"/>
                <w:sz w:val="18"/>
                <w:szCs w:val="18"/>
                <w:color w:val="auto"/>
              </w:rPr>
              <w:t>- The Arkansas Department of Environmental Quality.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AN</w:t>
            </w:r>
          </w:p>
        </w:tc>
        <w:tc>
          <w:tcPr>
            <w:tcW w:w="8400" w:type="dxa"/>
            <w:vAlign w:val="bottom"/>
          </w:tcPr>
          <w:p>
            <w:pPr>
              <w:ind w:left="340"/>
              <w:spacing w:after="0"/>
              <w:rPr>
                <w:sz w:val="20"/>
                <w:szCs w:val="20"/>
                <w:color w:val="auto"/>
              </w:rPr>
            </w:pPr>
            <w:r>
              <w:rPr>
                <w:rFonts w:ascii="Arial" w:cs="Arial" w:eastAsia="Arial" w:hAnsi="Arial"/>
                <w:sz w:val="18"/>
                <w:szCs w:val="18"/>
                <w:color w:val="auto"/>
              </w:rPr>
              <w:t>- Ammonium nitrate.</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ASU</w:t>
            </w:r>
          </w:p>
        </w:tc>
        <w:tc>
          <w:tcPr>
            <w:tcW w:w="8400" w:type="dxa"/>
            <w:vAlign w:val="bottom"/>
          </w:tcPr>
          <w:p>
            <w:pPr>
              <w:ind w:left="340"/>
              <w:spacing w:after="0"/>
              <w:rPr>
                <w:sz w:val="20"/>
                <w:szCs w:val="20"/>
                <w:color w:val="auto"/>
              </w:rPr>
            </w:pPr>
            <w:r>
              <w:rPr>
                <w:rFonts w:ascii="Arial" w:cs="Arial" w:eastAsia="Arial" w:hAnsi="Arial"/>
                <w:sz w:val="18"/>
                <w:szCs w:val="18"/>
                <w:color w:val="auto"/>
              </w:rPr>
              <w:t>- Accounting Standard Update.</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CAO</w:t>
            </w:r>
          </w:p>
        </w:tc>
        <w:tc>
          <w:tcPr>
            <w:tcW w:w="8400" w:type="dxa"/>
            <w:vAlign w:val="bottom"/>
          </w:tcPr>
          <w:p>
            <w:pPr>
              <w:ind w:left="340"/>
              <w:spacing w:after="0"/>
              <w:rPr>
                <w:sz w:val="20"/>
                <w:szCs w:val="20"/>
                <w:color w:val="auto"/>
              </w:rPr>
            </w:pPr>
            <w:r>
              <w:rPr>
                <w:rFonts w:ascii="Arial" w:cs="Arial" w:eastAsia="Arial" w:hAnsi="Arial"/>
                <w:sz w:val="18"/>
                <w:szCs w:val="18"/>
                <w:color w:val="auto"/>
              </w:rPr>
              <w:t>- A consent administrative order.</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Cherokee Facility</w:t>
            </w:r>
          </w:p>
        </w:tc>
        <w:tc>
          <w:tcPr>
            <w:tcW w:w="8400" w:type="dxa"/>
            <w:vAlign w:val="bottom"/>
          </w:tcPr>
          <w:p>
            <w:pPr>
              <w:ind w:left="34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Chevron</w:t>
            </w:r>
          </w:p>
        </w:tc>
        <w:tc>
          <w:tcPr>
            <w:tcW w:w="8400" w:type="dxa"/>
            <w:vAlign w:val="bottom"/>
          </w:tcPr>
          <w:p>
            <w:pPr>
              <w:ind w:left="340"/>
              <w:spacing w:after="0"/>
              <w:rPr>
                <w:sz w:val="20"/>
                <w:szCs w:val="20"/>
                <w:color w:val="auto"/>
              </w:rPr>
            </w:pPr>
            <w:r>
              <w:rPr>
                <w:rFonts w:ascii="Arial" w:cs="Arial" w:eastAsia="Arial" w:hAnsi="Arial"/>
                <w:sz w:val="18"/>
                <w:szCs w:val="18"/>
                <w:color w:val="auto"/>
              </w:rPr>
              <w:t>- Chevron Environmental Management Company.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COVID-19</w:t>
            </w:r>
          </w:p>
        </w:tc>
        <w:tc>
          <w:tcPr>
            <w:tcW w:w="8400" w:type="dxa"/>
            <w:vAlign w:val="bottom"/>
          </w:tcPr>
          <w:p>
            <w:pPr>
              <w:ind w:left="340"/>
              <w:spacing w:after="0"/>
              <w:rPr>
                <w:sz w:val="20"/>
                <w:szCs w:val="20"/>
                <w:color w:val="auto"/>
              </w:rPr>
            </w:pPr>
            <w:r>
              <w:rPr>
                <w:rFonts w:ascii="Arial" w:cs="Arial" w:eastAsia="Arial" w:hAnsi="Arial"/>
                <w:sz w:val="18"/>
                <w:szCs w:val="18"/>
                <w:color w:val="auto"/>
              </w:rPr>
              <w:t>- The novel coronavirus disease of 2019.</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EDA</w:t>
            </w:r>
          </w:p>
        </w:tc>
        <w:tc>
          <w:tcPr>
            <w:tcW w:w="8400" w:type="dxa"/>
            <w:vAlign w:val="bottom"/>
          </w:tcPr>
          <w:p>
            <w:pPr>
              <w:ind w:left="340"/>
              <w:spacing w:after="0"/>
              <w:rPr>
                <w:sz w:val="20"/>
                <w:szCs w:val="20"/>
                <w:color w:val="auto"/>
              </w:rPr>
            </w:pPr>
            <w:r>
              <w:rPr>
                <w:rFonts w:ascii="Arial" w:cs="Arial" w:eastAsia="Arial" w:hAnsi="Arial"/>
                <w:sz w:val="18"/>
                <w:szCs w:val="18"/>
                <w:color w:val="auto"/>
              </w:rPr>
              <w:t>- El Dorado Ammonia L.L.C.</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EDC</w:t>
            </w:r>
          </w:p>
        </w:tc>
        <w:tc>
          <w:tcPr>
            <w:tcW w:w="8400" w:type="dxa"/>
            <w:vAlign w:val="bottom"/>
          </w:tcPr>
          <w:p>
            <w:pPr>
              <w:ind w:left="340"/>
              <w:spacing w:after="0"/>
              <w:rPr>
                <w:sz w:val="20"/>
                <w:szCs w:val="20"/>
                <w:color w:val="auto"/>
              </w:rPr>
            </w:pPr>
            <w:r>
              <w:rPr>
                <w:rFonts w:ascii="Arial" w:cs="Arial" w:eastAsia="Arial" w:hAnsi="Arial"/>
                <w:sz w:val="18"/>
                <w:szCs w:val="18"/>
                <w:color w:val="auto"/>
              </w:rPr>
              <w:t>- El Dorado Chemical Company.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El Dorado Facility</w:t>
            </w:r>
          </w:p>
        </w:tc>
        <w:tc>
          <w:tcPr>
            <w:tcW w:w="8400" w:type="dxa"/>
            <w:vAlign w:val="bottom"/>
          </w:tcPr>
          <w:p>
            <w:pPr>
              <w:ind w:left="34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Eldridge</w:t>
            </w:r>
          </w:p>
        </w:tc>
        <w:tc>
          <w:tcPr>
            <w:tcW w:w="8400" w:type="dxa"/>
            <w:vAlign w:val="bottom"/>
          </w:tcPr>
          <w:p>
            <w:pPr>
              <w:ind w:left="340"/>
              <w:spacing w:after="0"/>
              <w:rPr>
                <w:sz w:val="20"/>
                <w:szCs w:val="20"/>
                <w:color w:val="auto"/>
              </w:rPr>
            </w:pPr>
            <w:r>
              <w:rPr>
                <w:rFonts w:ascii="Arial" w:cs="Arial" w:eastAsia="Arial" w:hAnsi="Arial"/>
                <w:sz w:val="18"/>
                <w:szCs w:val="18"/>
                <w:color w:val="auto"/>
              </w:rPr>
              <w:t>- Eldridge Industries, L.L.C.</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Environmental and Health Laws</w:t>
            </w:r>
          </w:p>
        </w:tc>
        <w:tc>
          <w:tcPr>
            <w:tcW w:w="8400" w:type="dxa"/>
            <w:vAlign w:val="bottom"/>
          </w:tcPr>
          <w:p>
            <w:pPr>
              <w:ind w:left="34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EUC</w:t>
            </w:r>
          </w:p>
        </w:tc>
        <w:tc>
          <w:tcPr>
            <w:tcW w:w="8400" w:type="dxa"/>
            <w:vAlign w:val="bottom"/>
          </w:tcPr>
          <w:p>
            <w:pPr>
              <w:ind w:left="340"/>
              <w:spacing w:after="0"/>
              <w:rPr>
                <w:sz w:val="20"/>
                <w:szCs w:val="20"/>
                <w:color w:val="auto"/>
              </w:rPr>
            </w:pPr>
            <w:r>
              <w:rPr>
                <w:rFonts w:ascii="Arial" w:cs="Arial" w:eastAsia="Arial" w:hAnsi="Arial"/>
                <w:sz w:val="18"/>
                <w:szCs w:val="18"/>
                <w:color w:val="auto"/>
              </w:rPr>
              <w:t>- Environmental Use Control.</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FASB</w:t>
            </w:r>
          </w:p>
        </w:tc>
        <w:tc>
          <w:tcPr>
            <w:tcW w:w="8400" w:type="dxa"/>
            <w:vAlign w:val="bottom"/>
          </w:tcPr>
          <w:p>
            <w:pPr>
              <w:ind w:left="340"/>
              <w:spacing w:after="0"/>
              <w:rPr>
                <w:sz w:val="20"/>
                <w:szCs w:val="20"/>
                <w:color w:val="auto"/>
              </w:rPr>
            </w:pPr>
            <w:r>
              <w:rPr>
                <w:rFonts w:ascii="Arial" w:cs="Arial" w:eastAsia="Arial" w:hAnsi="Arial"/>
                <w:sz w:val="18"/>
                <w:szCs w:val="18"/>
                <w:color w:val="auto"/>
              </w:rPr>
              <w:t>- Financial Accounting Standards Board.</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Financial Covenant</w:t>
            </w:r>
          </w:p>
        </w:tc>
        <w:tc>
          <w:tcPr>
            <w:tcW w:w="8400" w:type="dxa"/>
            <w:vAlign w:val="bottom"/>
          </w:tcPr>
          <w:p>
            <w:pPr>
              <w:ind w:left="34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Global</w:t>
            </w:r>
          </w:p>
        </w:tc>
        <w:tc>
          <w:tcPr>
            <w:tcW w:w="8400" w:type="dxa"/>
            <w:vAlign w:val="bottom"/>
          </w:tcPr>
          <w:p>
            <w:pPr>
              <w:ind w:left="34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Hallowell Facility</w:t>
            </w:r>
          </w:p>
        </w:tc>
        <w:tc>
          <w:tcPr>
            <w:tcW w:w="8400" w:type="dxa"/>
            <w:vAlign w:val="bottom"/>
          </w:tcPr>
          <w:p>
            <w:pPr>
              <w:ind w:left="34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HDAN</w:t>
            </w:r>
          </w:p>
        </w:tc>
        <w:tc>
          <w:tcPr>
            <w:tcW w:w="8400" w:type="dxa"/>
            <w:vAlign w:val="bottom"/>
          </w:tcPr>
          <w:p>
            <w:pPr>
              <w:ind w:left="34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Indenture</w:t>
            </w:r>
          </w:p>
        </w:tc>
        <w:tc>
          <w:tcPr>
            <w:tcW w:w="8400" w:type="dxa"/>
            <w:vAlign w:val="bottom"/>
          </w:tcPr>
          <w:p>
            <w:pPr>
              <w:ind w:left="340"/>
              <w:spacing w:after="0"/>
              <w:rPr>
                <w:sz w:val="20"/>
                <w:szCs w:val="20"/>
                <w:color w:val="auto"/>
              </w:rPr>
            </w:pPr>
            <w:r>
              <w:rPr>
                <w:rFonts w:ascii="Arial" w:cs="Arial" w:eastAsia="Arial" w:hAnsi="Arial"/>
                <w:sz w:val="18"/>
                <w:szCs w:val="18"/>
                <w:color w:val="auto"/>
              </w:rPr>
              <w:t>- The agreement governing the 6.25% senior secured notes.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IRS</w:t>
            </w:r>
          </w:p>
        </w:tc>
        <w:tc>
          <w:tcPr>
            <w:tcW w:w="8400" w:type="dxa"/>
            <w:vAlign w:val="bottom"/>
          </w:tcPr>
          <w:p>
            <w:pPr>
              <w:ind w:left="340"/>
              <w:spacing w:after="0"/>
              <w:rPr>
                <w:sz w:val="20"/>
                <w:szCs w:val="20"/>
                <w:color w:val="auto"/>
              </w:rPr>
            </w:pPr>
            <w:r>
              <w:rPr>
                <w:rFonts w:ascii="Arial" w:cs="Arial" w:eastAsia="Arial" w:hAnsi="Arial"/>
                <w:sz w:val="18"/>
                <w:szCs w:val="18"/>
                <w:color w:val="auto"/>
              </w:rPr>
              <w:t>- Internal Revenue Service.</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KDHE</w:t>
            </w:r>
          </w:p>
        </w:tc>
        <w:tc>
          <w:tcPr>
            <w:tcW w:w="8400" w:type="dxa"/>
            <w:vAlign w:val="bottom"/>
          </w:tcPr>
          <w:p>
            <w:pPr>
              <w:ind w:left="340"/>
              <w:spacing w:after="0"/>
              <w:rPr>
                <w:sz w:val="20"/>
                <w:szCs w:val="20"/>
                <w:color w:val="auto"/>
              </w:rPr>
            </w:pPr>
            <w:r>
              <w:rPr>
                <w:rFonts w:ascii="Arial" w:cs="Arial" w:eastAsia="Arial" w:hAnsi="Arial"/>
                <w:sz w:val="18"/>
                <w:szCs w:val="18"/>
                <w:color w:val="auto"/>
              </w:rPr>
              <w:t>- The Kansas Department of Health and Environment.</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LDAN</w:t>
            </w:r>
          </w:p>
        </w:tc>
        <w:tc>
          <w:tcPr>
            <w:tcW w:w="8400" w:type="dxa"/>
            <w:vAlign w:val="bottom"/>
          </w:tcPr>
          <w:p>
            <w:pPr>
              <w:ind w:left="34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Leidos</w:t>
            </w:r>
          </w:p>
        </w:tc>
        <w:tc>
          <w:tcPr>
            <w:tcW w:w="8400" w:type="dxa"/>
            <w:vAlign w:val="bottom"/>
          </w:tcPr>
          <w:p>
            <w:pPr>
              <w:ind w:left="340"/>
              <w:spacing w:after="0"/>
              <w:rPr>
                <w:sz w:val="20"/>
                <w:szCs w:val="20"/>
                <w:color w:val="auto"/>
              </w:rPr>
            </w:pPr>
            <w:r>
              <w:rPr>
                <w:rFonts w:ascii="Arial" w:cs="Arial" w:eastAsia="Arial" w:hAnsi="Arial"/>
                <w:sz w:val="18"/>
                <w:szCs w:val="18"/>
                <w:color w:val="auto"/>
              </w:rPr>
              <w:t>- Leidos Constructors L.L.C.</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LSB</w:t>
            </w:r>
          </w:p>
        </w:tc>
        <w:tc>
          <w:tcPr>
            <w:tcW w:w="8400" w:type="dxa"/>
            <w:vAlign w:val="bottom"/>
          </w:tcPr>
          <w:p>
            <w:pPr>
              <w:ind w:left="340"/>
              <w:spacing w:after="0"/>
              <w:rPr>
                <w:sz w:val="20"/>
                <w:szCs w:val="20"/>
                <w:color w:val="auto"/>
              </w:rPr>
            </w:pPr>
            <w:r>
              <w:rPr>
                <w:rFonts w:ascii="Arial" w:cs="Arial" w:eastAsia="Arial" w:hAnsi="Arial"/>
                <w:sz w:val="18"/>
                <w:szCs w:val="18"/>
                <w:color w:val="auto"/>
              </w:rPr>
              <w:t>- LSB Industries, Inc.</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Maximum Revolver Amount</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The maximum amount of outstanding advances available under our Working Capital Revolver Loan.</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MD&amp;A</w:t>
            </w:r>
          </w:p>
        </w:tc>
        <w:tc>
          <w:tcPr>
            <w:tcW w:w="8400" w:type="dxa"/>
            <w:vAlign w:val="bottom"/>
          </w:tcPr>
          <w:p>
            <w:pPr>
              <w:ind w:left="34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New Notes</w:t>
            </w:r>
          </w:p>
        </w:tc>
        <w:tc>
          <w:tcPr>
            <w:tcW w:w="8400" w:type="dxa"/>
            <w:vAlign w:val="bottom"/>
          </w:tcPr>
          <w:p>
            <w:pPr>
              <w:ind w:left="340"/>
              <w:spacing w:after="0"/>
              <w:rPr>
                <w:sz w:val="20"/>
                <w:szCs w:val="20"/>
                <w:color w:val="auto"/>
              </w:rPr>
            </w:pPr>
            <w:r>
              <w:rPr>
                <w:rFonts w:ascii="Arial" w:cs="Arial" w:eastAsia="Arial" w:hAnsi="Arial"/>
                <w:sz w:val="18"/>
                <w:szCs w:val="18"/>
                <w:color w:val="auto"/>
                <w:w w:val="90"/>
              </w:rPr>
              <w:t>- The senior secured notes issued March 8, 2022 with an interest rate of 6.25%, which mature in October 2028.</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Note</w:t>
            </w:r>
          </w:p>
        </w:tc>
        <w:tc>
          <w:tcPr>
            <w:tcW w:w="8400" w:type="dxa"/>
            <w:vAlign w:val="bottom"/>
          </w:tcPr>
          <w:p>
            <w:pPr>
              <w:ind w:left="34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96"/>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Notes</w:t>
            </w:r>
          </w:p>
        </w:tc>
        <w:tc>
          <w:tcPr>
            <w:tcW w:w="8400" w:type="dxa"/>
            <w:vAlign w:val="bottom"/>
          </w:tcPr>
          <w:p>
            <w:pPr>
              <w:ind w:left="340"/>
              <w:spacing w:after="0"/>
              <w:rPr>
                <w:sz w:val="20"/>
                <w:szCs w:val="20"/>
                <w:color w:val="auto"/>
              </w:rPr>
            </w:pPr>
            <w:r>
              <w:rPr>
                <w:rFonts w:ascii="Arial" w:cs="Arial" w:eastAsia="Arial" w:hAnsi="Arial"/>
                <w:sz w:val="18"/>
                <w:szCs w:val="18"/>
                <w:color w:val="auto"/>
                <w:w w:val="91"/>
              </w:rPr>
              <w:t>- The senior secured notes issued on October 14, 2021 with an interest rate of 6.25%, which mature in October</w:t>
            </w:r>
          </w:p>
        </w:tc>
      </w:tr>
      <w:tr>
        <w:trPr>
          <w:trHeight w:val="230"/>
        </w:trPr>
        <w:tc>
          <w:tcPr>
            <w:tcW w:w="2840" w:type="dxa"/>
            <w:vAlign w:val="bottom"/>
          </w:tcPr>
          <w:p>
            <w:pPr>
              <w:spacing w:after="0"/>
              <w:rPr>
                <w:sz w:val="20"/>
                <w:szCs w:val="20"/>
                <w:color w:val="auto"/>
              </w:rPr>
            </w:pPr>
          </w:p>
        </w:tc>
        <w:tc>
          <w:tcPr>
            <w:tcW w:w="8400" w:type="dxa"/>
            <w:vAlign w:val="bottom"/>
          </w:tcPr>
          <w:p>
            <w:pPr>
              <w:ind w:left="460"/>
              <w:spacing w:after="0"/>
              <w:rPr>
                <w:sz w:val="20"/>
                <w:szCs w:val="20"/>
                <w:color w:val="auto"/>
              </w:rPr>
            </w:pPr>
            <w:r>
              <w:rPr>
                <w:rFonts w:ascii="Arial" w:cs="Arial" w:eastAsia="Arial" w:hAnsi="Arial"/>
                <w:sz w:val="18"/>
                <w:szCs w:val="18"/>
                <w:color w:val="auto"/>
              </w:rPr>
              <w:t>2028.</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ODEQ</w:t>
            </w:r>
          </w:p>
        </w:tc>
        <w:tc>
          <w:tcPr>
            <w:tcW w:w="8400" w:type="dxa"/>
            <w:vAlign w:val="bottom"/>
          </w:tcPr>
          <w:p>
            <w:pPr>
              <w:ind w:left="340"/>
              <w:spacing w:after="0"/>
              <w:rPr>
                <w:sz w:val="20"/>
                <w:szCs w:val="20"/>
                <w:color w:val="auto"/>
              </w:rPr>
            </w:pPr>
            <w:r>
              <w:rPr>
                <w:rFonts w:ascii="Arial" w:cs="Arial" w:eastAsia="Arial" w:hAnsi="Arial"/>
                <w:sz w:val="18"/>
                <w:szCs w:val="18"/>
                <w:color w:val="auto"/>
              </w:rPr>
              <w:t>- The Oklahoma Department of Environmental Quality.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PCC</w:t>
            </w:r>
          </w:p>
        </w:tc>
        <w:tc>
          <w:tcPr>
            <w:tcW w:w="8400" w:type="dxa"/>
            <w:vAlign w:val="bottom"/>
          </w:tcPr>
          <w:p>
            <w:pPr>
              <w:ind w:left="340"/>
              <w:spacing w:after="0"/>
              <w:rPr>
                <w:sz w:val="20"/>
                <w:szCs w:val="20"/>
                <w:color w:val="auto"/>
              </w:rPr>
            </w:pPr>
            <w:r>
              <w:rPr>
                <w:rFonts w:ascii="Arial" w:cs="Arial" w:eastAsia="Arial" w:hAnsi="Arial"/>
                <w:sz w:val="18"/>
                <w:szCs w:val="18"/>
                <w:color w:val="auto"/>
              </w:rPr>
              <w:t>- Pryor Chemical Company.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PP&amp;E</w:t>
            </w:r>
          </w:p>
        </w:tc>
        <w:tc>
          <w:tcPr>
            <w:tcW w:w="8400" w:type="dxa"/>
            <w:vAlign w:val="bottom"/>
          </w:tcPr>
          <w:p>
            <w:pPr>
              <w:ind w:left="340"/>
              <w:spacing w:after="0"/>
              <w:rPr>
                <w:sz w:val="20"/>
                <w:szCs w:val="20"/>
                <w:color w:val="auto"/>
              </w:rPr>
            </w:pPr>
            <w:r>
              <w:rPr>
                <w:rFonts w:ascii="Arial" w:cs="Arial" w:eastAsia="Arial" w:hAnsi="Arial"/>
                <w:sz w:val="18"/>
                <w:szCs w:val="18"/>
                <w:color w:val="auto"/>
              </w:rPr>
              <w:t>- Plant, property and equipment.</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Pryor Facility</w:t>
            </w:r>
          </w:p>
        </w:tc>
        <w:tc>
          <w:tcPr>
            <w:tcW w:w="8400" w:type="dxa"/>
            <w:vAlign w:val="bottom"/>
          </w:tcPr>
          <w:p>
            <w:pPr>
              <w:ind w:left="34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SEC</w:t>
            </w:r>
          </w:p>
        </w:tc>
        <w:tc>
          <w:tcPr>
            <w:tcW w:w="8400" w:type="dxa"/>
            <w:vAlign w:val="bottom"/>
          </w:tcPr>
          <w:p>
            <w:pPr>
              <w:ind w:left="340"/>
              <w:spacing w:after="0"/>
              <w:rPr>
                <w:sz w:val="20"/>
                <w:szCs w:val="20"/>
                <w:color w:val="auto"/>
              </w:rPr>
            </w:pPr>
            <w:r>
              <w:rPr>
                <w:rFonts w:ascii="Arial" w:cs="Arial" w:eastAsia="Arial" w:hAnsi="Arial"/>
                <w:sz w:val="18"/>
                <w:szCs w:val="18"/>
                <w:color w:val="auto"/>
              </w:rPr>
              <w:t>- The U.S. Securities and Exchange Commission.</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Secured Financing due 2023</w:t>
            </w:r>
          </w:p>
        </w:tc>
        <w:tc>
          <w:tcPr>
            <w:tcW w:w="8400" w:type="dxa"/>
            <w:vAlign w:val="bottom"/>
          </w:tcPr>
          <w:p>
            <w:pPr>
              <w:ind w:left="340"/>
              <w:spacing w:after="0"/>
              <w:rPr>
                <w:sz w:val="20"/>
                <w:szCs w:val="20"/>
                <w:color w:val="auto"/>
              </w:rPr>
            </w:pPr>
            <w:r>
              <w:rPr>
                <w:rFonts w:ascii="Arial" w:cs="Arial" w:eastAsia="Arial" w:hAnsi="Arial"/>
                <w:sz w:val="18"/>
                <w:szCs w:val="18"/>
                <w:color w:val="auto"/>
                <w:w w:val="95"/>
              </w:rPr>
              <w:t>- A secured financing arrangement between EDC and an affiliate of Eldridge which matures in June 2023.</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Secured Financing due 2025</w:t>
            </w:r>
          </w:p>
        </w:tc>
        <w:tc>
          <w:tcPr>
            <w:tcW w:w="8400" w:type="dxa"/>
            <w:vAlign w:val="bottom"/>
          </w:tcPr>
          <w:p>
            <w:pPr>
              <w:ind w:left="340"/>
              <w:spacing w:after="0"/>
              <w:rPr>
                <w:sz w:val="20"/>
                <w:szCs w:val="20"/>
                <w:color w:val="auto"/>
              </w:rPr>
            </w:pPr>
            <w:r>
              <w:rPr>
                <w:rFonts w:ascii="Arial" w:cs="Arial" w:eastAsia="Arial" w:hAnsi="Arial"/>
                <w:sz w:val="18"/>
                <w:szCs w:val="18"/>
                <w:color w:val="auto"/>
                <w:w w:val="93"/>
              </w:rPr>
              <w:t>- A secured financing arrangement between EDA and an affiliate of Eldridge which matures in August 2025.</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8400" w:type="dxa"/>
            <w:vAlign w:val="bottom"/>
          </w:tcPr>
          <w:p>
            <w:pPr>
              <w:ind w:left="340"/>
              <w:spacing w:after="0"/>
              <w:rPr>
                <w:sz w:val="20"/>
                <w:szCs w:val="20"/>
                <w:color w:val="auto"/>
              </w:rPr>
            </w:pPr>
            <w:r>
              <w:rPr>
                <w:rFonts w:ascii="Arial" w:cs="Arial" w:eastAsia="Arial" w:hAnsi="Arial"/>
                <w:sz w:val="18"/>
                <w:szCs w:val="18"/>
                <w:color w:val="auto"/>
                <w:w w:val="95"/>
              </w:rPr>
              <w:t>- The Notes and New Notes, taken together due on October 15, 2028 with a stated interest rate of 6.25%.</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SG&amp;A</w:t>
            </w:r>
          </w:p>
        </w:tc>
        <w:tc>
          <w:tcPr>
            <w:tcW w:w="8400" w:type="dxa"/>
            <w:vAlign w:val="bottom"/>
          </w:tcPr>
          <w:p>
            <w:pPr>
              <w:ind w:left="340"/>
              <w:spacing w:after="0"/>
              <w:rPr>
                <w:sz w:val="20"/>
                <w:szCs w:val="20"/>
                <w:color w:val="auto"/>
              </w:rPr>
            </w:pPr>
            <w:r>
              <w:rPr>
                <w:rFonts w:ascii="Arial" w:cs="Arial" w:eastAsia="Arial" w:hAnsi="Arial"/>
                <w:sz w:val="18"/>
                <w:szCs w:val="18"/>
                <w:color w:val="auto"/>
              </w:rPr>
              <w:t>- Selling, general and administrative expense.</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Ton</w:t>
            </w:r>
          </w:p>
        </w:tc>
        <w:tc>
          <w:tcPr>
            <w:tcW w:w="8400" w:type="dxa"/>
            <w:vAlign w:val="bottom"/>
          </w:tcPr>
          <w:p>
            <w:pPr>
              <w:ind w:left="3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111111"/>
              </w:rPr>
              <w:t>A unit of weight equal to 2,000 pounds.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Turnaround</w:t>
            </w:r>
          </w:p>
        </w:tc>
        <w:tc>
          <w:tcPr>
            <w:tcW w:w="8400" w:type="dxa"/>
            <w:vAlign w:val="bottom"/>
          </w:tcPr>
          <w:p>
            <w:pPr>
              <w:ind w:left="340"/>
              <w:spacing w:after="0"/>
              <w:rPr>
                <w:sz w:val="20"/>
                <w:szCs w:val="20"/>
                <w:color w:val="auto"/>
              </w:rPr>
            </w:pPr>
            <w:r>
              <w:rPr>
                <w:rFonts w:ascii="Arial" w:cs="Arial" w:eastAsia="Arial" w:hAnsi="Arial"/>
                <w:sz w:val="18"/>
                <w:szCs w:val="18"/>
                <w:color w:val="auto"/>
              </w:rPr>
              <w:t>- A planned major maintenance activity.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UAN</w:t>
            </w:r>
          </w:p>
        </w:tc>
        <w:tc>
          <w:tcPr>
            <w:tcW w:w="8400" w:type="dxa"/>
            <w:vAlign w:val="bottom"/>
          </w:tcPr>
          <w:p>
            <w:pPr>
              <w:ind w:left="340"/>
              <w:spacing w:after="0"/>
              <w:rPr>
                <w:sz w:val="20"/>
                <w:szCs w:val="20"/>
                <w:color w:val="auto"/>
              </w:rPr>
            </w:pPr>
            <w:r>
              <w:rPr>
                <w:rFonts w:ascii="Arial" w:cs="Arial" w:eastAsia="Arial" w:hAnsi="Arial"/>
                <w:sz w:val="18"/>
                <w:szCs w:val="18"/>
                <w:color w:val="auto"/>
              </w:rPr>
              <w:t>- Urea ammonium nitrate.</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U.S.</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w:t>
            </w:r>
          </w:p>
        </w:tc>
      </w:tr>
      <w:tr>
        <w:trPr>
          <w:trHeight w:val="512"/>
        </w:trPr>
        <w:tc>
          <w:tcPr>
            <w:tcW w:w="2840" w:type="dxa"/>
            <w:vAlign w:val="bottom"/>
          </w:tcPr>
          <w:p>
            <w:pPr>
              <w:spacing w:after="0"/>
              <w:rPr>
                <w:sz w:val="24"/>
                <w:szCs w:val="24"/>
                <w:color w:val="auto"/>
              </w:rPr>
            </w:pPr>
          </w:p>
        </w:tc>
        <w:tc>
          <w:tcPr>
            <w:tcW w:w="8400" w:type="dxa"/>
            <w:vAlign w:val="bottom"/>
          </w:tcPr>
          <w:p>
            <w:pPr>
              <w:ind w:left="2700"/>
              <w:spacing w:after="0"/>
              <w:rPr>
                <w:sz w:val="20"/>
                <w:szCs w:val="20"/>
                <w:color w:val="auto"/>
              </w:rPr>
            </w:pPr>
            <w:r>
              <w:rPr>
                <w:rFonts w:ascii="Arial" w:cs="Arial" w:eastAsia="Arial" w:hAnsi="Arial"/>
                <w:sz w:val="18"/>
                <w:szCs w:val="18"/>
                <w:color w:val="auto"/>
              </w:rPr>
              <w:t>30</w:t>
            </w:r>
          </w:p>
        </w:tc>
      </w:tr>
      <w:tr>
        <w:trPr>
          <w:trHeight w:val="115"/>
        </w:trPr>
        <w:tc>
          <w:tcPr>
            <w:tcW w:w="2840" w:type="dxa"/>
            <w:vAlign w:val="bottom"/>
            <w:tcBorders>
              <w:bottom w:val="single" w:sz="8" w:color="9A9A9A"/>
            </w:tcBorders>
          </w:tcPr>
          <w:p>
            <w:pPr>
              <w:spacing w:after="0"/>
              <w:rPr>
                <w:sz w:val="9"/>
                <w:szCs w:val="9"/>
                <w:color w:val="auto"/>
              </w:rPr>
            </w:pPr>
          </w:p>
        </w:tc>
        <w:tc>
          <w:tcPr>
            <w:tcW w:w="8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U.S. GAAP</w:t>
            </w:r>
          </w:p>
        </w:tc>
        <w:tc>
          <w:tcPr>
            <w:tcW w:w="8400" w:type="dxa"/>
            <w:vAlign w:val="bottom"/>
          </w:tcPr>
          <w:p>
            <w:pPr>
              <w:ind w:left="340"/>
              <w:spacing w:after="0"/>
              <w:rPr>
                <w:sz w:val="20"/>
                <w:szCs w:val="20"/>
                <w:color w:val="auto"/>
              </w:rPr>
            </w:pPr>
            <w:r>
              <w:rPr>
                <w:rFonts w:ascii="Arial" w:cs="Arial" w:eastAsia="Arial" w:hAnsi="Arial"/>
                <w:sz w:val="18"/>
                <w:szCs w:val="18"/>
                <w:color w:val="auto"/>
              </w:rPr>
              <w:t>- U.S. Generally Accepted Accounting Principles.</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USDA</w:t>
            </w:r>
          </w:p>
        </w:tc>
        <w:tc>
          <w:tcPr>
            <w:tcW w:w="8400" w:type="dxa"/>
            <w:vAlign w:val="bottom"/>
          </w:tcPr>
          <w:p>
            <w:pPr>
              <w:ind w:left="340"/>
              <w:spacing w:after="0"/>
              <w:rPr>
                <w:sz w:val="20"/>
                <w:szCs w:val="20"/>
                <w:color w:val="auto"/>
              </w:rPr>
            </w:pPr>
            <w:r>
              <w:rPr>
                <w:rFonts w:ascii="Arial" w:cs="Arial" w:eastAsia="Arial" w:hAnsi="Arial"/>
                <w:sz w:val="18"/>
                <w:szCs w:val="18"/>
                <w:color w:val="auto"/>
              </w:rPr>
              <w:t>- United States Department of Agriculture.</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WASDE</w:t>
            </w:r>
          </w:p>
        </w:tc>
        <w:tc>
          <w:tcPr>
            <w:tcW w:w="8400" w:type="dxa"/>
            <w:vAlign w:val="bottom"/>
          </w:tcPr>
          <w:p>
            <w:pPr>
              <w:ind w:left="340"/>
              <w:spacing w:after="0"/>
              <w:rPr>
                <w:sz w:val="20"/>
                <w:szCs w:val="20"/>
                <w:color w:val="auto"/>
              </w:rPr>
            </w:pPr>
            <w:r>
              <w:rPr>
                <w:rFonts w:ascii="Arial" w:cs="Arial" w:eastAsia="Arial" w:hAnsi="Arial"/>
                <w:sz w:val="18"/>
                <w:szCs w:val="18"/>
                <w:color w:val="auto"/>
              </w:rPr>
              <w:t>- World Agricultural Supply and Demand Estimates Report.</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West Fertilizer</w:t>
            </w:r>
          </w:p>
        </w:tc>
        <w:tc>
          <w:tcPr>
            <w:tcW w:w="8400" w:type="dxa"/>
            <w:vAlign w:val="bottom"/>
          </w:tcPr>
          <w:p>
            <w:pPr>
              <w:ind w:left="340"/>
              <w:spacing w:after="0"/>
              <w:rPr>
                <w:sz w:val="20"/>
                <w:szCs w:val="20"/>
                <w:color w:val="auto"/>
              </w:rPr>
            </w:pPr>
            <w:r>
              <w:rPr>
                <w:rFonts w:ascii="Arial" w:cs="Arial" w:eastAsia="Arial" w:hAnsi="Arial"/>
                <w:sz w:val="18"/>
                <w:szCs w:val="18"/>
                <w:color w:val="auto"/>
              </w:rPr>
              <w:t>- West Fertilizer Company.</w:t>
            </w:r>
          </w:p>
        </w:tc>
      </w:tr>
      <w:tr>
        <w:trPr>
          <w:trHeight w:val="31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Working Capital Revolver Loan</w:t>
            </w:r>
          </w:p>
        </w:tc>
        <w:tc>
          <w:tcPr>
            <w:tcW w:w="8400" w:type="dxa"/>
            <w:vAlign w:val="bottom"/>
          </w:tcPr>
          <w:p>
            <w:pPr>
              <w:ind w:left="340"/>
              <w:spacing w:after="0"/>
              <w:rPr>
                <w:sz w:val="20"/>
                <w:szCs w:val="20"/>
                <w:color w:val="auto"/>
              </w:rPr>
            </w:pPr>
            <w:r>
              <w:rPr>
                <w:rFonts w:ascii="Arial" w:cs="Arial" w:eastAsia="Arial" w:hAnsi="Arial"/>
                <w:sz w:val="18"/>
                <w:szCs w:val="18"/>
                <w:color w:val="auto"/>
              </w:rPr>
              <w:t>- Our secured revolving credit facility.</w:t>
            </w:r>
          </w:p>
        </w:tc>
      </w:tr>
      <w:tr>
        <w:trPr>
          <w:trHeight w:val="296"/>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2021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2"/>
              </w:rPr>
              <w:t>- Corn crop marketing year (September 1 - August 31), which began in 2020 and ended in 2021 and primarily</w:t>
            </w:r>
          </w:p>
        </w:tc>
      </w:tr>
      <w:tr>
        <w:trPr>
          <w:trHeight w:val="230"/>
        </w:trPr>
        <w:tc>
          <w:tcPr>
            <w:tcW w:w="2840" w:type="dxa"/>
            <w:vAlign w:val="bottom"/>
          </w:tcPr>
          <w:p>
            <w:pPr>
              <w:spacing w:after="0"/>
              <w:rPr>
                <w:sz w:val="20"/>
                <w:szCs w:val="20"/>
                <w:color w:val="auto"/>
              </w:rPr>
            </w:pPr>
          </w:p>
        </w:tc>
        <w:tc>
          <w:tcPr>
            <w:tcW w:w="8400" w:type="dxa"/>
            <w:vAlign w:val="bottom"/>
          </w:tcPr>
          <w:p>
            <w:pPr>
              <w:ind w:left="460"/>
              <w:spacing w:after="0"/>
              <w:rPr>
                <w:sz w:val="20"/>
                <w:szCs w:val="20"/>
                <w:color w:val="auto"/>
              </w:rPr>
            </w:pPr>
            <w:r>
              <w:rPr>
                <w:rFonts w:ascii="Arial" w:cs="Arial" w:eastAsia="Arial" w:hAnsi="Arial"/>
                <w:sz w:val="18"/>
                <w:szCs w:val="18"/>
                <w:color w:val="auto"/>
              </w:rPr>
              <w:t>relates to corn planted and harvested in 2020.</w:t>
            </w:r>
          </w:p>
        </w:tc>
      </w:tr>
      <w:tr>
        <w:trPr>
          <w:trHeight w:val="296"/>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2022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2021 and will end in 2022 and</w:t>
            </w:r>
          </w:p>
        </w:tc>
      </w:tr>
      <w:tr>
        <w:trPr>
          <w:trHeight w:val="230"/>
        </w:trPr>
        <w:tc>
          <w:tcPr>
            <w:tcW w:w="2840" w:type="dxa"/>
            <w:vAlign w:val="bottom"/>
          </w:tcPr>
          <w:p>
            <w:pPr>
              <w:spacing w:after="0"/>
              <w:rPr>
                <w:sz w:val="20"/>
                <w:szCs w:val="20"/>
                <w:color w:val="auto"/>
              </w:rPr>
            </w:pPr>
          </w:p>
        </w:tc>
        <w:tc>
          <w:tcPr>
            <w:tcW w:w="8400" w:type="dxa"/>
            <w:vAlign w:val="bottom"/>
          </w:tcPr>
          <w:p>
            <w:pPr>
              <w:ind w:left="460"/>
              <w:spacing w:after="0"/>
              <w:rPr>
                <w:sz w:val="20"/>
                <w:szCs w:val="20"/>
                <w:color w:val="auto"/>
              </w:rPr>
            </w:pPr>
            <w:r>
              <w:rPr>
                <w:rFonts w:ascii="Arial" w:cs="Arial" w:eastAsia="Arial" w:hAnsi="Arial"/>
                <w:sz w:val="18"/>
                <w:szCs w:val="18"/>
                <w:color w:val="auto"/>
              </w:rPr>
              <w:t>primarily relates to corn planted and harvested in 2021.</w:t>
            </w:r>
          </w:p>
        </w:tc>
      </w:tr>
      <w:tr>
        <w:trPr>
          <w:trHeight w:val="296"/>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2023 Crop</w:t>
            </w:r>
          </w:p>
        </w:tc>
        <w:tc>
          <w:tcPr>
            <w:tcW w:w="8400" w:type="dxa"/>
            <w:vAlign w:val="bottom"/>
          </w:tcPr>
          <w:p>
            <w:pPr>
              <w:ind w:left="340"/>
              <w:spacing w:after="0"/>
              <w:rPr>
                <w:sz w:val="20"/>
                <w:szCs w:val="20"/>
                <w:color w:val="auto"/>
              </w:rPr>
            </w:pPr>
            <w:r>
              <w:rPr>
                <w:rFonts w:ascii="Arial" w:cs="Arial" w:eastAsia="Arial" w:hAnsi="Arial"/>
                <w:sz w:val="18"/>
                <w:szCs w:val="18"/>
                <w:color w:val="auto"/>
                <w:w w:val="99"/>
              </w:rPr>
              <w:t>- Corn crop marketing year (September 1 - August 31), which began in 2022 and will end in 2023 and</w:t>
            </w:r>
          </w:p>
        </w:tc>
      </w:tr>
      <w:tr>
        <w:trPr>
          <w:trHeight w:val="230"/>
        </w:trPr>
        <w:tc>
          <w:tcPr>
            <w:tcW w:w="2840" w:type="dxa"/>
            <w:vAlign w:val="bottom"/>
          </w:tcPr>
          <w:p>
            <w:pPr>
              <w:spacing w:after="0"/>
              <w:rPr>
                <w:sz w:val="20"/>
                <w:szCs w:val="20"/>
                <w:color w:val="auto"/>
              </w:rPr>
            </w:pPr>
          </w:p>
        </w:tc>
        <w:tc>
          <w:tcPr>
            <w:tcW w:w="8400" w:type="dxa"/>
            <w:vAlign w:val="bottom"/>
          </w:tcPr>
          <w:p>
            <w:pPr>
              <w:ind w:left="460"/>
              <w:spacing w:after="0"/>
              <w:rPr>
                <w:sz w:val="20"/>
                <w:szCs w:val="20"/>
                <w:color w:val="auto"/>
              </w:rPr>
            </w:pPr>
            <w:r>
              <w:rPr>
                <w:rFonts w:ascii="Arial" w:cs="Arial" w:eastAsia="Arial" w:hAnsi="Arial"/>
                <w:sz w:val="18"/>
                <w:szCs w:val="18"/>
                <w:color w:val="auto"/>
              </w:rPr>
              <w:t>primarily relates to corn planted and harvested in 2022.</w:t>
            </w:r>
          </w:p>
        </w:tc>
      </w:tr>
      <w:tr>
        <w:trPr>
          <w:trHeight w:val="445"/>
        </w:trPr>
        <w:tc>
          <w:tcPr>
            <w:tcW w:w="2840" w:type="dxa"/>
            <w:vAlign w:val="bottom"/>
          </w:tcPr>
          <w:p>
            <w:pPr>
              <w:spacing w:after="0"/>
              <w:rPr>
                <w:sz w:val="24"/>
                <w:szCs w:val="24"/>
                <w:color w:val="auto"/>
              </w:rPr>
            </w:pPr>
          </w:p>
        </w:tc>
        <w:tc>
          <w:tcPr>
            <w:tcW w:w="8400" w:type="dxa"/>
            <w:vAlign w:val="bottom"/>
          </w:tcPr>
          <w:p>
            <w:pPr>
              <w:ind w:left="2700"/>
              <w:spacing w:after="0"/>
              <w:rPr>
                <w:sz w:val="20"/>
                <w:szCs w:val="20"/>
                <w:color w:val="auto"/>
              </w:rPr>
            </w:pPr>
            <w:r>
              <w:rPr>
                <w:rFonts w:ascii="Arial" w:cs="Arial" w:eastAsia="Arial" w:hAnsi="Arial"/>
                <w:sz w:val="18"/>
                <w:szCs w:val="18"/>
                <w:color w:val="auto"/>
              </w:rPr>
              <w:t>31</w:t>
            </w:r>
          </w:p>
        </w:tc>
      </w:tr>
      <w:tr>
        <w:trPr>
          <w:trHeight w:val="115"/>
        </w:trPr>
        <w:tc>
          <w:tcPr>
            <w:tcW w:w="2840" w:type="dxa"/>
            <w:vAlign w:val="bottom"/>
            <w:tcBorders>
              <w:bottom w:val="single" w:sz="8" w:color="9A9A9A"/>
            </w:tcBorders>
          </w:tcPr>
          <w:p>
            <w:pPr>
              <w:spacing w:after="0"/>
              <w:rPr>
                <w:sz w:val="9"/>
                <w:szCs w:val="9"/>
                <w:color w:val="auto"/>
              </w:rPr>
            </w:pPr>
          </w:p>
        </w:tc>
        <w:tc>
          <w:tcPr>
            <w:tcW w:w="8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Item 1A of our Form 10-K for the year ended December 31, 2022, filed with the SEC on February 23, 2023. There are no material changes from the risk factors disclosed in our 2022 Form 10-K.</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33.</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Index to Exhibits Item 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00" w:type="dxa"/>
            <w:vAlign w:val="bottom"/>
            <w:gridSpan w:val="6"/>
            <w:vMerge w:val="restart"/>
          </w:tcPr>
          <w:p>
            <w:pPr>
              <w:ind w:left="164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85"/>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331"/>
        </w:trPr>
        <w:tc>
          <w:tcPr>
            <w:tcW w:w="1140" w:type="dxa"/>
            <w:vAlign w:val="bottom"/>
          </w:tcPr>
          <w:p>
            <w:pPr>
              <w:ind w:left="120"/>
              <w:spacing w:after="0"/>
              <w:rPr>
                <w:sz w:val="20"/>
                <w:szCs w:val="20"/>
                <w:color w:val="auto"/>
              </w:rPr>
            </w:pPr>
            <w:r>
              <w:rPr>
                <w:rFonts w:ascii="Arial" w:cs="Arial" w:eastAsia="Arial" w:hAnsi="Arial"/>
                <w:sz w:val="18"/>
                <w:szCs w:val="18"/>
                <w:color w:val="auto"/>
              </w:rPr>
              <w:t>3(i).1</w:t>
            </w:r>
          </w:p>
        </w:tc>
        <w:tc>
          <w:tcPr>
            <w:tcW w:w="160" w:type="dxa"/>
            <w:vAlign w:val="bottom"/>
          </w:tcPr>
          <w:p>
            <w:pPr>
              <w:spacing w:after="0"/>
              <w:rPr>
                <w:sz w:val="24"/>
                <w:szCs w:val="24"/>
                <w:color w:val="auto"/>
              </w:rPr>
            </w:pPr>
          </w:p>
        </w:tc>
        <w:tc>
          <w:tcPr>
            <w:tcW w:w="5340" w:type="dxa"/>
            <w:vAlign w:val="bottom"/>
            <w:gridSpan w:val="7"/>
          </w:tcPr>
          <w:p>
            <w:pPr>
              <w:spacing w:after="0"/>
              <w:rPr>
                <w:rFonts w:ascii="Arial" w:cs="Arial" w:eastAsia="Arial" w:hAnsi="Arial"/>
                <w:sz w:val="18"/>
                <w:szCs w:val="18"/>
                <w:color w:val="0000FF"/>
              </w:rPr>
            </w:pPr>
            <w:hyperlink r:id="rId143">
              <w:r>
                <w:rPr>
                  <w:rFonts w:ascii="Arial" w:cs="Arial" w:eastAsia="Arial" w:hAnsi="Arial"/>
                  <w:sz w:val="18"/>
                  <w:szCs w:val="18"/>
                  <w:color w:val="0000FF"/>
                </w:rPr>
                <w:t>Restated Certificate of Incorporation of LSB Industries, Inc., dated</w:t>
              </w:r>
            </w:hyperlink>
          </w:p>
        </w:tc>
        <w:tc>
          <w:tcPr>
            <w:tcW w:w="1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w w:val="93"/>
              </w:rPr>
              <w:t>Exhibit 3(i).1 to the Company’s Form 10-K filed on February</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7"/>
          </w:tcPr>
          <w:p>
            <w:pPr>
              <w:spacing w:after="0" w:line="195" w:lineRule="exact"/>
              <w:rPr>
                <w:rFonts w:ascii="Arial" w:cs="Arial" w:eastAsia="Arial" w:hAnsi="Arial"/>
                <w:sz w:val="18"/>
                <w:szCs w:val="18"/>
                <w:color w:val="0000FF"/>
              </w:rPr>
            </w:pPr>
            <w:hyperlink r:id="rId143">
              <w:r>
                <w:rPr>
                  <w:rFonts w:ascii="Arial" w:cs="Arial" w:eastAsia="Arial" w:hAnsi="Arial"/>
                  <w:sz w:val="18"/>
                  <w:szCs w:val="18"/>
                  <w:color w:val="0000FF"/>
                </w:rPr>
                <w:t>January 21, 1977, as amended August 27, 1987</w:t>
              </w:r>
            </w:hyperlink>
          </w:p>
        </w:tc>
        <w:tc>
          <w:tcPr>
            <w:tcW w:w="460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28, 2013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7"/>
          </w:tcPr>
          <w:p>
            <w:pPr>
              <w:spacing w:after="0"/>
              <w:rPr>
                <w:rFonts w:ascii="Arial" w:cs="Arial" w:eastAsia="Arial" w:hAnsi="Arial"/>
                <w:sz w:val="18"/>
                <w:szCs w:val="18"/>
                <w:color w:val="0000FF"/>
                <w:w w:val="93"/>
              </w:rPr>
            </w:pPr>
            <w:hyperlink r:id="rId144">
              <w:r>
                <w:rPr>
                  <w:rFonts w:ascii="Arial" w:cs="Arial" w:eastAsia="Arial" w:hAnsi="Arial"/>
                  <w:sz w:val="18"/>
                  <w:szCs w:val="18"/>
                  <w:color w:val="0000FF"/>
                  <w:w w:val="93"/>
                </w:rPr>
                <w:t>Certificate of Amendment to the Restated Certificate of Incorporation of</w:t>
              </w:r>
            </w:hyperlink>
          </w:p>
        </w:tc>
        <w:tc>
          <w:tcPr>
            <w:tcW w:w="120" w:type="dxa"/>
            <w:vAlign w:val="bottom"/>
          </w:tcPr>
          <w:p>
            <w:pPr>
              <w:spacing w:after="0"/>
              <w:rPr>
                <w:sz w:val="24"/>
                <w:szCs w:val="24"/>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w w:val="96"/>
              </w:rPr>
              <w:t>Exhibit 3(i).2 to the Company’s Registration Statement on</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3(i).2</w:t>
            </w:r>
          </w:p>
        </w:tc>
        <w:tc>
          <w:tcPr>
            <w:tcW w:w="160" w:type="dxa"/>
            <w:vAlign w:val="bottom"/>
          </w:tcPr>
          <w:p>
            <w:pPr>
              <w:spacing w:after="0"/>
              <w:rPr>
                <w:sz w:val="17"/>
                <w:szCs w:val="17"/>
                <w:color w:val="auto"/>
              </w:rPr>
            </w:pPr>
          </w:p>
        </w:tc>
        <w:tc>
          <w:tcPr>
            <w:tcW w:w="5340" w:type="dxa"/>
            <w:vAlign w:val="bottom"/>
            <w:gridSpan w:val="7"/>
          </w:tcPr>
          <w:p>
            <w:pPr>
              <w:spacing w:after="0" w:line="195" w:lineRule="exact"/>
              <w:rPr>
                <w:rFonts w:ascii="Arial" w:cs="Arial" w:eastAsia="Arial" w:hAnsi="Arial"/>
                <w:sz w:val="18"/>
                <w:szCs w:val="18"/>
                <w:color w:val="0000FF"/>
              </w:rPr>
            </w:pPr>
            <w:hyperlink r:id="rId144">
              <w:r>
                <w:rPr>
                  <w:rFonts w:ascii="Arial" w:cs="Arial" w:eastAsia="Arial" w:hAnsi="Arial"/>
                  <w:sz w:val="18"/>
                  <w:szCs w:val="18"/>
                  <w:color w:val="0000FF"/>
                </w:rPr>
                <w:t>LSB Industries, dated September 23, 2021</w:t>
              </w:r>
            </w:hyperlink>
          </w:p>
        </w:tc>
        <w:tc>
          <w:tcPr>
            <w:tcW w:w="120" w:type="dxa"/>
            <w:vAlign w:val="bottom"/>
          </w:tcPr>
          <w:p>
            <w:pPr>
              <w:spacing w:after="0"/>
              <w:rPr>
                <w:sz w:val="17"/>
                <w:szCs w:val="17"/>
                <w:color w:val="auto"/>
              </w:rPr>
            </w:pPr>
          </w:p>
        </w:tc>
        <w:tc>
          <w:tcPr>
            <w:tcW w:w="4480" w:type="dxa"/>
            <w:vAlign w:val="bottom"/>
          </w:tcPr>
          <w:p>
            <w:pPr>
              <w:ind w:left="20"/>
              <w:spacing w:after="0" w:line="195" w:lineRule="exact"/>
              <w:rPr>
                <w:sz w:val="20"/>
                <w:szCs w:val="20"/>
                <w:color w:val="auto"/>
              </w:rPr>
            </w:pPr>
            <w:r>
              <w:rPr>
                <w:rFonts w:ascii="Arial" w:cs="Arial" w:eastAsia="Arial" w:hAnsi="Arial"/>
                <w:sz w:val="18"/>
                <w:szCs w:val="18"/>
                <w:color w:val="auto"/>
              </w:rPr>
              <w:t>Form S-3 filed on November 16,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40" w:type="dxa"/>
            <w:vAlign w:val="bottom"/>
            <w:gridSpan w:val="7"/>
          </w:tcPr>
          <w:p>
            <w:pPr>
              <w:spacing w:after="0"/>
              <w:rPr>
                <w:rFonts w:ascii="Arial" w:cs="Arial" w:eastAsia="Arial" w:hAnsi="Arial"/>
                <w:sz w:val="18"/>
                <w:szCs w:val="18"/>
                <w:color w:val="0000FF"/>
                <w:w w:val="89"/>
              </w:rPr>
            </w:pPr>
            <w:hyperlink r:id="rId145">
              <w:r>
                <w:rPr>
                  <w:rFonts w:ascii="Arial" w:cs="Arial" w:eastAsia="Arial" w:hAnsi="Arial"/>
                  <w:sz w:val="18"/>
                  <w:szCs w:val="18"/>
                  <w:color w:val="0000FF"/>
                  <w:w w:val="89"/>
                </w:rPr>
                <w:t>Second Amended and Restated Bylaws of LSB Industries, Inc., dated July</w:t>
              </w:r>
            </w:hyperlink>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3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20"/>
              <w:spacing w:after="0" w:line="195" w:lineRule="exact"/>
              <w:rPr>
                <w:sz w:val="20"/>
                <w:szCs w:val="20"/>
                <w:color w:val="auto"/>
              </w:rPr>
            </w:pPr>
            <w:r>
              <w:rPr>
                <w:rFonts w:ascii="Arial" w:cs="Arial" w:eastAsia="Arial" w:hAnsi="Arial"/>
                <w:sz w:val="18"/>
                <w:szCs w:val="18"/>
                <w:color w:val="auto"/>
              </w:rPr>
              <w:t>3(ii)</w:t>
            </w:r>
          </w:p>
        </w:tc>
        <w:tc>
          <w:tcPr>
            <w:tcW w:w="160" w:type="dxa"/>
            <w:vAlign w:val="bottom"/>
          </w:tcPr>
          <w:p>
            <w:pPr>
              <w:spacing w:after="0"/>
              <w:rPr>
                <w:sz w:val="17"/>
                <w:szCs w:val="17"/>
                <w:color w:val="auto"/>
              </w:rPr>
            </w:pPr>
          </w:p>
        </w:tc>
        <w:tc>
          <w:tcPr>
            <w:tcW w:w="640" w:type="dxa"/>
            <w:vAlign w:val="bottom"/>
          </w:tcPr>
          <w:p>
            <w:pPr>
              <w:spacing w:after="0" w:line="195" w:lineRule="exact"/>
              <w:rPr>
                <w:rFonts w:ascii="Arial" w:cs="Arial" w:eastAsia="Arial" w:hAnsi="Arial"/>
                <w:sz w:val="18"/>
                <w:szCs w:val="18"/>
                <w:color w:val="0000FF"/>
                <w:w w:val="85"/>
              </w:rPr>
            </w:pPr>
            <w:hyperlink r:id="rId145">
              <w:r>
                <w:rPr>
                  <w:rFonts w:ascii="Arial" w:cs="Arial" w:eastAsia="Arial" w:hAnsi="Arial"/>
                  <w:sz w:val="18"/>
                  <w:szCs w:val="18"/>
                  <w:color w:val="0000FF"/>
                  <w:w w:val="85"/>
                </w:rPr>
                <w:t>19, 2021</w:t>
              </w:r>
            </w:hyperlink>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ind w:left="20"/>
              <w:spacing w:after="0" w:line="195" w:lineRule="exact"/>
              <w:rPr>
                <w:sz w:val="20"/>
                <w:szCs w:val="20"/>
                <w:color w:val="auto"/>
              </w:rPr>
            </w:pPr>
            <w:r>
              <w:rPr>
                <w:rFonts w:ascii="Arial" w:cs="Arial" w:eastAsia="Arial" w:hAnsi="Arial"/>
                <w:sz w:val="18"/>
                <w:szCs w:val="18"/>
                <w:color w:val="auto"/>
                <w:w w:val="96"/>
              </w:rPr>
              <w:t>Exhibit 3.1 to the Company’s Form 8-K filed July 20, 2021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ind w:left="120"/>
              <w:spacing w:after="0"/>
              <w:rPr>
                <w:sz w:val="20"/>
                <w:szCs w:val="20"/>
                <w:color w:val="auto"/>
              </w:rPr>
            </w:pPr>
            <w:r>
              <w:rPr>
                <w:rFonts w:ascii="Arial" w:cs="Arial" w:eastAsia="Arial" w:hAnsi="Arial"/>
                <w:sz w:val="18"/>
                <w:szCs w:val="18"/>
                <w:color w:val="auto"/>
              </w:rPr>
              <w:t>31.1(a)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0000FF"/>
                <w:w w:val="95"/>
              </w:rPr>
              <w:t>Certification of Mark T. Behrman, Chief Executive Officer, pursuant to</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Arial" w:cs="Arial" w:eastAsia="Arial" w:hAnsi="Arial"/>
                <w:sz w:val="18"/>
                <w:szCs w:val="18"/>
                <w:color w:val="0000FF"/>
              </w:rPr>
              <w:t>Sarbanes-Oxley Act of 2002, Section 302</w:t>
            </w: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ind w:left="120"/>
              <w:spacing w:after="0"/>
              <w:rPr>
                <w:sz w:val="20"/>
                <w:szCs w:val="20"/>
                <w:color w:val="auto"/>
              </w:rPr>
            </w:pPr>
            <w:r>
              <w:rPr>
                <w:rFonts w:ascii="Arial" w:cs="Arial" w:eastAsia="Arial" w:hAnsi="Arial"/>
                <w:sz w:val="18"/>
                <w:szCs w:val="18"/>
                <w:color w:val="auto"/>
              </w:rPr>
              <w:t>31.2(a)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0000FF"/>
                <w:w w:val="96"/>
              </w:rPr>
              <w:t>Certification of Cheryl A. Maguire, Chief Financial Officer, pursuant to</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Arial" w:cs="Arial" w:eastAsia="Arial" w:hAnsi="Arial"/>
                <w:sz w:val="18"/>
                <w:szCs w:val="18"/>
                <w:color w:val="0000FF"/>
              </w:rPr>
              <w:t>Sarbanes-Oxley Act of 2002, Section 302</w:t>
            </w: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ind w:left="120"/>
              <w:spacing w:after="0"/>
              <w:rPr>
                <w:sz w:val="20"/>
                <w:szCs w:val="20"/>
                <w:color w:val="auto"/>
              </w:rPr>
            </w:pPr>
            <w:r>
              <w:rPr>
                <w:rFonts w:ascii="Arial" w:cs="Arial" w:eastAsia="Arial" w:hAnsi="Arial"/>
                <w:sz w:val="18"/>
                <w:szCs w:val="18"/>
                <w:color w:val="auto"/>
              </w:rPr>
              <w:t>32.1(a)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0000FF"/>
                <w:w w:val="98"/>
              </w:rPr>
              <w:t>Certification of Mark T. Behrman, Chief Executive Officer, furnished</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Arial" w:cs="Arial" w:eastAsia="Arial" w:hAnsi="Arial"/>
                <w:sz w:val="18"/>
                <w:szCs w:val="18"/>
                <w:color w:val="0000FF"/>
              </w:rPr>
              <w:t>pursuant to Sarbanes-Oxley Act of 2002, Section 906</w:t>
            </w: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ind w:left="120"/>
              <w:spacing w:after="0"/>
              <w:rPr>
                <w:sz w:val="20"/>
                <w:szCs w:val="20"/>
                <w:color w:val="auto"/>
              </w:rPr>
            </w:pPr>
            <w:r>
              <w:rPr>
                <w:rFonts w:ascii="Arial" w:cs="Arial" w:eastAsia="Arial" w:hAnsi="Arial"/>
                <w:sz w:val="18"/>
                <w:szCs w:val="18"/>
                <w:color w:val="auto"/>
              </w:rPr>
              <w:t>32.2(a)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0000FF"/>
                <w:w w:val="99"/>
              </w:rPr>
              <w:t>Certification of Cheryl A. Maguire, Chief Financial Officer, furnished</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534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gridSpan w:val="7"/>
          </w:tcPr>
          <w:p>
            <w:pPr>
              <w:spacing w:after="0" w:line="195" w:lineRule="exact"/>
              <w:rPr>
                <w:sz w:val="20"/>
                <w:szCs w:val="20"/>
                <w:color w:val="auto"/>
              </w:rPr>
            </w:pPr>
            <w:r>
              <w:rPr>
                <w:rFonts w:ascii="Arial" w:cs="Arial" w:eastAsia="Arial" w:hAnsi="Arial"/>
                <w:sz w:val="18"/>
                <w:szCs w:val="18"/>
                <w:color w:val="0000FF"/>
              </w:rPr>
              <w:t>pursuant to Sarbanes-Oxley Act of 2002, Section 906</w:t>
            </w: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840" w:type="dxa"/>
            <w:vAlign w:val="bottom"/>
            <w:gridSpan w:val="4"/>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140" w:type="dxa"/>
            <w:vAlign w:val="bottom"/>
          </w:tcPr>
          <w:p>
            <w:pPr>
              <w:ind w:left="20"/>
              <w:spacing w:after="0"/>
              <w:rPr>
                <w:sz w:val="20"/>
                <w:szCs w:val="20"/>
                <w:color w:val="auto"/>
              </w:rPr>
            </w:pPr>
            <w:r>
              <w:rPr>
                <w:rFonts w:ascii="Arial" w:cs="Arial" w:eastAsia="Arial" w:hAnsi="Arial"/>
                <w:sz w:val="18"/>
                <w:szCs w:val="18"/>
                <w:color w:val="auto"/>
              </w:rPr>
              <w:t>101.INS(a)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w w:val="89"/>
              </w:rPr>
              <w:t>Inline XBRL Instance Document – the instance document does not appear</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w w:val="93"/>
              </w:rPr>
              <w:t>in the Interactive Data File because its XBRL tags are embedded within</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the Inline XBRL document.</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101.SCH(a)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101.CAL(a)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101.DEF(a)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101.LAB(a)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20"/>
              <w:spacing w:after="0"/>
              <w:rPr>
                <w:sz w:val="20"/>
                <w:szCs w:val="20"/>
                <w:color w:val="auto"/>
              </w:rPr>
            </w:pPr>
            <w:r>
              <w:rPr>
                <w:rFonts w:ascii="Arial" w:cs="Arial" w:eastAsia="Arial" w:hAnsi="Arial"/>
                <w:sz w:val="18"/>
                <w:szCs w:val="18"/>
                <w:color w:val="auto"/>
              </w:rPr>
              <w:t>101.PRE(a)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140" w:type="dxa"/>
            <w:vAlign w:val="bottom"/>
          </w:tcPr>
          <w:p>
            <w:pPr>
              <w:ind w:left="20"/>
              <w:spacing w:after="0"/>
              <w:rPr>
                <w:sz w:val="20"/>
                <w:szCs w:val="20"/>
                <w:color w:val="auto"/>
              </w:rPr>
            </w:pPr>
            <w:r>
              <w:rPr>
                <w:rFonts w:ascii="Arial" w:cs="Arial" w:eastAsia="Arial" w:hAnsi="Arial"/>
                <w:sz w:val="18"/>
                <w:szCs w:val="18"/>
                <w:color w:val="auto"/>
              </w:rPr>
              <w:t>104(a)</w:t>
            </w:r>
          </w:p>
        </w:tc>
        <w:tc>
          <w:tcPr>
            <w:tcW w:w="160" w:type="dxa"/>
            <w:vAlign w:val="bottom"/>
          </w:tcPr>
          <w:p>
            <w:pPr>
              <w:spacing w:after="0"/>
              <w:rPr>
                <w:sz w:val="24"/>
                <w:szCs w:val="24"/>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w w:val="98"/>
              </w:rPr>
              <w:t>Cover Page Interactive Data File (embedded within the Inline XBRL</w:t>
            </w:r>
          </w:p>
        </w:tc>
        <w:tc>
          <w:tcPr>
            <w:tcW w:w="1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4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Filed herewith or 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day of May 2023.</w:t>
      </w:r>
    </w:p>
    <w:p>
      <w:pPr>
        <w:spacing w:after="0" w:line="10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LSB INDUSTRIES, INC.</w:t>
      </w:r>
    </w:p>
    <w:p>
      <w:pPr>
        <w:spacing w:after="0" w:line="3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23495</wp:posOffset>
            </wp:positionV>
            <wp:extent cx="36302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3630295" cy="8255"/>
                    </a:xfrm>
                    <a:prstGeom prst="rect">
                      <a:avLst/>
                    </a:prstGeom>
                    <a:noFill/>
                  </pic:spPr>
                </pic:pic>
              </a:graphicData>
            </a:graphic>
          </wp:anchor>
        </w:drawing>
      </w:r>
    </w:p>
    <w:p>
      <w:pPr>
        <w:spacing w:after="0" w:line="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6"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540" w:hanging="514"/>
        <w:spacing w:after="0" w:line="341" w:lineRule="auto"/>
        <w:tabs>
          <w:tab w:leader="none" w:pos="15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hanging="514"/>
        <w:spacing w:after="0" w:line="277" w:lineRule="auto"/>
        <w:tabs>
          <w:tab w:leader="none" w:pos="1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2023</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Behrman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6"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520" w:hanging="512"/>
        <w:spacing w:after="0" w:line="26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jc w:val="both"/>
        <w:ind w:left="1540" w:hanging="514"/>
        <w:spacing w:after="0" w:line="263"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left="520" w:hanging="512"/>
        <w:spacing w:after="0" w:line="307"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540" w:hanging="514"/>
        <w:spacing w:after="0" w:line="341" w:lineRule="auto"/>
        <w:tabs>
          <w:tab w:leader="none" w:pos="15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hanging="514"/>
        <w:spacing w:after="0" w:line="277" w:lineRule="auto"/>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2023</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1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2023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5" w:lineRule="exact"/>
        <w:rPr>
          <w:sz w:val="20"/>
          <w:szCs w:val="20"/>
          <w:color w:val="auto"/>
        </w:rPr>
      </w:pPr>
    </w:p>
    <w:p>
      <w:pPr>
        <w:ind w:left="1020" w:hanging="50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7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2023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5" w:lineRule="exact"/>
        <w:rPr>
          <w:sz w:val="20"/>
          <w:szCs w:val="20"/>
          <w:color w:val="auto"/>
        </w:rPr>
      </w:pPr>
    </w:p>
    <w:p>
      <w:pPr>
        <w:ind w:left="1020" w:hanging="504"/>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7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172720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decimal"/>
      <w:start w:val="6"/>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43" Type="http://schemas.openxmlformats.org/officeDocument/2006/relationships/hyperlink" Target="https://www.sec.gov/Archives/edgar/data/60714/000119312513084410/d447083dex3i1.htm" TargetMode="External"/><Relationship Id="rId144" Type="http://schemas.openxmlformats.org/officeDocument/2006/relationships/hyperlink" Target="https://www.sec.gov/Archives/edgar/data/0000060714/000119312521331386/d173096dex3i2.htm" TargetMode="External"/><Relationship Id="rId145" Type="http://schemas.openxmlformats.org/officeDocument/2006/relationships/hyperlink" Target="https://www.sec.gov/Archives/edgar/data/60714/000119312521219140/d18954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2023-05-03T15:29:09Z</dcterms:created>
  <dcterms:modified xsi:type="dcterms:W3CDTF">2023-05-03T15:29:09Z</dcterms:modified>
</cp:coreProperties>
</file>