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60331.htm"/>
      <w:bookmarkStart w:id="1" w:name="kslxu20260331"/>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(405) 235-4546</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71,922,085 shares as of April 24,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March 31, 2026 is unaudited)</w:t>
      </w:r>
    </w:p>
    <w:tbl>
      <w:tblPr>
        <w:tblW w:w="9990" w:type="dxa"/>
        <w:jc w:val="left"/>
        <w:tblInd w:w="0" w:type="dxa"/>
        <w:tblLayout w:type="fixed"/>
        <w:tblCellMar>
          <w:top w:w="28" w:type="dxa"/>
          <w:left w:w="28" w:type="dxa"/>
          <w:bottom w:w="28" w:type="dxa"/>
          <w:right w:w="28" w:type="dxa"/>
        </w:tblCellMar>
      </w:tblPr>
      <w:tblGrid>
        <w:gridCol w:w="6061"/>
        <w:gridCol w:w="146"/>
        <w:gridCol w:w="241"/>
        <w:gridCol w:w="1019"/>
        <w:gridCol w:w="166"/>
        <w:gridCol w:w="146"/>
        <w:gridCol w:w="287"/>
        <w:gridCol w:w="1213"/>
        <w:gridCol w:w="7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128,960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Precious metals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33,399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65,905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293,294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833,525</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45,571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46,720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1,173,539</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64,514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105,511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440,295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37,668</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69,557</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$.10</w:t>
            </w:r>
            <w:r>
              <w:rPr>
                <w:rFonts w:ascii="Times New Roman" w:hAnsi="Times New Roman"/>
                <w:color w:val="000000"/>
                <w:sz w:val="20"/>
              </w:rPr>
              <w:t> </w:t>
            </w:r>
            <w:r>
              <w:rPr>
                <w:rFonts w:ascii="Times New Roman" w:hAnsi="Times New Roman"/>
                <w:color w:val="000000"/>
                <w:sz w:val="18"/>
              </w:rPr>
              <w:t>par value per share; 150</w:t>
            </w:r>
            <w:r>
              <w:rPr>
                <w:rFonts w:ascii="Times New Roman" w:hAnsi="Times New Roman"/>
                <w:color w:val="000000"/>
                <w:sz w:val="20"/>
              </w:rPr>
              <w:t> </w:t>
            </w:r>
            <w:r>
              <w:rPr>
                <w:rFonts w:ascii="Times New Roman" w:hAnsi="Times New Roman"/>
                <w:color w:val="000000"/>
                <w:sz w:val="18"/>
              </w:rPr>
              <w:t xml:space="preserve">million shares authorized, </w:t>
              <w:br/>
              <w:t>   91.2</w:t>
            </w:r>
            <w:r>
              <w:rPr>
                <w:rFonts w:ascii="Times New Roman" w:hAnsi="Times New Roman"/>
                <w:color w:val="000000"/>
                <w:sz w:val="20"/>
              </w:rPr>
              <w:t> </w:t>
            </w:r>
            <w:r>
              <w:rPr>
                <w:rFonts w:ascii="Times New Roman" w:hAnsi="Times New Roman"/>
                <w:color w:val="000000"/>
                <w:sz w:val="18"/>
              </w:rPr>
              <w:t>million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506,821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232,275</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748,213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19.3</w:t>
            </w:r>
            <w:r>
              <w:rPr>
                <w:rFonts w:ascii="Times New Roman" w:hAnsi="Times New Roman"/>
                <w:color w:val="000000"/>
                <w:sz w:val="20"/>
              </w:rPr>
              <w:t> </w:t>
            </w:r>
            <w:r>
              <w:rPr>
                <w:rFonts w:ascii="Times New Roman" w:hAnsi="Times New Roman"/>
                <w:color w:val="000000"/>
                <w:sz w:val="18"/>
              </w:rPr>
              <w:t>million shares (19.5</w:t>
            </w:r>
            <w:r>
              <w:rPr>
                <w:rFonts w:ascii="Times New Roman" w:hAnsi="Times New Roman"/>
                <w:color w:val="000000"/>
                <w:sz w:val="20"/>
              </w:rPr>
              <w:t> </w:t>
            </w:r>
            <w:r>
              <w:rPr>
                <w:rFonts w:ascii="Times New Roman" w:hAnsi="Times New Roman"/>
                <w:color w:val="000000"/>
                <w:sz w:val="18"/>
              </w:rPr>
              <w:t>million shares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228,240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519,973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1,173,539</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622" w:type="dxa"/>
        <w:jc w:val="left"/>
        <w:tblInd w:w="0" w:type="dxa"/>
        <w:tblLayout w:type="fixed"/>
        <w:tblCellMar>
          <w:top w:w="28" w:type="dxa"/>
          <w:left w:w="28" w:type="dxa"/>
          <w:bottom w:w="28" w:type="dxa"/>
          <w:right w:w="28" w:type="dxa"/>
        </w:tblCellMar>
      </w:tblPr>
      <w:tblGrid>
        <w:gridCol w:w="3661"/>
        <w:gridCol w:w="146"/>
        <w:gridCol w:w="296"/>
        <w:gridCol w:w="1098"/>
        <w:gridCol w:w="232"/>
        <w:gridCol w:w="204"/>
        <w:gridCol w:w="296"/>
        <w:gridCol w:w="1098"/>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169,487</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133,693</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149"/>
        <w:gridCol w:w="617"/>
        <w:gridCol w:w="146"/>
        <w:gridCol w:w="146"/>
        <w:gridCol w:w="146"/>
        <w:gridCol w:w="662"/>
        <w:gridCol w:w="166"/>
        <w:gridCol w:w="146"/>
        <w:gridCol w:w="212"/>
        <w:gridCol w:w="554"/>
        <w:gridCol w:w="146"/>
        <w:gridCol w:w="146"/>
        <w:gridCol w:w="196"/>
        <w:gridCol w:w="691"/>
        <w:gridCol w:w="166"/>
        <w:gridCol w:w="146"/>
        <w:gridCol w:w="262"/>
        <w:gridCol w:w="927"/>
        <w:gridCol w:w="166"/>
        <w:gridCol w:w="146"/>
        <w:gridCol w:w="196"/>
        <w:gridCol w:w="751"/>
        <w:gridCol w:w="166"/>
        <w:gridCol w:w="146"/>
        <w:gridCol w:w="196"/>
        <w:gridCol w:w="691"/>
        <w:gridCol w:w="214"/>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542,949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8"/>
        <w:gridCol w:w="872"/>
        <w:gridCol w:w="171"/>
        <w:gridCol w:w="150"/>
        <w:gridCol w:w="218"/>
        <w:gridCol w:w="763"/>
        <w:gridCol w:w="615"/>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condensed consolidated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Annual Report on Form 10-K for the year ended December 31, 2025 (our “2025 Form 10-K”), filed with the SEC on February 26, 2026. The accompanying unaudited interim financial statements in this report reflect all adjustments that are, in the opinion of management, necessary for a fair statement of the Company’s results of operations and cash flows for the three months ended March 31, 2026 and 2025 and the Company’s financial position as of March 31, 2026.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Industries, Inc. and its subsidiaries are consolidated in the accompanying unaudited condensed consolidated interim financial statements. All intercompany accounts and transactions have been eliminated. Certain prior period amounts reported in our unaudited condensed consolidated interim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(i) ammonia and urea ammonia nitrate (“UAN”) for agricultural applications, and (ii)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pStyle w:val="TextBody"/>
        <w:bidi w:val="0"/>
        <w:spacing w:before="10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sz w:val="20"/>
        </w:rPr>
      </w:pPr>
      <w:r>
        <w:rPr>
          <w:rFonts w:ascii="Times New Roman" w:hAnsi="Times New Roman"/>
          <w:b/>
          <w:color w:val="000000"/>
          <w:sz w:val="20"/>
        </w:rPr>
        <w:t>Equity Awards</w:t>
      </w:r>
      <w:r>
        <w:rPr>
          <w:rFonts w:ascii="Times New Roman" w:hAnsi="Times New Roman"/>
          <w:color w:val="000000"/>
          <w:sz w:val="20"/>
        </w:rPr>
        <w:t xml:space="preserve"> – Equity award transactions with employees are measured based on the estimated fair value of the equity awards issued. For equity awards with only a service condition, the grant date fair value is based on the market price of our common stock and compensation is recognized so long as the service condition is met. For equity awards with simultaneous service, market and performance conditions, the grant date fair value is based on a Monte Carlo simulation, and compensation is recognized so long as the service condition is met and it is probable the performance condition will be achieved without regard to the outcome of the market condition. For equity awards with a service and market condition, the grant date fair value is based on a Monte Carlo simulation, and compensation cost is recognized so long as the service condition is met, without regard to the outcome of the market condition. For equity awards with service conditions that have a graded vesting period, we recognize compensation cost on a straight-line basis over the requisite service period for the entire award. Forfeitures are accounted for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we entered into a side letter agreement (the “Side Letter”) with our Chief Executive Officer, Mark T. Behrman, which modifies all of Mr. Behrman’s outstanding equity awards to incorporate qualifying retirement provisions. Pursuant to the Side Letter, upon a qualifying retirement, all of Mr. Behrman’s outstanding time-based restricted stock units (“RSU”) will accelerate and vest in full. Additionally, all outstanding performance-based RSUs will accelerate and vest at the greater of (i) target or (ii) actual performance through the retirement date, as determined by our Compensation Committee of the Board of Directors. For the purposes of the Side Letter, a “qualifying retirement” is defined as a voluntary retirement occurring (i) on or after age 63 with at least five years of service, (ii) more than one year after the applicable grant date, and (iii) absence of any determination by us of grounds for termination for cause. All future equity awards granted to Mr. Behrman shall also include the same qualifying retirement provisions, unless otherwise agreed in writing by us and Mr. Behrman.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execution of the Side Letter, Mr. Behrman met the criteria for a qualifying retirement with respect to his equity awards granted in 2024 and 2025. As a result of the shortened amount of time that Mr. Behrman would be required to serve in order to be eligible for vesting, we accelerated recognition of the remaining compensation cost associated with those grants in the amount of $3.1 million during the first quarter of 2026. The modification impacted the timing of expense recognition for the impacted awards by bringing it forward but did not increase total compensation cost.</w:t>
      </w:r>
    </w:p>
    <w:p>
      <w:pPr>
        <w:pStyle w:val="TextBody"/>
        <w:bidi w:val="0"/>
        <w:spacing w:before="100" w:after="120"/>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securities with remaining maturity at the time of purchase greater than three months but less than 12 months, are considered short-term investments and are classified as Level 1 under the fair value hierarchy. These investments are classified as held to maturity, consistent with our intent to hold these investments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Substantially all of our accounts receivable consists of trade receivables from customers. We have recognized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Long-Lived Assets </w:t>
      </w:r>
      <w:r>
        <w:rPr>
          <w:rFonts w:ascii="Times New Roman" w:hAnsi="Times New Roman"/>
          <w:color w:val="000000"/>
          <w:sz w:val="20"/>
        </w:rPr>
        <w:t xml:space="preserve">–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event or change in circumstance relates to the probable sale of an asset (or group of assets), the specific asset (or group of assets) is reviewed for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we recorded asset write-downs in the amount of $0.3 million. For the three months ended March 31, 2025, we recorded asset write-downs in the amount of $0.1 million. These asset write-downs are included in “Other (income) expense, net” on our condensed consolidated statements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Assets Held For Sale </w:t>
      </w:r>
      <w:r>
        <w:rPr>
          <w:rFonts w:ascii="Times New Roman" w:hAnsi="Times New Roman"/>
          <w:color w:val="000000"/>
          <w:sz w:val="20"/>
        </w:rPr>
        <w:t xml:space="preserve">– In general, assets held for sale are reported at the lower of the carrying amounts of the assets or fair values less costs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third quarter of 2025, we entered into purchase and sale agreements for the disposition of real estate and tangible property for two former agricultural retail locations that had ceased operations. We closed on the sale of the first location on October 20, 2025, and closed on the sale of the second location on February 2, 2026. The aggregate purchase price for the real estate and tangible personal property at both locations was approximately $4.2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2025, we received an offer with respect to another parcel of land we own, for which we are currently negotiating a purchase and sale agreement. As the offer price was less than the carrying value of the land at the time, we recorded an impairment of $1.5 million on the parcel of 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classified as held for sale on the condensed consolidated balance sheet as of March 31, 2026, reflect the net book value of the parcel of land for which a sale is pending.</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assess such 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In order to mitigate a portion of the commodity price risk associated with natural gas, which we utilize 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are the lessee in most of the lease arrangements we enter into.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lessee,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short-term basis to other parties. The income from these subleases is recorded as a component of “Other income, net” in our condensed consolidated statements of operations. For the three months ended March 31, 2026 and 2025, sublease income was not material.</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 of March 31, 2026, we had an executed operating lease for railcars with a lease </w:t>
      </w:r>
      <w:r>
        <w:rPr>
          <w:rFonts w:ascii="Times New Roman" w:hAnsi="Times New Roman"/>
          <w:color w:val="111827"/>
          <w:sz w:val="20"/>
        </w:rPr>
        <w:t>that has not yet commenced. The lease has a term greater than one year, with aggregate lease payments of approximately $10.2 million.</w:t>
      </w:r>
    </w:p>
    <w:p>
      <w:pPr>
        <w:pStyle w:val="TextBody"/>
        <w:bidi w:val="0"/>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2025-05 - </w:t>
      </w:r>
      <w:r>
        <w:rPr>
          <w:rFonts w:ascii="Times New Roman" w:hAnsi="Times New Roman"/>
          <w:color w:val="000000"/>
          <w:sz w:val="20"/>
        </w:rPr>
        <w:t xml:space="preserve">In July 2025, the Financial Accounting Standards Board (“FASB”) issued ASU 2025-05, </w:t>
      </w:r>
      <w:r>
        <w:rPr>
          <w:rFonts w:ascii="Times New Roman" w:hAnsi="Times New Roman"/>
          <w:i/>
          <w:color w:val="000000"/>
          <w:sz w:val="20"/>
        </w:rPr>
        <w:t xml:space="preserve">Financial Instruments—Credit Losses (Topic 326): Measurements of Credit Losses for Accounts Receivable and Contract Assets </w:t>
      </w:r>
      <w:r>
        <w:rPr>
          <w:rFonts w:ascii="Times New Roman" w:hAnsi="Times New Roman"/>
          <w:color w:val="000000"/>
          <w:sz w:val="20"/>
        </w:rPr>
        <w:t xml:space="preserve">(“ASU 2025-05”). The amendments in this ASU provide a practical expedient related to the estimation of expected credit losses for current accounts receivable and current contract assets that arise from our sales transactions. The practical expedient permits us to assume current conditions as of the balance sheet date that do not change for the remaining life of the current accounts receivable and current contract assets. </w:t>
      </w:r>
      <w:r>
        <w:rPr>
          <w:rFonts w:ascii="times new roman;serif" w:hAnsi="times new roman;serif"/>
          <w:color w:val="000000"/>
          <w:sz w:val="20"/>
        </w:rPr>
        <w:t>Public business entities are not permitted to elect the optional accounting policy to consider subsequent cash collections. We adopted ASU 2025</w:t>
        <w:noBreakHyphen/>
        <w:t>05 on January 1, 2026, on a prospective basis. The adoption did not have a material impact on our condensed consolidated financial statements. No changes were made to our credit</w:t>
        <w:noBreakHyphen/>
        <w:t>loss estimation methodologies.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2024-03 - </w:t>
      </w: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we are currently evaluating the effect of adopting this ASU on the disclosures in our financial statements, we do not expect this ASU to impact our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2025-11 - </w:t>
      </w: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Narrow-Scope Improvements. </w:t>
      </w:r>
      <w:r>
        <w:rPr>
          <w:rFonts w:ascii="Times New Roman" w:hAnsi="Times New Roman"/>
          <w:color w:val="000000"/>
          <w:sz w:val="20"/>
        </w:rPr>
        <w:t>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us beginning in the fiscal year ending December 31, 2027, including interim periods within those fiscal years. While we are currently evaluating the effect of adopting this ASU on the disclosures in our financial statements, we do not expect this ASU to impact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2026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Income (Loss) per Common Share</w:t>
      </w:r>
      <w:r>
        <w:rPr>
          <w:rFonts w:ascii="Times New Roman" w:hAnsi="Times New Roman"/>
          <w:color w:val="000000"/>
          <w:sz w:val="20"/>
        </w:rPr>
        <w:t xml:space="preserve"> </w:t>
      </w:r>
    </w:p>
    <w:tbl>
      <w:tblPr>
        <w:tblW w:w="8897" w:type="dxa"/>
        <w:jc w:val="left"/>
        <w:tblInd w:w="0" w:type="dxa"/>
        <w:tblLayout w:type="fixed"/>
        <w:tblCellMar>
          <w:top w:w="28" w:type="dxa"/>
          <w:left w:w="28" w:type="dxa"/>
          <w:bottom w:w="28" w:type="dxa"/>
          <w:right w:w="28" w:type="dxa"/>
        </w:tblCellMar>
      </w:tblPr>
      <w:tblGrid>
        <w:gridCol w:w="4536"/>
        <w:gridCol w:w="146"/>
        <w:gridCol w:w="329"/>
        <w:gridCol w:w="1056"/>
        <w:gridCol w:w="227"/>
        <w:gridCol w:w="227"/>
        <w:gridCol w:w="329"/>
        <w:gridCol w:w="1056"/>
        <w:gridCol w:w="99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basic net income (loss) per</w:t>
              <w:br/>
              <w:t>    common share - adjusted 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for diluted net income (loss) per</w:t>
              <w:br/>
              <w:t>    common share - adjusted 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73,065</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securities were not included in the computation of diluted net income (loss) per common share as their effect would have been antidilutive:</w:t>
      </w:r>
    </w:p>
    <w:tbl>
      <w:tblPr>
        <w:tblW w:w="5291" w:type="dxa"/>
        <w:jc w:val="left"/>
        <w:tblInd w:w="0" w:type="dxa"/>
        <w:tblLayout w:type="fixed"/>
        <w:tblCellMar>
          <w:top w:w="28" w:type="dxa"/>
          <w:left w:w="28" w:type="dxa"/>
          <w:bottom w:w="28" w:type="dxa"/>
          <w:right w:w="28" w:type="dxa"/>
        </w:tblCellMar>
      </w:tblPr>
      <w:tblGrid>
        <w:gridCol w:w="2701"/>
        <w:gridCol w:w="146"/>
        <w:gridCol w:w="1003"/>
        <w:gridCol w:w="187"/>
        <w:gridCol w:w="1254"/>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263,446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2,030,647</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263,446</w:t>
            </w:r>
          </w:p>
        </w:tc>
        <w:tc>
          <w:tcPr>
            <w:tcW w:w="1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2,030,647</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7290" w:type="dxa"/>
        <w:jc w:val="left"/>
        <w:tblInd w:w="0" w:type="dxa"/>
        <w:tblLayout w:type="fixed"/>
        <w:tblCellMar>
          <w:top w:w="28" w:type="dxa"/>
          <w:left w:w="28" w:type="dxa"/>
          <w:bottom w:w="28" w:type="dxa"/>
          <w:right w:w="28" w:type="dxa"/>
        </w:tblCellMar>
      </w:tblPr>
      <w:tblGrid>
        <w:gridCol w:w="3901"/>
        <w:gridCol w:w="146"/>
        <w:gridCol w:w="299"/>
        <w:gridCol w:w="961"/>
        <w:gridCol w:w="146"/>
        <w:gridCol w:w="146"/>
        <w:gridCol w:w="357"/>
        <w:gridCol w:w="1143"/>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8845" w:type="dxa"/>
        <w:jc w:val="left"/>
        <w:tblInd w:w="0" w:type="dxa"/>
        <w:tblLayout w:type="fixed"/>
        <w:tblCellMar>
          <w:top w:w="28" w:type="dxa"/>
          <w:left w:w="28" w:type="dxa"/>
          <w:bottom w:w="28" w:type="dxa"/>
          <w:right w:w="28" w:type="dxa"/>
        </w:tblCellMar>
      </w:tblPr>
      <w:tblGrid>
        <w:gridCol w:w="5416"/>
        <w:gridCol w:w="146"/>
        <w:gridCol w:w="268"/>
        <w:gridCol w:w="992"/>
        <w:gridCol w:w="166"/>
        <w:gridCol w:w="146"/>
        <w:gridCol w:w="319"/>
        <w:gridCol w:w="1181"/>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due 2028, with an interest rate of 6.25%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Debt issuance costs as of March 31, 2026 and December 31, 2025 of approximately $0.4</w:t>
      </w:r>
      <w:r>
        <w:rPr>
          <w:color w:val="000000"/>
        </w:rPr>
        <w:t xml:space="preserve"> </w:t>
      </w:r>
      <w:r>
        <w:rPr>
          <w:rFonts w:ascii="Times New Roman" w:hAnsi="Times New Roman"/>
          <w:color w:val="000000"/>
          <w:sz w:val="16"/>
        </w:rPr>
        <w:t>million and</w:t>
      </w:r>
      <w:r>
        <w:rPr>
          <w:color w:val="000000"/>
        </w:rPr>
        <w:t xml:space="preserve"> </w:t>
      </w:r>
      <w:r>
        <w:rPr>
          <w:rFonts w:ascii="Times New Roman" w:hAnsi="Times New Roman"/>
          <w:color w:val="000000"/>
          <w:sz w:val="16"/>
        </w:rPr>
        <w:t>$0.5</w:t>
      </w:r>
      <w:r>
        <w:rPr>
          <w:color w:val="000000"/>
        </w:rPr>
        <w:t xml:space="preserve"> </w:t>
      </w:r>
      <w:r>
        <w:rPr>
          <w:rFonts w:ascii="Times New Roman" w:hAnsi="Times New Roman"/>
          <w:color w:val="000000"/>
          <w:sz w:val="16"/>
        </w:rPr>
        <w:t>million, respectively, relating to our Revolving Credit Facility (defined below) are not included in Unamortized debt issuance costs. Such costs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pPr>
      <w:r>
        <w:rPr>
          <w:rFonts w:ascii="Times New Roman" w:hAnsi="Times New Roman"/>
          <w:color w:val="000000"/>
          <w:sz w:val="20"/>
        </w:rPr>
        <w:t>The revolving credit facility pursuant to a credit agreement, dated December 21, 2023, between us, the lenders identified on the signature pages thereof and JPMorgan Chase Bank, N.A, as administrative agent (the “Revolving Credit Facility”),</w:t>
      </w:r>
      <w:r>
        <w:rPr>
          <w:color w:val="000000"/>
        </w:rPr>
        <w:t xml:space="preserve"> </w:t>
      </w:r>
      <w:r>
        <w:rPr>
          <w:rFonts w:ascii="Times New Roman" w:hAnsi="Times New Roman"/>
          <w:color w:val="000000"/>
          <w:sz w:val="20"/>
        </w:rPr>
        <w:t>provides for borrowings up to an initial maximum of $75</w:t>
      </w:r>
      <w:r>
        <w:rPr>
          <w:color w:val="000000"/>
        </w:rPr>
        <w:t xml:space="preserve"> </w:t>
      </w:r>
      <w:r>
        <w:rPr>
          <w:rFonts w:ascii="Times New Roman" w:hAnsi="Times New Roman"/>
          <w:color w:val="000000"/>
          <w:sz w:val="20"/>
        </w:rPr>
        <w:t>million, with an option to increase the maximum by an additional $25</w:t>
      </w:r>
      <w:r>
        <w:rPr>
          <w:color w:val="000000"/>
        </w:rPr>
        <w:t xml:space="preserve"> </w:t>
      </w:r>
      <w:r>
        <w:rPr>
          <w:rFonts w:ascii="Times New Roman" w:hAnsi="Times New Roman"/>
          <w:color w:val="000000"/>
          <w:sz w:val="20"/>
        </w:rPr>
        <w:t>million (which amount is uncommitted). Availability under the Revolving Credit Facility is subject to a borrowing base and is also subject to an availability block of $7.5</w:t>
      </w:r>
      <w:r>
        <w:rPr>
          <w:color w:val="000000"/>
        </w:rPr>
        <w:t xml:space="preserve"> </w:t>
      </w:r>
      <w:r>
        <w:rPr>
          <w:rFonts w:ascii="Times New Roman" w:hAnsi="Times New Roman"/>
          <w:color w:val="000000"/>
          <w:sz w:val="20"/>
        </w:rPr>
        <w:t>million (which can be removed by us at our sole discretion, subject to the satisfaction of certain conditions) (the “Availability Block”). The Availability Block is applied against the $75</w:t>
      </w:r>
      <w:r>
        <w:rPr>
          <w:color w:val="000000"/>
        </w:rPr>
        <w:t xml:space="preserve"> </w:t>
      </w:r>
      <w:r>
        <w:rPr>
          <w:rFonts w:ascii="Times New Roman" w:hAnsi="Times New Roman"/>
          <w:color w:val="000000"/>
          <w:sz w:val="20"/>
        </w:rPr>
        <w:t>million maximum. The Revolving Credit Facility provides for a sub-facility for the issuance of letters of credit in an aggregate amount not to exceed $10</w:t>
      </w:r>
      <w:r>
        <w:rPr>
          <w:color w:val="000000"/>
        </w:rPr>
        <w:t xml:space="preserve"> </w:t>
      </w:r>
      <w:r>
        <w:rPr>
          <w:rFonts w:ascii="Times New Roman" w:hAnsi="Times New Roman"/>
          <w:color w:val="000000"/>
          <w:sz w:val="20"/>
        </w:rPr>
        <w:t>million, with the outstanding amount of any such letters of credit reducing availability for borrowings. As of March 31, 2026, our Revolving Credit Facility was undrawn and had approximately $59</w:t>
      </w:r>
      <w:r>
        <w:rPr>
          <w:color w:val="000000"/>
        </w:rPr>
        <w:t xml:space="preserve"> </w:t>
      </w:r>
      <w:r>
        <w:rPr>
          <w:rFonts w:ascii="Times New Roman" w:hAnsi="Times New Roman"/>
          <w:color w:val="000000"/>
          <w:sz w:val="20"/>
        </w:rPr>
        <w:t xml:space="preserve">million of availability, based on our eligible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our option,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all of its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March 31,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issued at par an aggregate total of $700 million principal value of our Senior Secured Notes due 2028 (“Senior Secured Notes”). The Senior Secured Notes, which mature in October 2028, bear interest at a rate of 6.25% paid in arrears on May 15 and October 15 of each year. From time to time, we have engaged in open market repurchases to extinguish a portion of the outstanding balance. We did not repurchase any of our Senior Secured Notes during the three months ended March 31, 2026 or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leases consist primarily of leases on railcars.</w:t>
      </w:r>
    </w:p>
    <w:p>
      <w:pPr>
        <w:pStyle w:val="TextBody"/>
        <w:bidi w:val="0"/>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Certain of our natural gas contracts qualify for the NPNS exception under U.S. GAAP and thus are not financial instruments for which we mark-to-market. At March 31, 2026, these contracts included volume purchase commitments with fixed prices of approximately 0.7 million MMBtus of natural gas that cover a period from April 2026 through June 2026. The weighted-average fixed price of the natural gas covered by these contracts was $2.84 per MMBtu, for a total of $1.9 million. Based on market prices at March 31, 2026, the weighted-average price of the fixed contracts was $2.64 per MMBtu, for a total of $1.7 million. </w:t>
      </w:r>
      <w:r>
        <w:rPr>
          <w:rFonts w:ascii="Times New Roman" w:hAnsi="Times New Roman"/>
          <w:color w:val="242424"/>
          <w:sz w:val="20"/>
        </w:rPr>
        <w:t xml:space="preserve">From time to time, when we exceed the funding threshold in our natural gas purchase commitments, we are required to fund cash collateral to our counterparty. </w:t>
      </w:r>
      <w:r>
        <w:rPr>
          <w:rFonts w:ascii="Times New Roman" w:hAnsi="Times New Roman"/>
          <w:color w:val="000000"/>
          <w:sz w:val="20"/>
        </w:rPr>
        <w:t xml:space="preserve">As of March 31, 2026, we had no counterparty cash collateral funding requirements.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The 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United States Environmental Protection Agency (the “EPA”).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The ADEQ provided notice of the cash penalty amount related to the NOV, which amount was not material and was paid in the third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pStyle w:val="TextBody"/>
        <w:bidi w:val="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the contracts are not designated as hedging instruments. At March 31, 2026 and December 31, 2025, we had no outstanding forward natural gas contracts or volume purchase commitments accounted for as derivatives. When present in the past, the valuations of the natural gas contracts were classified as a Level 2 fair value measurement.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2026 and December 31, 2025,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cash equivalents and short-term investments are a Level 1 fair value measurement. The fair value of financial instruments is not indicative of the overall fair value of our assets and liabilities since financial instruments do not include all assets, including intangibles, and all liabilities.</w:t>
      </w:r>
    </w:p>
    <w:tbl>
      <w:tblPr>
        <w:tblW w:w="6418" w:type="dxa"/>
        <w:jc w:val="left"/>
        <w:tblInd w:w="0" w:type="dxa"/>
        <w:tblLayout w:type="fixed"/>
        <w:tblCellMar>
          <w:top w:w="28" w:type="dxa"/>
          <w:left w:w="28" w:type="dxa"/>
          <w:bottom w:w="28" w:type="dxa"/>
          <w:right w:w="28" w:type="dxa"/>
        </w:tblCellMar>
      </w:tblPr>
      <w:tblGrid>
        <w:gridCol w:w="1861"/>
        <w:gridCol w:w="146"/>
        <w:gridCol w:w="267"/>
        <w:gridCol w:w="514"/>
        <w:gridCol w:w="146"/>
        <w:gridCol w:w="146"/>
        <w:gridCol w:w="303"/>
        <w:gridCol w:w="582"/>
        <w:gridCol w:w="146"/>
        <w:gridCol w:w="146"/>
        <w:gridCol w:w="267"/>
        <w:gridCol w:w="514"/>
        <w:gridCol w:w="152"/>
        <w:gridCol w:w="152"/>
        <w:gridCol w:w="303"/>
        <w:gridCol w:w="5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sz w:val="20"/>
        </w:rPr>
      </w:pPr>
      <w:r>
        <w:rPr>
          <w:rFonts w:ascii="Times New Roman" w:hAnsi="Times New Roman"/>
          <w:color w:val="000000"/>
          <w:sz w:val="17"/>
        </w:rPr>
        <w:t>Based on a quoted price of 99.2</w:t>
      </w:r>
      <w:r>
        <w:rPr>
          <w:rFonts w:ascii="Times New Roman" w:hAnsi="Times New Roman"/>
          <w:color w:val="000000"/>
          <w:sz w:val="20"/>
        </w:rPr>
        <w:t xml:space="preserve"> </w:t>
      </w:r>
      <w:r>
        <w:rPr>
          <w:rFonts w:ascii="Times New Roman" w:hAnsi="Times New Roman"/>
          <w:color w:val="000000"/>
          <w:sz w:val="17"/>
        </w:rPr>
        <w:t>at</w:t>
      </w:r>
      <w:r>
        <w:rPr>
          <w:rFonts w:ascii="Times New Roman" w:hAnsi="Times New Roman"/>
          <w:color w:val="000000"/>
          <w:sz w:val="20"/>
        </w:rPr>
        <w:t xml:space="preserve"> </w:t>
      </w:r>
      <w:r>
        <w:rPr>
          <w:rFonts w:ascii="Times New Roman" w:hAnsi="Times New Roman"/>
          <w:color w:val="000000"/>
          <w:sz w:val="17"/>
        </w:rPr>
        <w:t>March 31, 2026</w:t>
      </w:r>
      <w:r>
        <w:rPr>
          <w:rFonts w:ascii="Times New Roman" w:hAnsi="Times New Roman"/>
          <w:color w:val="000000"/>
          <w:sz w:val="20"/>
        </w:rPr>
        <w:t xml:space="preserve"> </w:t>
      </w:r>
      <w:r>
        <w:rPr>
          <w:rFonts w:ascii="Times New Roman" w:hAnsi="Times New Roman"/>
          <w:color w:val="000000"/>
          <w:sz w:val="17"/>
        </w:rPr>
        <w:t>and 99.5</w:t>
      </w:r>
      <w:r>
        <w:rPr>
          <w:rFonts w:ascii="Times New Roman" w:hAnsi="Times New Roman"/>
          <w:color w:val="000000"/>
          <w:sz w:val="20"/>
        </w:rPr>
        <w:t xml:space="preserve"> </w:t>
      </w:r>
      <w:r>
        <w:rPr>
          <w:rFonts w:ascii="Times New Roman" w:hAnsi="Times New Roman"/>
          <w:color w:val="000000"/>
          <w:sz w:val="17"/>
        </w:rPr>
        <w:t>at December 31, 2025. Also see discussion in Note 4</w:t>
      </w:r>
      <w:r>
        <w:rPr>
          <w:rFonts w:ascii="Times New Roman" w:hAnsi="Times New Roman"/>
          <w:color w:val="000000"/>
          <w:sz w:val="20"/>
        </w:rPr>
        <w:t xml:space="preserve"> </w:t>
      </w:r>
      <w:r>
        <w:rPr>
          <w:rFonts w:ascii="Times New Roman" w:hAnsi="Times New Roman"/>
          <w:color w:val="000000"/>
          <w:sz w:val="17"/>
        </w:rPr>
        <w:t>(B).</w:t>
      </w:r>
    </w:p>
    <w:p>
      <w:pPr>
        <w:pStyle w:val="TextBody"/>
        <w:bidi w:val="0"/>
        <w:spacing w:before="120" w:after="283"/>
        <w:jc w:val="both"/>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Benefit for income taxes is as follows: </w:t>
      </w:r>
    </w:p>
    <w:tbl>
      <w:tblPr>
        <w:tblW w:w="6115" w:type="dxa"/>
        <w:jc w:val="left"/>
        <w:tblInd w:w="0" w:type="dxa"/>
        <w:tblLayout w:type="fixed"/>
        <w:tblCellMar>
          <w:top w:w="28" w:type="dxa"/>
          <w:left w:w="28" w:type="dxa"/>
          <w:bottom w:w="28" w:type="dxa"/>
          <w:right w:w="28" w:type="dxa"/>
        </w:tblCellMar>
      </w:tblPr>
      <w:tblGrid>
        <w:gridCol w:w="2761"/>
        <w:gridCol w:w="146"/>
        <w:gridCol w:w="274"/>
        <w:gridCol w:w="820"/>
        <w:gridCol w:w="215"/>
        <w:gridCol w:w="189"/>
        <w:gridCol w:w="274"/>
        <w:gridCol w:w="625"/>
        <w:gridCol w:w="8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income tax benefit for the three months ended March 31, 2026, was $2.1 million (12.1 % benefit on pre-tax income). The income tax benefit for the three months ended March 31, 2025, was $0.3 million (14.7% benefit on pre-tax loss). For 2026, the effective tax rate was lower than the statutory tax rate primarily due to the release of state valuation allowances described below, partially offset by nondeductible compensation expense. For 2025, the effective tax rate was lower than the statutory tax rate primarily due to change in valuation allowance and nondeductible compensation, partially offset by state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2026, our results of operations and expected results for the remainder of 2026 and future years significantly improved compared to our prior year-end forecast, primarily due to a favorable shift in pricing conditions across our product portfolio resulting from global supply constraints. This improvement supported the inclusion of future taxable income in our quarterly analysis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four sources of taxable income and represented a change in the weight of positive evidence relative to the negative evidence that had existed at year-end. As a result of this change, we recognized a discrete income tax benefit of $6.2 million during the first quarter of 2026, representing the release of a portion of our beginning-of-year state valuation allowances. Our remaining state valuation allowance of $7.7 million relates to net operating loss carryforwards and interest expense limitation carryforwards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condensed consolidated financial statements. Changes in existing tax laws could also affect actual tax results and the realization of deferred tax assets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certain of its subsidiaries file income tax returns in the U.S. federal jurisdiction and various state jurisdictions. With few exceptions, the 2022-2025 years remain open for all purposes of examination by the U.S. Internal Revenue Service and other major tax jurisdictions. Additionally, the 2015-2020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products, which disaggregation is consistent with other financial information utilized or provided outside of our condensed consolidated financial statements:</w:t>
      </w:r>
    </w:p>
    <w:p>
      <w:pPr>
        <w:pStyle w:val="TextBody"/>
        <w:bidi w:val="0"/>
        <w:jc w:val="both"/>
        <w:rPr/>
      </w:pPr>
      <w:r>
        <w:rPr/>
        <w:t> </w:t>
      </w:r>
    </w:p>
    <w:tbl>
      <w:tblPr>
        <w:tblW w:w="5931" w:type="dxa"/>
        <w:jc w:val="left"/>
        <w:tblInd w:w="0" w:type="dxa"/>
        <w:tblLayout w:type="fixed"/>
        <w:tblCellMar>
          <w:top w:w="28" w:type="dxa"/>
          <w:left w:w="28" w:type="dxa"/>
          <w:bottom w:w="28" w:type="dxa"/>
          <w:right w:w="28" w:type="dxa"/>
        </w:tblCellMar>
      </w:tblPr>
      <w:tblGrid>
        <w:gridCol w:w="2796"/>
        <w:gridCol w:w="146"/>
        <w:gridCol w:w="222"/>
        <w:gridCol w:w="823"/>
        <w:gridCol w:w="154"/>
        <w:gridCol w:w="154"/>
        <w:gridCol w:w="222"/>
        <w:gridCol w:w="823"/>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contracts with a duration greater than one year at contract inception, the average remaining expected duration was approximately 36 months at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 liabilities were minimal as of March 31, 2026 and December 31, 2025. For the three months ended March 31, 2026 and 2025, deferred revenues recognized were minimal which were included in the balances as of December 31, 2025 and 2024. Our contract assets consist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March 31, 2026, we had remaining performance obligations with certain customer contracts, excluding contracts with original durations of less than one year and for service contracts for which we have elected the practical expedient for consideration recognized in revenue as invoiced. As of March 31, 2026, the remaining performance obligations totaled approximately $156.2 million, of which approximately 68% relates to 2026 through 2028, approximately 19% relates to 2029 through 2030, with the remainder thereafter.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9. Supplemental Cash Flow Information</w:t>
      </w:r>
      <w:r>
        <w:rPr>
          <w:rFonts w:ascii="Times New Roman" w:hAnsi="Times New Roman"/>
          <w:color w:val="000000"/>
          <w:sz w:val="20"/>
        </w:rPr>
        <w:t xml:space="preserve"> </w:t>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9172" w:type="dxa"/>
        <w:jc w:val="left"/>
        <w:tblInd w:w="0" w:type="dxa"/>
        <w:tblLayout w:type="fixed"/>
        <w:tblCellMar>
          <w:top w:w="28" w:type="dxa"/>
          <w:left w:w="28" w:type="dxa"/>
          <w:bottom w:w="28" w:type="dxa"/>
          <w:right w:w="28" w:type="dxa"/>
        </w:tblCellMar>
      </w:tblPr>
      <w:tblGrid>
        <w:gridCol w:w="6216"/>
        <w:gridCol w:w="146"/>
        <w:gridCol w:w="242"/>
        <w:gridCol w:w="778"/>
        <w:gridCol w:w="191"/>
        <w:gridCol w:w="168"/>
        <w:gridCol w:w="242"/>
        <w:gridCol w:w="778"/>
        <w:gridCol w:w="4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(refunds/reduction)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long-term debt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Segment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2025 Form 10-K. Information about reported segment revenue, measures of a segment’s profit or loss, significant segment expenses, and measure of a segment's assets: </w:t>
      </w:r>
    </w:p>
    <w:tbl>
      <w:tblPr>
        <w:tblW w:w="7091" w:type="dxa"/>
        <w:jc w:val="left"/>
        <w:tblInd w:w="0" w:type="dxa"/>
        <w:tblLayout w:type="fixed"/>
        <w:tblCellMar>
          <w:top w:w="28" w:type="dxa"/>
          <w:left w:w="28" w:type="dxa"/>
          <w:bottom w:w="28" w:type="dxa"/>
          <w:right w:w="28" w:type="dxa"/>
        </w:tblCellMar>
      </w:tblPr>
      <w:tblGrid>
        <w:gridCol w:w="4501"/>
        <w:gridCol w:w="146"/>
        <w:gridCol w:w="1001"/>
        <w:gridCol w:w="165"/>
        <w:gridCol w:w="1278"/>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(In Thousands)</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$143,432</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sales excluding depreciation, amortization</w:t>
              <w:br/>
              <w:t>  and 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108,952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106,990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20,063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1,995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129,048</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6,219</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Other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3,934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10,153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8,064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loss from asset write-down and 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71</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(283)</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segment (income) expense, net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(1,981)</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(1,640)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right"/>
              <w:rPr>
                <w:color w:val="000000"/>
              </w:rPr>
            </w:pPr>
            <w:r>
              <w:rPr>
                <w:color w:val="00000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jc w:val="left"/>
        <w:rPr>
          <w:rFonts w:ascii="Times New Roman" w:hAnsi="Times New Roman"/>
          <w:sz w:val="20"/>
        </w:rPr>
      </w:pPr>
      <w:r>
        <w:rPr>
          <w:rFonts w:ascii="Times New Roman" w:hAnsi="Times New Roman"/>
          <w:color w:val="000000"/>
          <w:sz w:val="16"/>
        </w:rPr>
        <w:t>(a) For the periods presented, amount consisted primarily of interest and sublease income.</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Partial Settlement of Global Industrial Matter and Related Claims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previously disclosed, since 2016, the Company has been involved in litigation with respect to engineering and procurement contracts related to the construction of the ammonia plant at the El Dorado Facility. On April 2, 2026, the Company, certain of the Company’s wholly owned subsidiaries, and Benham Constructors, LLC (f/k/a Leidos Constructors, LLC, f/k/a SAIC Constructors, LLC) (“Benham”) entered into a Settlement and Mutual Release Agreement (the “Settlement Agreement”), effective March 26, 2026 (“Settlement Effective Date”), to settle certain claims asserted in the following matters: </w:t>
      </w:r>
      <w:r>
        <w:rPr>
          <w:rFonts w:ascii="Times New Roman" w:hAnsi="Times New Roman"/>
          <w:i/>
          <w:color w:val="000000"/>
          <w:sz w:val="20"/>
        </w:rPr>
        <w:t>Global Industrial, Inc. d/b/a Global Turnaround (Plaintiff) v. Benham Constructors, LLC, et al (Defendants)</w:t>
      </w:r>
      <w:r>
        <w:rPr>
          <w:rFonts w:ascii="Times New Roman" w:hAnsi="Times New Roman"/>
          <w:color w:val="000000"/>
          <w:sz w:val="20"/>
        </w:rPr>
        <w:t xml:space="preserve">, and </w:t>
      </w:r>
      <w:r>
        <w:rPr>
          <w:rFonts w:ascii="Times New Roman" w:hAnsi="Times New Roman"/>
          <w:i/>
          <w:color w:val="000000"/>
          <w:sz w:val="20"/>
        </w:rPr>
        <w:t>LSB Industries, Inc. et al. (Cross-Claimants and Counter Cross-Defendants) v. Benham Constructors, LLC, et al. (Cross-Defendants and Counter Cross-Claimants)</w:t>
      </w:r>
      <w:r>
        <w:rPr>
          <w:rFonts w:ascii="Times New Roman" w:hAnsi="Times New Roman"/>
          <w:color w:val="000000"/>
          <w:sz w:val="20"/>
        </w:rPr>
        <w:t>, Union County Circuit Court, Civil Division, Case No. 70CV-16-76 (collectively, the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Settlement Agreement, Benham agreed to pay the Company approximately $20.9 million within 60 days of the Settlement Effective Date. Subject to the terms of the Settlement Agreement, the Company and Benham agreed to dismiss their respective claims in the Action against each other, with prejudice. In addition to the cash component, the dismissal allows us to reverse $2.9 million of payables related to this matter. The Settlement Agreement does not include any admission of liability by any party. The settlement is expected to be recorded in the second quarter of 2026 as a reduction in the carrying value of plant, property and equipment, which will reduce depreciation expense on a prospective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Settlement Agreement does not release or otherwise discharge any claims, rights or remedies the Company has, may have had or may have in the future against Leidos Inc. (f/k/a Science Applications International Corporation) or Leidos Engineering, LLC (“Leidos Engineering”), including its claims for fraud and breach of contract. The Company plans to continue its vigorous prosecution of its filed claims against Leidos Inc. and Leidos Engineering and continues to seek actual and punitive damages in excess of $300 million. The trial for the Company’s claims against Leidos Inc. and Leidos Engineering is scheduled to begin in October 2026. We can provide no assurance as to the ultimate outcome of the pending litigation.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Chief Executive Officer One-Time Retention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24, 2026, the Compensation Committee of our Board of Directors approved a one-time retention grant of 706,880 time-based RSUs to Mr. Behrman, under our 2025 Long-Term Incentive Plan, pursuant to an RSU Award Agreement, dated April 24, 2026 (the “Award Agreement”). The Award Agreement is intended to further align Mr. Behrman’s interests with those of the Company’s stockholders and to incentivize his continued contribution to the Company’s growth. Each RSU represents the right to receive one share of the Company’s common stock (or a cash amount equal to its fair market value) upon vesting.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RSUs are subject to cliff vesting and will vest and become payable on March 31, 2029, subject to Mr. Behrman’s continued service with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Award Agreement provides for accelerated vesting of the RSUs upon certain events. In the event of a Qualifying Separation from Service (as defined in the Award Agreement to mean a termination by the Company without cause, including a non-renewal of Mr. Behrman’s employment agreement, or a resignation by Mr. Behrman for good reason), all RSUs will vest in full, provided that such Qualifying Separation from Service does not occur in connection with a change in control of the Company. All outstanding RSUs will be forfeited if a Qualifying Separation from Service occurs in connection with a change in control that triggers a lump sum payment to Mr. Behrman and other benefits pursuant to Section 10(e) of his employment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Mr. Behrman’s death or total and permanent disability occurring on or after a change in control, all outstanding RSUs will immediately vest. If such termination occurs prior to a change in control, a pro-rata portion of the RSUs will vest, calculated based on the number of days elapsed from the date of grant relative to the total vesting period, and the remaining RSUs will be forfeited.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RSU will be credited with dividend equivalents and such dividend equivalents will be distributed upon settlement of the related RSU and will be forfeited if the underlying RSU is forfeited.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hAnsi="Times New Roman"/>
          <w:i/>
          <w:color w:val="000000"/>
          <w:sz w:val="20"/>
        </w:rPr>
        <w:t>Item 1. Financial Statements</w:t>
      </w:r>
      <w:r>
        <w:rPr>
          <w:rFonts w:ascii="Times New Roman" w:hAnsi="Times New Roman"/>
          <w:color w:val="000000"/>
          <w:sz w:val="20"/>
        </w:rPr>
        <w:t>.” Notes referenced in this discussion and analysis refer to the notes to consolidated financial statements that are found in “</w:t>
      </w:r>
      <w:r>
        <w:rPr>
          <w:rFonts w:ascii="Times New Roman" w:hAnsi="Times New Roman"/>
          <w:i/>
          <w:color w:val="000000"/>
          <w:sz w:val="20"/>
        </w:rPr>
        <w:t>Item 1. Financial Statements—Notes to Condensed Consolidated Financial Statements</w:t>
      </w:r>
      <w:r>
        <w:rPr>
          <w:rFonts w:ascii="Times New Roman" w:hAnsi="Times New Roman"/>
          <w:color w:val="000000"/>
          <w:sz w:val="20"/>
        </w:rPr>
        <w:t>.” Certain statements contained in this discussion may be deemed to be forward-looking statements. See “</w:t>
      </w:r>
      <w:r>
        <w:rPr>
          <w:rFonts w:ascii="Times New Roman" w:hAnsi="Times New Roman"/>
          <w:i/>
          <w:color w:val="000000"/>
          <w:sz w:val="20"/>
        </w:rPr>
        <w:t>Special Note Regarding Forward-Looking Statements</w:t>
      </w:r>
      <w:r>
        <w:rPr>
          <w:rFonts w:ascii="Times New Roman" w:hAnsi="Times New Roman"/>
          <w:color w:val="000000"/>
          <w:sz w:val="20"/>
        </w:rPr>
        <w:t>.” Actual results could differ materially from those discussed in or implied by forward-looking statements as a result of various factors, including those discussed below and in our Annual Report on Form 10-K for the year ended December 31, 2025, particularly in the section entitled “</w:t>
      </w:r>
      <w:r>
        <w:rPr>
          <w:rFonts w:ascii="Times New Roman" w:hAnsi="Times New Roman"/>
          <w:i/>
          <w:color w:val="000000"/>
          <w:sz w:val="20"/>
        </w:rPr>
        <w:t>Risk Factors</w:t>
      </w:r>
      <w:r>
        <w:rPr>
          <w:rFonts w:ascii="Times New Roman" w:hAnsi="Times New Roman"/>
          <w:color w:val="000000"/>
          <w:sz w:val="20"/>
        </w:rPr>
        <w:t xml:space="preserve">.” Unless we state otherwise or the context otherwise requires, the terms “LSB,” “we,” “us,” “our” and the “Company” refer to LSB Industries, Inc. and its consolidated subsidiaries.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LLC in Baytown, Texas. Our products are sold through distributors and directly to end customers primarily throughout the United States and other parts of North America.</w:t>
      </w:r>
    </w:p>
    <w:p>
      <w:pPr>
        <w:pStyle w:val="TextBody"/>
        <w:bidi w:val="0"/>
        <w:spacing w:before="120" w:after="120"/>
        <w:jc w:val="left"/>
        <w:rPr>
          <w:rFonts w:ascii="Times New Roman" w:hAnsi="Times New Roman"/>
          <w:sz w:val="20"/>
        </w:rPr>
      </w:pPr>
      <w:r>
        <w:rPr>
          <w:rFonts w:ascii="Times New Roman" w:hAnsi="Times New Roman"/>
          <w:b/>
          <w:color w:val="000000"/>
          <w:sz w:val="20"/>
        </w:rPr>
        <w:t>Key Operating Initiatives for 2026</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Invest to improve Environmental, Health &amp; Safety at our Facilities.</w:t>
      </w:r>
      <w:r>
        <w:rPr>
          <w:color w:val="000000"/>
        </w:rPr>
        <w:t xml:space="preserve"> </w:t>
      </w:r>
      <w:r>
        <w:rPr>
          <w:rFonts w:ascii="Times New Roman" w:hAnsi="Times New Roman"/>
          <w:color w:val="000000"/>
          <w:sz w:val="20"/>
        </w:rPr>
        <w:t>We prioritize high safety standards that not only enable us to protect what matters, which is the well-being of our employees, but also translates into improved plant performance. We remain focused on our safety programs to move closer to attaining zero injuries. We continue to invest additional capital across our facilities to build upon the progress we have made in implementing enhanced safety programs during the last several years.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Improve the Reliability at our Facilities while Supplying our Customers with Products of the Highest Quality. </w:t>
      </w:r>
      <w:r>
        <w:rPr>
          <w:rFonts w:ascii="Times New Roman" w:hAnsi="Times New Roman"/>
          <w:color w:val="000000"/>
          <w:sz w:val="20"/>
        </w:rPr>
        <w:t>Improving the reliability of our facilities while supplying customers with high-quality products remains a key operational focus. We have several initiatives underway aimed at increasing production volumes of ammonia and downstream products through improved operational execution and asset reliability. Progress in these areas is expected to support higher available production and improved unit cost performance over time, while we continue to maintain a strong focus on product quality and customer requirements.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Turnaround Excellence: </w:t>
      </w:r>
      <w:r>
        <w:rPr>
          <w:rFonts w:ascii="Times New Roman" w:hAnsi="Times New Roman"/>
          <w:color w:val="000000"/>
          <w:sz w:val="20"/>
        </w:rPr>
        <w:t>We will continue to focus on the safe and effective execution of scheduled Turnarounds, with an emphasis on schedule adherence, cost control, and minimizing operational risk. We will continue to apply our standardized Turnaround management practices across all sites, including our revised Turnaround standardization, to support consistent execution and long-term asset reliability.</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rPr>
        <w:t xml:space="preserve">Mechanical Integrity: </w:t>
      </w:r>
      <w:r>
        <w:rPr>
          <w:rFonts w:ascii="Times New Roman" w:hAnsi="Times New Roman"/>
          <w:color w:val="000000"/>
          <w:sz w:val="20"/>
        </w:rPr>
        <w:t>We will continue to enhance mechanical integrity through ongoing refinement of our inspection programs, with the objective of reducing fixed equipment failures and unplanned downtime.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Asset Care Strategies: </w:t>
      </w:r>
      <w:r>
        <w:rPr>
          <w:rFonts w:ascii="Times New Roman" w:hAnsi="Times New Roman"/>
          <w:color w:val="000000"/>
          <w:sz w:val="20"/>
        </w:rPr>
        <w:t>We will continue to advance our machinery and asset care strategies, with a focus on reducing unplanned downtime, optimizing the scope and duration of planned outages, and improving the effectiveness of startup operations.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Culture of Excellence</w:t>
      </w:r>
      <w:r>
        <w:rPr>
          <w:rFonts w:ascii="Times New Roman" w:hAnsi="Times New Roman"/>
          <w:color w:val="000000"/>
          <w:sz w:val="20"/>
        </w:rPr>
        <w:t>:</w:t>
      </w:r>
      <w:r>
        <w:rPr>
          <w:color w:val="000000"/>
        </w:rPr>
        <w:t xml:space="preserve"> </w:t>
      </w:r>
      <w:r>
        <w:rPr>
          <w:rFonts w:ascii="Times New Roman" w:hAnsi="Times New Roman"/>
          <w:color w:val="000000"/>
          <w:sz w:val="20"/>
        </w:rPr>
        <w:t xml:space="preserve">We will continue to strengthen operational discipline and accountability across the organization, supporting improved productivity and overall operational reliability.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Advance Productivity Improvement.</w:t>
      </w:r>
      <w:r>
        <w:rPr>
          <w:color w:val="000000"/>
        </w:rPr>
        <w:t xml:space="preserve"> </w:t>
      </w:r>
      <w:r>
        <w:rPr>
          <w:rFonts w:ascii="Times New Roman" w:hAnsi="Times New Roman"/>
          <w:color w:val="000000"/>
          <w:sz w:val="20"/>
        </w:rPr>
        <w:t>We are accelerating productivity improvements through a comprehensive focus on fixed and variable cost optimization, procurement-driven savings, automation, and process changes with multiple initiatives underway to identify, assess, and pursue cost-reduction opportunities.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Continued Optimization and Increase the Breadth of Distribution of our Product Mix. </w:t>
      </w:r>
      <w:r>
        <w:rPr>
          <w:rFonts w:ascii="Times New Roman" w:hAnsi="Times New Roman"/>
          <w:color w:val="000000"/>
          <w:sz w:val="20"/>
        </w:rPr>
        <w:t xml:space="preserve">We have initiatives underway to increase the distribution of our products within our industrial and agricultural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completed and are advancing several capital improvement projects with the intention of increasing our sales volumes of higher value downstream products resulting in improvements in our overall profit margins.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 xml:space="preserve">Grow Our Platform. </w:t>
      </w:r>
      <w:r>
        <w:rPr>
          <w:rFonts w:ascii="Times New Roman" w:hAnsi="Times New Roman"/>
          <w:color w:val="000000"/>
          <w:sz w:val="20"/>
        </w:rPr>
        <w:t>We continue to evaluate opportunities across all our facilities to increase production capacity through the implementation of several potential debottlenecking and other margin enhancement projects. Additionally, from time to time, we evaluate opportunities to acquire strategic assets or companies where we believe those acquisitions will enhance our value and provide attractive returns to our stockholders. We also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pStyle w:val="TextBody"/>
        <w:bidi w:val="0"/>
        <w:jc w:val="both"/>
        <w:rPr>
          <w:rFonts w:ascii="Times New Roman" w:hAnsi="Times New Roman"/>
          <w:b/>
          <w:color w:val="000000"/>
          <w:sz w:val="20"/>
        </w:rPr>
      </w:pPr>
      <w:r>
        <w:rPr>
          <w:rFonts w:ascii="Times New Roman" w:hAnsi="Times New Roman"/>
          <w:b/>
          <w:color w:val="000000"/>
          <w:sz w:val="20"/>
        </w:rPr>
        <w:t>Summary of Low Carbon Ammonia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late 2026. Freeport intends to use the low carbon ANS purchased from us for its United States copper mining operations.</w:t>
      </w:r>
    </w:p>
    <w:p>
      <w:pPr>
        <w:pStyle w:val="TextBody"/>
        <w:bidi w:val="0"/>
        <w:spacing w:before="120" w:after="283"/>
        <w:jc w:val="left"/>
        <w:rPr>
          <w:rFonts w:ascii="Times New Roman" w:hAnsi="Times New Roman"/>
          <w:sz w:val="20"/>
        </w:rPr>
      </w:pPr>
      <w:r>
        <w:rPr>
          <w:rFonts w:ascii="Times New Roman" w:hAnsi="Times New Roman"/>
          <w:color w:val="000000"/>
          <w:sz w:val="20"/>
        </w:rPr>
        <w:t>In April 2022, we entered into an agreement with Lapis Carbon Solutions (“Lapis”) to develop a project to capture and sequester CO</w:t>
      </w:r>
      <w:r>
        <w:rPr>
          <w:rFonts w:ascii="Times New Roman" w:hAnsi="Times New Roman"/>
          <w:color w:val="000000"/>
          <w:sz w:val="13"/>
        </w:rPr>
        <w:t xml:space="preserve">2 </w:t>
      </w:r>
      <w:r>
        <w:rPr>
          <w:rFonts w:ascii="Times New Roman" w:hAnsi="Times New Roman"/>
          <w:color w:val="000000"/>
          <w:sz w:val="20"/>
        </w:rPr>
        <w:t>at our El Dorado Facility. Lapis, backed by Cresta Fund Management, a Dallas-based middle-market infrastructure investment firm, will invest the majority of the capital required for project development. The project is expected to be completed and operational late in the fourth quarter of 2026 or the first quarter of 2027,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 xml:space="preserve">per year in underground saline aquifers. </w:t>
      </w:r>
    </w:p>
    <w:p>
      <w:pPr>
        <w:pStyle w:val="TextBody"/>
        <w:bidi w:val="0"/>
        <w:spacing w:before="120" w:after="283"/>
        <w:jc w:val="left"/>
        <w:rPr>
          <w:rFonts w:ascii="Times New Roman" w:hAnsi="Times New Roman"/>
          <w:sz w:val="20"/>
        </w:rPr>
      </w:pPr>
      <w:r>
        <w:rPr>
          <w:rFonts w:ascii="Times New Roman" w:hAnsi="Times New Roman"/>
          <w:color w:val="000000"/>
          <w:sz w:val="20"/>
        </w:rPr>
        <w:t>The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sequestered. Lapis, as the majority owner of the carbon capture and sequestration equipment, will earn the 45Q tax credits and will pay us a fee for each ton of CO</w:t>
      </w:r>
      <w:r>
        <w:rPr>
          <w:rFonts w:ascii="Times New Roman" w:hAnsi="Times New Roman"/>
          <w:color w:val="000000"/>
          <w:sz w:val="13"/>
        </w:rPr>
        <w:t xml:space="preserve">2 </w:t>
      </w:r>
      <w:r>
        <w:rPr>
          <w:rFonts w:ascii="Times New Roman" w:hAnsi="Times New Roman"/>
          <w:color w:val="000000"/>
          <w:sz w:val="20"/>
        </w:rPr>
        <w:t>captured and sequestered.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our overall scope 1 GHG emissions by approximately 25% from current levels. In addition, sequestering approximately 400,000 to 500,000 metric tons of CO</w:t>
      </w:r>
      <w:r>
        <w:rPr>
          <w:rFonts w:ascii="Times New Roman" w:hAnsi="Times New Roman"/>
          <w:color w:val="000000"/>
          <w:sz w:val="13"/>
        </w:rPr>
        <w:t xml:space="preserve">2 </w:t>
      </w:r>
      <w:r>
        <w:rPr>
          <w:rFonts w:ascii="Times New Roman" w:hAnsi="Times New Roman"/>
          <w:color w:val="000000"/>
          <w:sz w:val="20"/>
        </w:rPr>
        <w:t>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 In June 2025, Lapis completed the drilling of a stratigraphic injection well at the El Dorado site and has been gathering data to support the EPA in its continuing technical review of our Class VI application. Lapis resubmitted the pre-construction Class VI permit application to the EPA in December 2025. Once the project receives EPA approval, we intend to use this well for CO</w:t>
      </w:r>
      <w:r>
        <w:rPr>
          <w:rFonts w:ascii="Times New Roman" w:hAnsi="Times New Roman"/>
          <w:color w:val="000000"/>
          <w:sz w:val="13"/>
        </w:rPr>
        <w:t>2</w:t>
      </w:r>
      <w:r>
        <w:rPr>
          <w:rFonts w:ascii="Times New Roman" w:hAnsi="Times New Roman"/>
          <w:color w:val="000000"/>
          <w:sz w:val="20"/>
        </w:rPr>
        <w:t xml:space="preserve"> injections.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Demand for our industrial products remains consistent, including demand for AN for use in mining applications, which is robust across all commodities, particularly with copper and gold miners as they maximize production to take advantage of strong supply and demand fundamentals. Supply of AN is constrained in North America due, in part, to producer outages. These factors should continue to support AN demand well into 2026. Demand for nitric acid is robust domestically, where it is supported by tariffs and countervailing duties on imports of methylene diphenyl diisocyanate (MDI) for five years, which was recently finalized on April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economic uncertainty remains a risk due to tariffs, the U.S.-Iran conflict, higher oil prices, and concerns about inflation, we believe that we have a meaningful degree of downside protection in our industrial business. A significant portion of our volumes are already contracted, our customer base is diverse and almost entirely located in the U.S., and we have the ability to optimize our product mix. In addition, we expect European marginal cost of production to be higher throughout the remainder of 2026, driven by elevated natural gas costs and a tight global market for nitrogen products, particularly as demand for fertilizers in India remains strong and export capacity from China and other sources continues to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prices currently reflect significantly reduced ammonia supplies due to ammonia carrying vessels being unable to transit through the Strait of Hormuz, higher costs of production in Europe, ongoing curtailment of ammonia production in Trinidad and new production outages in Australia, increased import demand in India and potential export controls in China, gas supply disruptions in North Africa reducing ammonia production and the slow ramp up in new U.S. production capacity which are constraining global supply availability.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Pricing for ammonia derivative fertilizer products remains strong. Urea Ammonium Nitrate (“UAN”) prices recently improved, reflecting increased demand during the application season and constrained supply and a strengthening in urea prices. Like ammonia,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urea prices have strengthened due to vessels being unable to transit through the Strait of Hormuz, leading to a tightening of urea supply and customers switching from urea to UAN, thereby driving up UAN demand.</w:t>
      </w:r>
    </w:p>
    <w:p>
      <w:pPr>
        <w:pStyle w:val="TextBody"/>
        <w:bidi w:val="0"/>
        <w:jc w:val="left"/>
        <w:rPr>
          <w:rFonts w:ascii="Times New Roman" w:hAnsi="Times New Roman"/>
          <w:color w:val="000000"/>
          <w:sz w:val="20"/>
        </w:rPr>
      </w:pPr>
      <w:r>
        <w:rPr>
          <w:rFonts w:ascii="Times New Roman" w:hAnsi="Times New Roman"/>
          <w:color w:val="000000"/>
          <w:sz w:val="20"/>
        </w:rPr>
        <w:t>Channel inventories remain on the tighter end of the range and are expected to remain so until late in the second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outlook for U.S. corn calls for demand to keep stocks-to-use only modestly above historical levels. We are currently expecting approximately 95 million planted acres of corn for the 2027 season, underpinning nitrogen fertilizer demand levels in line with recent years.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mining and paper industries. Demand for our industrial products is robust across all commodities, particularly with copper and gold miners as they maximize production to take advantage of strong supply and demand fundamentals.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LDAN and AN solutions are primarily used to produce AN fuel oil and specialty emulsions for use in explosives in the quarry and the construction industries, for metals mining and to a lesser extent, for coal. AN demand for explosives for quarrying/aggregate production for infrastructure upgrade and expansion remains steady. Demand for nitric acid is robust domestically, supported in part by anticipated antidumping duties on imports of methylene diphenyl diisocyanate (MDI) from China, a downstream product of nitric acid. On April 8, 2026, the U.S. Department of Commerce issued a final affirmative antidumping determination on Chinese MDI, where duties were established for a period of five years. The International Trade Commission’s final injury determination remains pending.</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fertilizer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April 9, 2026 (the “April Report”), farmers planted approximately 98.8 million acres of corn in the 2025 planting season, up 8.7% compared to the 2024 planting season. According to the April Report, the U.S. Department of Agriculture (“USDA”) estimates the U.S. ending stocks for the 2025 Harvest will be approximately 54.0 million metric tons, a 37.1% increase from the 2024 Harvest. The USDA's expected yield per acre for the 2025 Harvest is 186.5 bushels, up approximately 4.0% from a year ago.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April 2026 estimates are associated with the corn market:</w:t>
      </w:r>
    </w:p>
    <w:tbl>
      <w:tblPr>
        <w:tblW w:w="10205" w:type="dxa"/>
        <w:jc w:val="left"/>
        <w:tblInd w:w="0" w:type="dxa"/>
        <w:tblLayout w:type="fixed"/>
        <w:tblCellMar>
          <w:top w:w="28" w:type="dxa"/>
          <w:left w:w="28" w:type="dxa"/>
          <w:bottom w:w="28" w:type="dxa"/>
          <w:right w:w="28" w:type="dxa"/>
        </w:tblCellMar>
      </w:tblPr>
      <w:tblGrid>
        <w:gridCol w:w="2990"/>
        <w:gridCol w:w="146"/>
        <w:gridCol w:w="216"/>
        <w:gridCol w:w="1007"/>
        <w:gridCol w:w="146"/>
        <w:gridCol w:w="146"/>
        <w:gridCol w:w="216"/>
        <w:gridCol w:w="1007"/>
        <w:gridCol w:w="146"/>
        <w:gridCol w:w="146"/>
        <w:gridCol w:w="218"/>
        <w:gridCol w:w="698"/>
        <w:gridCol w:w="322"/>
        <w:gridCol w:w="216"/>
        <w:gridCol w:w="1007"/>
        <w:gridCol w:w="146"/>
        <w:gridCol w:w="146"/>
        <w:gridCol w:w="218"/>
        <w:gridCol w:w="698"/>
        <w:gridCol w:w="370"/>
      </w:tblGrid>
      <w:tr>
        <w:trPr/>
        <w:tc>
          <w:tcPr>
            <w:tcW w:w="2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Information obtained from the April Report for the 2025/2026 (“2026 Crop”), 2024/2025 (“2025 Crop”) and 2023/2024 (“2024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2026 Crop amounts compared to the 2025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2026 Crop amounts compared to the 2024 Crop amounts.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current USDA corn outlook for the U.S. is unchanged relative to the last month report. U.S. ending stocks remain at 54.0 million metric tons, up 14.3% from the 2024 harvest. Both acres planted and yields are up from the 2024 Harvest, 8.7% and 4.0%, respectively. Corn production for the 2025 Harvest is forecast at 17.0 billion bushels. If realized, harvested area would be the highest since 1933 and planted area of 98.8 million acres the highest since 1936.</w:t>
      </w:r>
    </w:p>
    <w:p>
      <w:pPr>
        <w:pStyle w:val="TextBody"/>
        <w:bidi w:val="0"/>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resource for conversion and manufacturing production of our nitrogen products.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costs increased during the February settlement period primarily due to elevated market prices driven by Winter Storm Fern, which caused significant weather-related supply constraints and heightened regional demand, resulting in a higher average cost of natural gas for the period. Since that time, natural gas prices have moderated as market conditions normalized and weather-related constraints eased.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volume of natural gas utilized to produce the goods we sold and the associated average cost per MMBtu:</w:t>
      </w:r>
    </w:p>
    <w:tbl>
      <w:tblPr>
        <w:tblW w:w="6259" w:type="dxa"/>
        <w:jc w:val="left"/>
        <w:tblInd w:w="0" w:type="dxa"/>
        <w:tblLayout w:type="fixed"/>
        <w:tblCellMar>
          <w:top w:w="28" w:type="dxa"/>
          <w:left w:w="28" w:type="dxa"/>
          <w:bottom w:w="28" w:type="dxa"/>
          <w:right w:w="28" w:type="dxa"/>
        </w:tblCellMar>
      </w:tblPr>
      <w:tblGrid>
        <w:gridCol w:w="3526"/>
        <w:gridCol w:w="146"/>
        <w:gridCol w:w="307"/>
        <w:gridCol w:w="679"/>
        <w:gridCol w:w="212"/>
        <w:gridCol w:w="212"/>
        <w:gridCol w:w="307"/>
        <w:gridCol w:w="679"/>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reliable and safe operations at our chemical plants are critical to our financial performance and results of operations. Planned downtime, including a planned major maintenance activity (each such activity, a “Turnaround”), and unplanned downtime can adversely affect results of operations through reduced sales volumes, lower fixed cost absorption, and increased repair and maintenance costs, which are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performed major Turnaround activities at our Pryor Facility during the third quarter of 2024 and at our Cherokee Facility during the fourth quarter of 2024. Minor planned outages were executed at our El Dorado Facility in July 2024 to replace the ammonia primary reformer catalyst. We did not perform any major planned ammonia Turnaround events during 2025 at the El Dorado Facility, although a minor Turnaround was completed on our nitric acid plants at our El Dorado Facility during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maintenance schedule, Turnaround activities in 2026 are expected to include an ammonia plant Turnaround at our El Dorado Facility during the second quarter and a full-site Turnaround at our Pryor Facility during the third quarter. Additionally, a minor Turnaround on the urea plant at our Cherokee Facility is planned for the third quarter of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is the basic product used to produce all of our upgraded products. The ammonia production rates of our plants affect the total cost per ton of each product produced and the overall sales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2026, we are targeting total ammonia production of approximately 780,000 tons to 810,000 tons, which reflects planned Turnaround work at our El Dorado and Pryor Facilities during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First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first quarter of 2026 were $169.5 million compared to $143.4 million for the same period in 2025. Our consolidated operating income for the first quarter of 2026 was $23.2 million compared to $4.5 million for the same period in 2025.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First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we modified certain equity awards held by our Chief Executive Officer to allow for accelerated vesting in the event of a qualifying retirement. As a result, we accelerated recognition of the remaining compensation cost associated with those grants in the amount of $3.1 million during the quarter. See our discussion in “Equity Awards” in Note 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Shift in Production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transitioned our production from fertilizer grade ammonium nitrate (“HDAN”), an agricultural product, to ANS, a product used in industrial and mining applications. The transition was completed during the third quarter of 2025, at which time we ceased production of HDAN. This shift in production mix is consistent with our strategy to transition a portion of our sales from agricultural sales made at spot market pricing, which can be volatile, to sales under multi-year contracts that provide the pass-through of natural gas feedstock costs.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2026, average selling prices for all of our major products increased compared to the first quarter of 2025.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and analysis of our condensed consolidated results of operations for the 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Three Months Ended March 31, 2026 Compared to Three Months Ended March 31,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certain financial information for the three months ended March 31, 2026 and 2025, the increase or decrease between those periods, and the percentage increase or decrease between those periods with respect to each line item: </w:t>
      </w:r>
    </w:p>
    <w:tbl>
      <w:tblPr>
        <w:tblW w:w="9716"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676"/>
        <w:gridCol w:w="331"/>
        <w:gridCol w:w="146"/>
        <w:gridCol w:w="235"/>
        <w:gridCol w:w="681"/>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 xml:space="preserve">Adjusted gross profit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tbl>
      <w:tblPr>
        <w:tblW w:w="8518" w:type="dxa"/>
        <w:jc w:val="left"/>
        <w:tblInd w:w="0" w:type="dxa"/>
        <w:tblLayout w:type="fixed"/>
        <w:tblCellMar>
          <w:top w:w="28" w:type="dxa"/>
          <w:left w:w="28" w:type="dxa"/>
          <w:bottom w:w="28" w:type="dxa"/>
          <w:right w:w="28" w:type="dxa"/>
        </w:tblCellMar>
      </w:tblPr>
      <w:tblGrid>
        <w:gridCol w:w="2796"/>
        <w:gridCol w:w="146"/>
        <w:gridCol w:w="163"/>
        <w:gridCol w:w="873"/>
        <w:gridCol w:w="163"/>
        <w:gridCol w:w="163"/>
        <w:gridCol w:w="163"/>
        <w:gridCol w:w="873"/>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372,525</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tbl>
      <w:tblPr>
        <w:tblW w:w="8447" w:type="dxa"/>
        <w:jc w:val="left"/>
        <w:tblInd w:w="0" w:type="dxa"/>
        <w:tblLayout w:type="fixed"/>
        <w:tblCellMar>
          <w:top w:w="28" w:type="dxa"/>
          <w:left w:w="28" w:type="dxa"/>
          <w:bottom w:w="28" w:type="dxa"/>
          <w:right w:w="28" w:type="dxa"/>
        </w:tblCellMar>
      </w:tblPr>
      <w:tblGrid>
        <w:gridCol w:w="3166"/>
        <w:gridCol w:w="146"/>
        <w:gridCol w:w="325"/>
        <w:gridCol w:w="649"/>
        <w:gridCol w:w="225"/>
        <w:gridCol w:w="225"/>
        <w:gridCol w:w="325"/>
        <w:gridCol w:w="649"/>
        <w:gridCol w:w="146"/>
        <w:gridCol w:w="146"/>
        <w:gridCol w:w="220"/>
        <w:gridCol w:w="441"/>
        <w:gridCol w:w="146"/>
        <w:gridCol w:w="146"/>
        <w:gridCol w:w="289"/>
        <w:gridCol w:w="627"/>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3046"/>
        <w:gridCol w:w="146"/>
        <w:gridCol w:w="325"/>
        <w:gridCol w:w="649"/>
        <w:gridCol w:w="225"/>
        <w:gridCol w:w="225"/>
        <w:gridCol w:w="325"/>
        <w:gridCol w:w="649"/>
        <w:gridCol w:w="146"/>
        <w:gridCol w:w="146"/>
        <w:gridCol w:w="220"/>
        <w:gridCol w:w="441"/>
        <w:gridCol w:w="146"/>
        <w:gridCol w:w="146"/>
        <w:gridCol w:w="289"/>
        <w:gridCol w:w="627"/>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net sales of $169.5 million during the first quarter of 2026 compared to $143.4 million for the first quarter of 2025, representing an increase of $26.1 million. The increase was primarily driven by higher sales prices on all our products. Decreases in ammonia and UAN sales volumes were offset by an increase in AN and Nitric Acid volumes as part of our product mix strategy, which includes upgrading ammonia to maximize higher value downstream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a gross profit of $35.8 million for the first quarter of 2026 compared to $14.4 million for the same period in 2025, or a $21.4 million increase. Overall, our gross profit percentage for the first quarter of 2026 was 21.1% compared to 10.0% for the same period in 2025. Our adjusted gross profit percentage increased to 35.7% for the first quarter of 2026 from 25.4% for the first quarter of 2025. Our gross profit for the first quarter of 2026 was higher compared to the same period of 2025 primarily due to higher selling prices and improved product mix partially offset by increased cost of sales stemming from higher natural gas and sulfur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higher for the first quarter of 2026 compared to the same period of 2025, primarily due to an increase in stock based compensation from the acceleration of expense recognition for certain executive grants (see “Equity Awards” in Note 1) and an increase in short-term incentive compensation, which were partially offset by decreases in insurance and other miscellaneous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first quarter of 2026 includes gains from the sale of real estate and tangible property for a former agricultural retail location that had ceased operations, partially offset by asset write-downs. Other income, net, was higher in 2026 compared to 2025 due to the disposal gain discussed above.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quarter of 2026 was $7.1 million compared to $8.1 million for the same period in 2025. The decrease was primarily due to a lower outstanding balance on our Senior Secured Notes as a result of repurchases in the second and fourth quarters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Non-operating other income, net for the first quarter of 2026 was $1.5 million compared to $1.7 million for the same period of 2025, primarily related to interest income earned during both periods from our short-term investments. Our average short-term investments balance including cash equivalents, was higher during the first quarter of 2026 but interest rates were lower during this period compared to the first quarter of 2025.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Benefit for Income Taxes</w:t>
      </w:r>
    </w:p>
    <w:p>
      <w:pPr>
        <w:pStyle w:val="TextBody"/>
        <w:bidi w:val="0"/>
        <w:jc w:val="left"/>
        <w:rPr>
          <w:rFonts w:ascii="Times New Roman" w:hAnsi="Times New Roman"/>
          <w:color w:val="000000"/>
          <w:sz w:val="20"/>
        </w:rPr>
      </w:pPr>
      <w:r>
        <w:rPr>
          <w:rFonts w:ascii="Times New Roman" w:hAnsi="Times New Roman"/>
          <w:color w:val="000000"/>
          <w:sz w:val="20"/>
        </w:rPr>
        <w:t>The benefit for income taxes for the first quarter of 2026 was $2.1 million compared to a benefit for income taxes of $0.3 million for the same period of 2025. The resulting effective tax rate for the first quarter of 2026 was a benefit on pre-tax income of 12.1% compared to a benefit on pre-tax loss of 14.7% for the same period of 2025. For the first quarter of 2026, the effective tax rate was lower than the statutory rate primarily due to the release of state valuation allowances, partially offset by nondeductible compensation expense. For the first quarter of 2025, the effective tax rate was lower than the statutory rate primarily due to changes in valuation allowance and nondeductible compensation, partially offset by state taxes. See discussion in Note 7.</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three months ended March 31:</w:t>
      </w:r>
    </w:p>
    <w:p>
      <w:pPr>
        <w:pStyle w:val="TextBody"/>
        <w:bidi w:val="0"/>
        <w:jc w:val="both"/>
        <w:rPr/>
      </w:pPr>
      <w:r>
        <w:rPr/>
        <w:t> </w:t>
      </w:r>
    </w:p>
    <w:tbl>
      <w:tblPr>
        <w:tblW w:w="7048" w:type="dxa"/>
        <w:jc w:val="left"/>
        <w:tblInd w:w="0" w:type="dxa"/>
        <w:tblLayout w:type="fixed"/>
        <w:tblCellMar>
          <w:top w:w="28" w:type="dxa"/>
          <w:left w:w="28" w:type="dxa"/>
          <w:bottom w:w="28" w:type="dxa"/>
          <w:right w:w="28" w:type="dxa"/>
        </w:tblCellMar>
      </w:tblPr>
      <w:tblGrid>
        <w:gridCol w:w="3331"/>
        <w:gridCol w:w="146"/>
        <w:gridCol w:w="211"/>
        <w:gridCol w:w="736"/>
        <w:gridCol w:w="166"/>
        <w:gridCol w:w="146"/>
        <w:gridCol w:w="211"/>
        <w:gridCol w:w="631"/>
        <w:gridCol w:w="166"/>
        <w:gridCol w:w="146"/>
        <w:gridCol w:w="211"/>
        <w:gridCol w:w="73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$51.8 million for the first three months of 2026 compared to $6.8 million for the same period of 2025, a change of $45.0 million. The increase was primarily a result of improved operating income and changes in working capital.</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investing activities was $45.5 million for the first three months of 2026 compared to $5.3 million for the same period of 2025, a change of $40.2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2026, the net cash used by investing activities primarily related to purchases of short-term investments of $105.7 million and expenditures for property, plant and equipment of $17.0 million partially offset by proceeds from short-term investments and proceeds from sales of property, plant and equipment totaling $77.2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2025, the net cash used by investing activities primarily related to purchases of short-term investments of $49.0 million and expenditures for property, plant and equipment of $20.9 million, partially offset by proceeds from short-term investments of $64.5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$5.2 million for the first three months of 2026 compared to $6.8 million for the same period of 2025, a change of $1.6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2026, the net cash used by financing activities primarily consisted of payments on short-term financing and finance leases of $3.7 million and $1.5 million for tax withholding obligations related to the vesting of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2025, the net cash used by financing activities primarily consisted of payments on other long-term debt and short-term financing of $5.6 million and $1.2 million for tax withholding obligations related to the vesting of equity awards.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total cash and cash equivalents, short-term investments, long-term debt and stockholders’ equity as of March 31, 2026 and December 31, 2025:</w:t>
      </w:r>
    </w:p>
    <w:p>
      <w:pPr>
        <w:pStyle w:val="TextBody"/>
        <w:bidi w:val="0"/>
        <w:jc w:val="both"/>
        <w:rPr/>
      </w:pPr>
      <w:r>
        <w:rPr/>
        <w:t> </w:t>
      </w:r>
    </w:p>
    <w:tbl>
      <w:tblPr>
        <w:tblW w:w="8245" w:type="dxa"/>
        <w:jc w:val="left"/>
        <w:tblInd w:w="0" w:type="dxa"/>
        <w:tblLayout w:type="fixed"/>
        <w:tblCellMar>
          <w:top w:w="28" w:type="dxa"/>
          <w:left w:w="28" w:type="dxa"/>
          <w:bottom w:w="28" w:type="dxa"/>
          <w:right w:w="28" w:type="dxa"/>
        </w:tblCellMar>
      </w:tblPr>
      <w:tblGrid>
        <w:gridCol w:w="4636"/>
        <w:gridCol w:w="146"/>
        <w:gridCol w:w="340"/>
        <w:gridCol w:w="920"/>
        <w:gridCol w:w="16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March 31, 2026 and December 31, 2025 of approximately $0.4 million and $0.5 million, respectively, relating to our Revolving Credit Facility are not included in Unamortized debt issuance costs. These costs are included in our condensed consolidated balance sheets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March 31, 2026, our Revolving Credit Facility was undrawn and had approximately $59 million of availability. See Note 4 for further discussion of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full year of 2026, we expect capital expenditures to be approximately $75 million, of which $55 million is expected to be spent on sustaining production with the remainder spent on growth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we had approximately $181.6 million of cash and short-term investments. From time to time, we may seek to deploy capital through common stock repurchases or the repurchase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and cash equivalents, short-term investments, the availability under our Revolving Credit Facility and our cash flow from operations will be sufficient to fund our anticipated liquidity needs for the next twelve months. Additionally, we expect our long-term liquidity position will be sufficient to meet our long-term liquidity needs with cash flows from operations and financing arrangements. However, in the event of changes in business conditions or other developments, including a sustained market deterioration, unanticipated regulatory developments, significant acquisitions, competitive pressures, or to the extent our liquidity needs prove to be greater than expected or cash generated from operations is less than anticipated, we may need additional liquidity. To the extent we elect to finance our long-term liquidity needs, we believe that the potential financing capital available to us in the future will be sufficient.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does not include financial covenant requirements unless a defined covenant trigger event has occurred and is continuing. As of March 31, 2026,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We had $438.6 million aggregate principal amount of Senior Secured Notes outstanding as of March 31, 2026.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13"/>
        </w:rPr>
        <w:t xml:space="preserve">. </w:t>
      </w:r>
      <w:r>
        <w:rPr>
          <w:rFonts w:ascii="Times New Roman" w:hAnsi="Times New Roman"/>
          <w:color w:val="000000"/>
          <w:sz w:val="20"/>
        </w:rPr>
        <w:t xml:space="preserve">The Senior Secured Notes mature on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March 31, 2026, our Revolving Credit Facility was undrawn and had approximately $59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Three Months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three months of 2026, capital expenditures relating to property, plant and equipment were $17.0 million. Of the expenditures for the first three months of 2026, approximately $14.8 million was spent on projects to sustain our production capacity while approximately $2.2 million was spent on growth initiatives.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total expected capital expenditures for the remainder of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$1.5 million for the first three months ended March 31, 2026 in connection with environmental projects. For the remainder of 2026, we expect to incur expenses ranging from $4.0 million to $4.4 million in connection with additional environmental projects. However, it is possible that the actual costs could be significantly different than our estimates.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2026, we have agreed to indemnify the sureties for payments, up to $10.2 million, made by them in respect of such bonds.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Form 10-K for the year ended December 31, 2025, filed with the SEC on February 26, 2026 (the “2025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March 31, 2026,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adjusted gross profit as a supplemental measure to review and assess the performance of our core business operations and for planning purposes. We define adjusted gross profit as gross profit (loss) excluding depreciation and amortization and Turnaround expenses included in our cost of sales, which we believe are not reflective of our operating performance in a given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a metric that provides investors with greater transparency to the information used by management in its financial and operational decision-making. We believe this metric is useful to investors because it facilitates comparisons of our core business operations across periods on a consistent basis. Management believes that the non-GAAP measure presented in this Form 10-Q, when viewed in combination with our results prepared in accordance with United States generally accepted accounting principles (“U.S. GAAP”), provides a more complete understanding of the factors and trends affecting our business and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w:t>
      </w:r>
    </w:p>
    <w:tbl>
      <w:tblPr>
        <w:tblW w:w="7166" w:type="dxa"/>
        <w:jc w:val="left"/>
        <w:tblInd w:w="0" w:type="dxa"/>
        <w:tblLayout w:type="fixed"/>
        <w:tblCellMar>
          <w:top w:w="28" w:type="dxa"/>
          <w:left w:w="28" w:type="dxa"/>
          <w:bottom w:w="28" w:type="dxa"/>
          <w:right w:w="28" w:type="dxa"/>
        </w:tblCellMar>
      </w:tblPr>
      <w:tblGrid>
        <w:gridCol w:w="4576"/>
        <w:gridCol w:w="146"/>
        <w:gridCol w:w="1030"/>
        <w:gridCol w:w="192"/>
        <w:gridCol w:w="1222"/>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Gross Profit to 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$14,384</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20,063</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$60,535</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Securities Exchange Act of 1934, as amended (the “Exchange Act”).</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forward firm sales commitments for products to be delivered in future periods. As a result, we could be exposed to embedded losses should our product costs exceed the firm sales prices at the end of a reporting period. At March 31, 2026, we had no embedded losses associated with sales commitments with firm sales prices.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March 31, 2026,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March 31, 2026, we had no outstanding borrowings on this credit facility and no other variable rate borrowings and, as a result, we currently do not hedge our interest rate risk associated with any variable interest rate loan.</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2026. Based on this evaluation, the Company's Chief Executive Officer and Chief Financial Officer have concluded that the Company's disclosure controls and procedures were effective as of March 31, 2026, at the reasonable assurance level. There were no changes to our internal control over financial reporting (as such term is defined in Rules 13a-15(f) and 15d-15(f) under the Exchange Act) during the quarter ended March 31, 2026,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and the associated risks, uncertainties, assumptions and other important factors include, but are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ongoing initiatives to increase the distribution of our products within our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execution and success of our advanced low carbon ammonia initiatives;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expectations regarding future ammonia pricing;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have sufficient sources for materials and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regarding our estimates and contingencies with respect claims and legal actions in the ordinary course of our business and their effect on our business, financial condition, results of operations or cash flows;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the market and demand for low carbon ammonia;</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of litigation and other contingencies;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impact of our repurchase program on our stock price and cash reserves; and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can meet all required covenant tests for the next twelve months.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cost to maintain internal control over financial reporting;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United States;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geopolitical concerns;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 xml:space="preserve">other factors described in </w:t>
      </w:r>
      <w:r>
        <w:rPr>
          <w:rFonts w:ascii="Times New Roman" w:hAnsi="Times New Roman"/>
          <w:i/>
          <w:color w:val="000000"/>
          <w:sz w:val="20"/>
        </w:rPr>
        <w:t xml:space="preserve">Item 2. Management’s Discussion and Analysis of Financial Condition and Results of Operations </w:t>
      </w:r>
      <w:r>
        <w:rPr>
          <w:rFonts w:ascii="Times New Roman" w:hAnsi="Times New Roman"/>
          <w:color w:val="000000"/>
          <w:sz w:val="20"/>
        </w:rPr>
        <w:t>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color w:val="000000"/>
          <w:sz w:val="20"/>
        </w:rPr>
        <w:t xml:space="preserve">other factors described in </w:t>
      </w:r>
      <w:r>
        <w:rPr>
          <w:rFonts w:ascii="Times New Roman" w:hAnsi="Times New Roman"/>
          <w:i/>
          <w:color w:val="000000"/>
          <w:sz w:val="20"/>
        </w:rPr>
        <w:t>Item 1A. Risk Factors</w:t>
      </w:r>
      <w:r>
        <w:rPr>
          <w:color w:val="000000"/>
        </w:rPr>
        <w:t xml:space="preserve"> </w:t>
      </w:r>
      <w:r>
        <w:rPr>
          <w:rFonts w:ascii="Times New Roman" w:hAnsi="Times New Roman"/>
          <w:color w:val="000000"/>
          <w:sz w:val="20"/>
        </w:rPr>
        <w:t>in our 2025 Form 10-K.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spacing w:before="120" w:after="283"/>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report. </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Reference is made to Item 1A of our 2025 Form 10-K filed with the SEC on February 26, 2026. Except as set forth below, there were no material changes from the risk factors disclosed in our 2025 Form 10-K.</w:t>
      </w:r>
    </w:p>
    <w:p>
      <w:pPr>
        <w:pStyle w:val="TextBody"/>
        <w:bidi w:val="0"/>
        <w:jc w:val="left"/>
        <w:rPr>
          <w:rFonts w:ascii="Times New Roman" w:hAnsi="Times New Roman"/>
          <w:sz w:val="20"/>
        </w:rPr>
      </w:pPr>
      <w:r>
        <w:rPr>
          <w:rFonts w:ascii="Times New Roman" w:hAnsi="Times New Roman"/>
          <w:b/>
          <w:color w:val="000000"/>
          <w:sz w:val="20"/>
        </w:rPr>
        <w:t>Geopolitical conditions, including political turmoil and volatility, regional conflicts, terrorism and war have negatively affected and could negatively affect United States and foreign companies, the financial markets, the industries where we operate, our operations and our profitability and could increase the volatility of our stock price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events, including political turmoil, regional conflicts, instability and terrorist attacks in the United States and elsewhere have in the past, and can in the future negatively affect our operations and could increase the volatility of our stock price. For example, Russia’s invasion of Ukraine and the ongoing conflict in the Middle East, including the military conflict between Iran and the United States, have impacted our financial results. These conflicts have had an effect on commodity prices and fertilizer supply, and there is no guarantee that such conflicts will not draw military intervention from other countries or further retaliation, which, in turn, could lead to a much larger conflict. Furthermore, such military conflicts and the resulting geopolitical instability have caused, and may continue to cause, (i) disruptions to international shipping routes (including through the Strait of Hormuz and other critical transit corridors), (ii) disruptions in global energy markets and significant fluctuations in the prices of oil, natural gas and fertilizer and (iii) substantial disruption to global financial markets, leading to heightened investor uncertainty, reduced risk tolerance and increased market volatility.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production volumes, supply chain and trade routes for our products that are traded globally, and the markets we currently serve, could be further adversely affected, which, in turn, could materially, adversely affect our business operations and financial performance. In addition, the market prices of our common stock have recently experienced, and may continue to experience, volatility.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like other companies with major industrial facilities, we may be targets of terrorist activities. Many of our plants and facilities store significant quantities of ammonia and other materials that can be dangerous if mishandled. Any damage to infrastructure facilities, such as electric generation, transmission and distribution facilities, or injury to employees, who could be direct targets or indirect casualties of an act of terrorism, may affect our operations. Any disruption of our ability to produce or distribute our products could result in a significant decrease in revenues and significant additional costs to replace, repair or insure our assets, which could have a material adverse effect on our business, financial condition, results of operations and cash flows.</w:t>
      </w:r>
    </w:p>
    <w:p>
      <w:pPr>
        <w:pStyle w:val="TextBody"/>
        <w:bidi w:val="0"/>
        <w:spacing w:before="12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Kristy D. Carver, Senior Vice President and Treasurer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9, 2026, Kristy D. Carver, our Senior Vice President and Treasurer, entered into a Rule 10b5-1 trading plan that is intended to satisfy the affirmative defense of Rule 10b5-1(c) and provides that Ms. Carver, acting through a broker, may sell up to an aggregate of 29,554 shares of our common stock, subject to adjustments for stock splits, stock combinations, stock dividends and other similar changes to our common stock. Sales of shares under the plan may only occur from June 8, 2026 to February 26, 2027. The plan is scheduled to terminate on February 26, 2027, subject to earlier termination upon the sale of all shares subject to the plan or the expiration of all sale orders under the plan, upon termination by Ms. Carver or the broker, or as otherwise provided in the plan.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Michael J. Foster, Executive Vice President, General Counsel and Secretary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2026, Michael J. Foster, our Executive Vice President, General Counsel and Secretary, entered into a Rule 10b5-1 trading plan that is intended to satisfy the affirmative defense of Rule 10b5-1(c) and provides that Mr. Foster, acting through a broker, may sell up to an aggregate of 29,800 shares of our common stock, subject to adjustments for stock splits, stock combinations, stock dividends and other similar changes to our common stock. Sales of shares under the plan may only occur from June 10, 2026 to July 30, 2027. The plan is scheduled to terminate on July 30, 2027, subject to earlier termination upon the sale of all shares subject to the plan or the expiration of all sale orders under the plan, upon termination by Mr. Foster or the broker, or as otherwise provided in the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Lynn F. White, Member of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2026, Lynn F. White, a member of our board of directors, entered into Rule 10b5-1 trading plan that is intended to satisfy the affirmative defense of Rule 10b5-1(c) and provides that Mr. White, acting through a broker, may sell up to an aggregate of 40,000 shares of our common stock, subject to adjustments for stock splits, stock combinations, stock dividends and other similar changes to our common stock. Sales of shares under the plan may only occur from June 10, 2026 to June 10, 2027. The plan is scheduled to terminate on June 10, 2027, subject to earlier termination upon the sale of all shares subject to the plan or the expiration of all sale orders under the plan, upon termination by Mr. White or the broker, or as otherwise provided in the plan.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Cheryl A. Maguire, Executive Vice President and Chief Financial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12, 2026, Cheryl A. Maguire, our Executive Vice President and Chief Financial Officer, entered into a Rule 10b5-1 trading plan that is intended to satisfy the affirmative defense of Rule 10b5-1(c) and provides that Ms. Maguire, acting through a broker, may sell up to an aggregate of 20,000 shares of our common stock, subject to adjustments for stock splits, stock combinations, stock dividends and other similar changes to our common stock. Sales of shares under the plan may only occur from June 11, 2026 to June 11, 2027. The plan is scheduled to terminate on June 11, 2027, subject to earlier termination upon the sale of all shares subject to the plan or the expiration of all sale orders under the plan, upon termination by Ms. Maguire or the broker, or as otherwise provided in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above, during the three months ended March 31, 2026, none of the Company’s directors or executive officers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33. </w:t>
      </w:r>
    </w:p>
    <w:p>
      <w:pPr>
        <w:pStyle w:val="TextBody"/>
        <w:bidi w:val="0"/>
        <w:jc w:val="both"/>
        <w:rPr/>
      </w:pPr>
      <w:r>
        <w:rPr/>
        <w:t> </w:t>
      </w:r>
    </w:p>
    <w:p>
      <w:pPr>
        <w:pStyle w:val="TextBody"/>
        <w:bidi w:val="0"/>
        <w:jc w:val="both"/>
        <w:rPr>
          <w:rFonts w:ascii="Times New Roman" w:hAnsi="Times New Roman"/>
          <w:sz w:val="20"/>
        </w:rPr>
      </w:pPr>
      <w:bookmarkStart w:id="19" w:name="index_item_6"/>
      <w:bookmarkStart w:id="20" w:name="item_5_or_information"/>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5651"/>
        <w:gridCol w:w="146"/>
        <w:gridCol w:w="3432"/>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32"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3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w:anchor="lxu-ex3_1.htm">
              <w:r>
                <w:rPr>
                  <w:rStyle w:val="InternetLink"/>
                  <w:rFonts w:ascii="Times New Roman" w:hAnsi="Times New Roman"/>
                  <w:color w:val="0000FF"/>
                  <w:sz w:val="20"/>
                  <w:u w:val="single"/>
                </w:rPr>
                <w:t>Third Amended and Restated Bylaws of LSB Industries,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Change in Control Agreement, dated January 14, 2026, by and between LSB Industries, Inc. and Damien J. Renwick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on January 21, 2026</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Change in Control Agreement, dated January 14, 2026, by and between LSB Industries, Inc. and Scott D. Bemis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10.2 to the Company’s Form 8-K filed on January 21, 2026</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w:anchor="lxu-ex10_3.htm">
              <w:r>
                <w:rPr>
                  <w:rStyle w:val="InternetLink"/>
                  <w:rFonts w:ascii="Times New Roman" w:hAnsi="Times New Roman"/>
                  <w:color w:val="0000FF"/>
                  <w:sz w:val="20"/>
                  <w:u w:val="single"/>
                </w:rPr>
                <w:t>Side Letter Agreement, dated February 10, 2026, by and between LSB Industries, Inc. and Mark T. Behrman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hyperlink w:anchor="lxu-ex10_4.htm">
              <w:r>
                <w:rPr>
                  <w:rStyle w:val="InternetLink"/>
                  <w:rFonts w:ascii="Times New Roman" w:hAnsi="Times New Roman"/>
                  <w:color w:val="0000FF"/>
                  <w:sz w:val="20"/>
                  <w:u w:val="single"/>
                </w:rPr>
                <w:t>Form of Restricted Stock Unit Agreement (Executive Officers – 2026) under the LSB Industries, Inc. 2025 Long-Term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31.1(a)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31.2(a)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32.1(a)(b)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32.2(a)(b)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101.INS(a)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101.SCH(a)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101.CAL(a)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101.DEF(a)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101.LAB(a)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101.PRE(a)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b w:val="false"/>
                <w:color w:val="000000"/>
                <w:sz w:val="20"/>
              </w:rPr>
            </w:pPr>
            <w:r>
              <w:rPr>
                <w:rFonts w:ascii="Times New Roman" w:hAnsi="Times New Roman"/>
                <w:b w:val="false"/>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Filed herewith or furnished herewith.</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1786"/>
        <w:gridCol w:w="4441"/>
      </w:tblGrid>
      <w:tr>
        <w:trPr/>
        <w:tc>
          <w:tcPr>
            <w:tcW w:w="178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178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2" w:name="lxu-ex3_1.htm"/>
      <w:bookmarkStart w:id="23" w:name="kslxuex3_1"/>
      <w:bookmarkEnd w:id="22"/>
      <w:bookmarkEnd w:id="23"/>
      <w:r>
        <w:rPr>
          <w:rFonts w:ascii="Times New Roman" w:hAnsi="Times New Roman"/>
          <w:color w:val="000000"/>
          <w:sz w:val="22"/>
        </w:rPr>
        <w:t>Exhibit 3(ii).1(a)</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 Delaware Corporation)</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THIRD AMENDED AND RESTATED BYLAWS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(as amended through April 2, 2026)</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Offices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The principal office of the Corporation shall be in Oklahoma City, County of Oklahoma, State of Oklahoma, and the Corporation may also have offices at such other places as the Board of Directors may from time to time appoint or at such other places as the business of the Corporation requires.</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II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Seal</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The corporate seal shall be in such form as the Board of Directors may from time to time prescribe. Said seal may be used by causing it, or a facsimile thereof, to be impressed or affixed or reproduced or otherwise.</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III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Stockholders; Business to be Conducted at Annual or Special Meeting</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 Stockholders; and Stockholder Access to Corporation’s Proxy Statement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Place</w:t>
      </w:r>
      <w:r>
        <w:rPr>
          <w:rFonts w:ascii="Times New Roman" w:hAnsi="Times New Roman"/>
          <w:color w:val="000000"/>
          <w:sz w:val="20"/>
        </w:rPr>
        <w:t>. All meetings of the stockholders shall be held at such place, if any, either within or without the State of Delaware, or by means of remote communication, as shall be designated from time to time by resolution of the Board of Directors and stated in the notice of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Annual Meeting</w:t>
      </w:r>
      <w:r>
        <w:rPr>
          <w:rFonts w:ascii="Times New Roman" w:hAnsi="Times New Roman"/>
          <w:color w:val="000000"/>
          <w:sz w:val="20"/>
        </w:rPr>
        <w:t>. An annual meeting of stockholders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pStyle w:val="TextBody"/>
        <w:bidi w:val="0"/>
        <w:jc w:val="both"/>
        <w:rPr/>
      </w:pPr>
      <w:r>
        <w:rPr/>
        <w:t> </w:t>
      </w:r>
    </w:p>
    <w:p>
      <w:pPr>
        <w:pStyle w:val="TextBody"/>
        <w:bidi w:val="0"/>
        <w:jc w:val="both"/>
        <w:rPr>
          <w:rFonts w:ascii="Times New Roman" w:hAnsi="Times New Roman"/>
          <w:sz w:val="20"/>
        </w:rPr>
      </w:pPr>
      <w:bookmarkStart w:id="24" w:name="page8"/>
      <w:bookmarkEnd w:id="24"/>
      <w:r>
        <w:rPr>
          <w:rFonts w:ascii="Times New Roman" w:hAnsi="Times New Roman"/>
          <w:color w:val="000000"/>
          <w:sz w:val="20"/>
        </w:rPr>
        <w:t xml:space="preserve">Section 3. </w:t>
      </w:r>
      <w:r>
        <w:rPr>
          <w:rFonts w:ascii="Times New Roman" w:hAnsi="Times New Roman"/>
          <w:color w:val="000000"/>
          <w:sz w:val="20"/>
          <w:u w:val="single"/>
        </w:rPr>
        <w:t>Quorum</w:t>
      </w:r>
      <w:r>
        <w:rPr>
          <w:rFonts w:ascii="Times New Roman" w:hAnsi="Times New Roman"/>
          <w:color w:val="000000"/>
          <w:sz w:val="20"/>
        </w:rPr>
        <w:t>. The holders of record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but in the absence of a quorum the holders of record, present in person or represented by proxy at such meeting shall have power to adjourn the meeting from time to time, without notice other than announcement at the meeting, until the requisite amount of voting stock shall be present. A quorum, once established, shall not be broken by the subsequent withdrawal of enough votes to leave less than a quorum. At such adjourned meeting at which the requisite amount of voting stock shall be represented, any business may be transacted which might have been transacted at the meeting as originally notified.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Voting</w:t>
      </w:r>
      <w:r>
        <w:rPr>
          <w:rFonts w:ascii="Times New Roman" w:hAnsi="Times New Roman"/>
          <w:color w:val="000000"/>
          <w:sz w:val="20"/>
        </w:rPr>
        <w:t xml:space="preserve">; </w:t>
      </w:r>
      <w:r>
        <w:rPr>
          <w:rFonts w:ascii="Times New Roman" w:hAnsi="Times New Roman"/>
          <w:color w:val="000000"/>
          <w:sz w:val="20"/>
          <w:u w:val="single"/>
        </w:rPr>
        <w:t>Proxies</w:t>
      </w:r>
      <w:r>
        <w:rPr>
          <w:rFonts w:ascii="Times New Roman" w:hAnsi="Times New Roman"/>
          <w:color w:val="000000"/>
          <w:sz w:val="20"/>
        </w:rPr>
        <w:t>. Except as otherwise provided by the laws of the State of Delaware or the Certificate of Incorporation of the Corporation or these Bylaws: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At every meeting of the stockholders every shareholder having the right to vote shall be entitled to one vote for each share of capital stock having voting rights held by him.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Each matter properly presented to any meeting shall be decided by a majority of the votes cast on the matter.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Election of directors and the vote on any other matter presented to a meeting need not be by written ballots, but written ballots may be used if ordered by the chairman of the meeting or if so requested by any stockholder present or represented by proxy at the meeting entitled to vote in such election or on such matter, as the case may be.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Any stockholder directly or indirectly soliciting proxies from other stockholders may use any proxy card color other than white, which shall be reserved for exclusive use of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Notice of Meeting</w:t>
      </w:r>
      <w:r>
        <w:rPr>
          <w:rFonts w:ascii="Times New Roman" w:hAnsi="Times New Roman"/>
          <w:color w:val="000000"/>
          <w:sz w:val="20"/>
        </w:rPr>
        <w:t>. For each meeting of stockholders written notice shall be given stating the place, date and hour, and, in the case of a special meeting, the purpose or purposes for which the meeting is called and, if the list of stockholders required by Section 6 is to be made available on a reasonably accessible electronic network, the information required to gain access to such list. Except as otherwise provided by Delaware law, the written notice of any meeting shall be given not less than 10 nor more than 60 days before the date of the meeting to each stockholder entitled to vote at such meeting. If mailed, notice shall be deemed to be given when deposited in the United States mail, postage prepaid, directed to the stockholder at his address as it appears on the records of the Corporation. Without limiting the manner by which notices of meetings otherwise may be given effectively to stockholders, any such notice may be given by electronic transmission in accordance with applicable law. Notice of any meeting need not be given to any stockholder who shall, either before 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List of Stockholders Entitled to Vote</w:t>
      </w:r>
      <w:r>
        <w:rPr>
          <w:rFonts w:ascii="Times New Roman" w:hAnsi="Times New Roman"/>
          <w:color w:val="000000"/>
          <w:sz w:val="20"/>
        </w:rPr>
        <w:t xml:space="preserve">. The Corporation shall prepare a complete list of the stockholders entitled to vote at any meeting of stockholders, arranged in alphabetical order, and showing the address of each stockholder and the number of shares registered in the name of each stockholder. Such list shall be open to the examination of any stockholder for any purpose germane to the meeting, for a period of at least 10 days ending on the day before the meeting date, (a) on a reasonably accessible electronic network, provided that the information required to gain access to such list was provided with the notice of the meeting, or (b) during ordinary business hours, at the principal place of business of the Corporation.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Special Meetings</w:t>
      </w:r>
      <w:r>
        <w:rPr>
          <w:rFonts w:ascii="Times New Roman" w:hAnsi="Times New Roman"/>
          <w:color w:val="000000"/>
          <w:sz w:val="20"/>
        </w:rPr>
        <w:t>. A special meeting of stockholders may be called at any time by the Chairman of the Board of Directors or by a majority of the directors then in office, and shall be called by the Chairman of the Board of Directors upon receipt of a written request to do so specifying the matter or matters, appropriate for action at such meeting, proposed to be presented at the meeting and signed by holders of record of two-thirds of the shares of stock that would be entitled to be voted on such matter or matters if the meeting was held on the day such request is received and the record date for such meeting was the close of business on the preceding day. Any such meeting shall be held at such time and at such place, within or without the State of Delaware, as shall be determined by the body or person calling such meeting and as shall be stated in the notice of such meeting.</w:t>
      </w:r>
    </w:p>
    <w:p>
      <w:pPr>
        <w:pStyle w:val="TextBody"/>
        <w:bidi w:val="0"/>
        <w:jc w:val="both"/>
        <w:rPr/>
      </w:pPr>
      <w:r>
        <w:rPr/>
        <w:t> </w:t>
      </w:r>
    </w:p>
    <w:p>
      <w:pPr>
        <w:pStyle w:val="TextBody"/>
        <w:bidi w:val="0"/>
        <w:jc w:val="both"/>
        <w:rPr>
          <w:rFonts w:ascii="Times New Roman" w:hAnsi="Times New Roman"/>
          <w:sz w:val="20"/>
        </w:rPr>
      </w:pPr>
      <w:bookmarkStart w:id="25" w:name="page9"/>
      <w:bookmarkEnd w:id="25"/>
      <w:r>
        <w:rPr>
          <w:rFonts w:ascii="Times New Roman" w:hAnsi="Times New Roman"/>
          <w:color w:val="000000"/>
          <w:sz w:val="20"/>
        </w:rPr>
        <w:t xml:space="preserve">Section 8. </w:t>
      </w:r>
      <w:r>
        <w:rPr>
          <w:rFonts w:ascii="Times New Roman" w:hAnsi="Times New Roman"/>
          <w:color w:val="000000"/>
          <w:sz w:val="20"/>
          <w:u w:val="single"/>
        </w:rPr>
        <w:t>Chairman and Secretary at Meeting</w:t>
      </w:r>
      <w:r>
        <w:rPr>
          <w:rFonts w:ascii="Times New Roman" w:hAnsi="Times New Roman"/>
          <w:color w:val="000000"/>
          <w:sz w:val="20"/>
        </w:rPr>
        <w:t>. At each meeting of stockholders, the Chairman of the Board of Directors or, in the absence or inability to serve by the Chairman of the Board of Directors, the Vice Chairman of the Board of Directors or, in the absence or inability to serve by both the Chairman of the Board of Directors and the Vice Chairman of the Board of Directors, the President or, in the absence or inability to serve by the Chairman of the Board of Directors, Vice Chairman of the Board of Directors and the President, the person designated in writing by the President or, if no person is so designated, then a person designated by the Board of Directors shall preside as chairman of the meeting; if no person is so designated, then the Board of Directors shall choose a chairman by plurality vote. The Secretary or in his absence a person designated by the chairman of the meeting shall act as secretary of the meeting.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(d) limitations on attendance at or participation in the meeting to stockholders of record of the Corporation, their duly authorized and constituted proxies, or such other persons as the chairman of the meeting shall determine; (e) restrictions on entry to the meeting after the time fixed for the commencement thereof; and (f) limitations on the time allotted to questions or comments by participants.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Adjourned Meetings</w:t>
      </w:r>
      <w:r>
        <w:rPr>
          <w:rFonts w:ascii="Times New Roman" w:hAnsi="Times New Roman"/>
          <w:color w:val="000000"/>
          <w:sz w:val="20"/>
        </w:rPr>
        <w:t>. A meeting of stockholders may be adjourned to another time or place, and. notice need not be given of any such adjourned meeting if the time, place, if any, thereof and the means of remote communication, if any, are provided in accordance with applicable law. Unless the Board of Directors fixes a new record date, stockholders of record for an adjourned meeting shall be as originally determined for the meeting from which the adjournment was taken. If the adjournment is for more than 30 days, or if after the adjournment, a new record date is fixed for the adjourned meeting, a notice of the adjourned meeting shall be given to each stockholder of record entitled to vote. At the adjourned meeting any business may be transacted that might have been transacted at the meeting as originally called.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10. </w:t>
      </w:r>
      <w:r>
        <w:rPr>
          <w:rFonts w:ascii="Times New Roman" w:hAnsi="Times New Roman"/>
          <w:color w:val="000000"/>
          <w:sz w:val="20"/>
          <w:u w:val="single"/>
        </w:rPr>
        <w:t>Consent of Stockholders in Lieu of Meeting</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10.1 </w:t>
      </w:r>
      <w:r>
        <w:rPr>
          <w:rFonts w:ascii="Times New Roman" w:hAnsi="Times New Roman"/>
          <w:color w:val="000000"/>
          <w:sz w:val="20"/>
          <w:u w:val="single"/>
        </w:rPr>
        <w:t>Action by Written Consent</w:t>
      </w:r>
      <w:r>
        <w:rPr>
          <w:rFonts w:ascii="Times New Roman" w:hAnsi="Times New Roman"/>
          <w:color w:val="000000"/>
          <w:sz w:val="20"/>
        </w:rPr>
        <w:t>. Any action which is required to be or may be taken at any annual or special meeting of stockholders of the Corporation may be taken without a meeting, without prior notice and without a vote, if consents in writing,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 provided however, that prompt notice of the taking of the corporate action without a meeting and by less than unanimous written consent shall be given to those stockholders who have not consented in writing.</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10.2 </w:t>
      </w:r>
      <w:r>
        <w:rPr>
          <w:rFonts w:ascii="Times New Roman" w:hAnsi="Times New Roman"/>
          <w:color w:val="000000"/>
          <w:sz w:val="20"/>
          <w:u w:val="single"/>
        </w:rPr>
        <w:t>Determination of Record Date of Action by Written Consent</w:t>
      </w:r>
      <w:r>
        <w:rPr>
          <w:rFonts w:ascii="Times New Roman" w:hAnsi="Times New Roman"/>
          <w:color w:val="000000"/>
          <w:sz w:val="20"/>
        </w:rPr>
        <w:t xml:space="preserve">. The record date for determining stockholders entitled to express consent to corporate action in writing without a meeting shall be fixed as follows: </w:t>
      </w:r>
    </w:p>
    <w:p>
      <w:pPr>
        <w:pStyle w:val="TextBody"/>
        <w:bidi w:val="0"/>
        <w:jc w:val="both"/>
        <w:rPr/>
      </w:pPr>
      <w:r>
        <w:rPr/>
        <w:t> </w:t>
      </w:r>
    </w:p>
    <w:p>
      <w:pPr>
        <w:pStyle w:val="TextBody"/>
        <w:bidi w:val="0"/>
        <w:jc w:val="both"/>
        <w:rPr>
          <w:rFonts w:ascii="Times New Roman" w:hAnsi="Times New Roman"/>
          <w:color w:val="000000"/>
          <w:sz w:val="20"/>
        </w:rPr>
      </w:pPr>
      <w:bookmarkStart w:id="26" w:name="page10"/>
      <w:bookmarkEnd w:id="26"/>
      <w:r>
        <w:rPr>
          <w:rFonts w:ascii="Times New Roman" w:hAnsi="Times New Roman"/>
          <w:color w:val="000000"/>
          <w:sz w:val="20"/>
        </w:rPr>
        <w:t>(a) Any stockholder of record seeking to have the stockholders authorize or take corporate action by written consent without a meeting shall deliver written notice to the Secretary requesting that the Board of Directors fix a record date, which notice shall describe the action proposed to be taken by consent.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 Upon receipt of a valid request under subsection (a), or upon a determination by the Board of Directors that the Corporation should seek corporate action by written consent, the Board of Directors shall fix as the record date the 10th day following such receipt or determination (or such later date as may be specified by the requesting stockholder or by the Board of Directors, as applicable).If such date falls on a Saturday, Sunday or legal holiday, the record date shall be the first day next following such date that is not a Saturday, Sunday or legal holiday.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Any record date determined pursuant to this Subsection 10.2 shall be announced by a press release prior to the opening of trading on the principal exchange on which the Corporation’s securities are listed for trading on the next trading day following receipt of a stockholder request under subsection (a) or a Board determination under subsection (b).</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10.3 </w:t>
      </w:r>
      <w:r>
        <w:rPr>
          <w:rFonts w:ascii="Times New Roman" w:hAnsi="Times New Roman"/>
          <w:color w:val="000000"/>
          <w:sz w:val="20"/>
          <w:u w:val="single"/>
        </w:rPr>
        <w:t>Duration and Revocation of Consents</w:t>
      </w:r>
      <w:r>
        <w:rPr>
          <w:rFonts w:ascii="Times New Roman" w:hAnsi="Times New Roman"/>
          <w:color w:val="000000"/>
          <w:sz w:val="20"/>
        </w:rPr>
        <w:t>. Stockholders of the Corporation shall be given at least 20 days from the record date to deliver or revoke written consents. Consents to corporate action shall remain valid for a maximum of 60 days after the record date, after which any undelivered consents shall expire. A consent may be revoked by written notice delivered (i) to the Corporation, (ii) to the stockholder or stockholders soliciting consents (or soliciting revocations in opposition thereto) (the “Soliciting Stockholders”), or (iii) to any proxy solicitor engaged by the Corporation or the Soliciting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10.4 </w:t>
      </w:r>
      <w:r>
        <w:rPr>
          <w:rFonts w:ascii="Times New Roman" w:hAnsi="Times New Roman"/>
          <w:color w:val="000000"/>
          <w:sz w:val="20"/>
          <w:u w:val="single"/>
        </w:rPr>
        <w:t>Retention and Duties of Inspectors of Election</w:t>
      </w:r>
      <w:r>
        <w:rPr>
          <w:rFonts w:ascii="Times New Roman" w:hAnsi="Times New Roman"/>
          <w:color w:val="000000"/>
          <w:sz w:val="20"/>
        </w:rPr>
        <w:t>. Within two business days after receipt of a stockholder request under Section 10.2(a) or a Board determination under Section 10.2(b), the Secretary of the Corporation shall engage a nationally recognized independent inspector of elections to perform the functions described in this Section 10.4. The inspector shall review all consents and revocations delivered to the Corporation, maintain a confidential count of valid and unrevoked consents, determine whether the requisite number of valid and unrevoked consents has been obtained to authorize or take the action specified therein, and forthwith certify such determination for entry in the records of the Corporation kept for the purpose of recording the proceedings of meetings of stockholders. The cost of retaining an inspector of elections shall be borne by the party proposing the action by consent.</w:t>
      </w:r>
    </w:p>
    <w:p>
      <w:pPr>
        <w:pStyle w:val="TextBody"/>
        <w:bidi w:val="0"/>
        <w:jc w:val="both"/>
        <w:rPr/>
      </w:pPr>
      <w:r>
        <w:rPr/>
        <w:t> </w:t>
      </w:r>
    </w:p>
    <w:p>
      <w:pPr>
        <w:pStyle w:val="TextBody"/>
        <w:bidi w:val="0"/>
        <w:jc w:val="both"/>
        <w:rPr>
          <w:rFonts w:ascii="Times New Roman" w:hAnsi="Times New Roman"/>
          <w:sz w:val="20"/>
        </w:rPr>
      </w:pPr>
      <w:bookmarkStart w:id="27" w:name="page11"/>
      <w:bookmarkEnd w:id="27"/>
      <w:r>
        <w:rPr>
          <w:rFonts w:ascii="Times New Roman" w:hAnsi="Times New Roman"/>
          <w:color w:val="000000"/>
          <w:sz w:val="20"/>
        </w:rPr>
        <w:t xml:space="preserve">10.5 </w:t>
      </w:r>
      <w:r>
        <w:rPr>
          <w:rFonts w:ascii="Times New Roman" w:hAnsi="Times New Roman"/>
          <w:color w:val="000000"/>
          <w:sz w:val="20"/>
          <w:u w:val="single"/>
        </w:rPr>
        <w:t>Procedures for Counting and Challenging Consents</w:t>
      </w:r>
      <w:r>
        <w:rPr>
          <w:rFonts w:ascii="Times New Roman" w:hAnsi="Times New Roman"/>
          <w:color w:val="000000"/>
          <w:sz w:val="20"/>
        </w:rPr>
        <w:t>. Consents and revocations shall be delivered to the inspectors upon receipt by the Corporation, the Soliciting Stockholders or their proxy solicitors or other designated agents. As soon as consents and revocations are received, the inspectors shall review the consents and revocations and shall maintain a count of the number of valid and unrevoked consents. The inspectors shall keep such count confidential and shall not reveal the count to the Corporation, the Soliciting Stockholders or their representatives. As soon as practicable after the earlier of (i) 60 days after the record date for the consents or (ii) a request therefore by the Corporation or the Soliciting Stockholders (whichever is soliciting consents) made after expiration of the period for giving or revoking consents under Subsection 10.3 above, notice of which request shall be given to the party opposing the solicitation of consents, which request shall state that the Corporation or Soliciting Stockholder(s) (as the case may be) in good faith believe that it or they have received the requisite number of valid and unrevoked consents to authorize or take the action specified in the consents, the inspectors shall issue a preliminary report to the Corporation and the Soliciting Stockholders stating: (i) the number of valid consents; (ii) the number of valid revocations; (iii) the number of valid and unrevoked consents; (iv) the number of invalid consents; (v) the number of invalid revocations; and (vi) whether, based on their preliminary count, the requisite number of valid and unrevoked consents has been obtained to authorize or take the action specified in the consents. Unless the Corporation and the Soliciting Stockholder(s) shall agree to a shorter or longer period, the Corporation and the Soliciting Stockholder(s) shall have 48 hours to review the consents and revocations and to advise the inspectors and the opposing party in writing as to whether they intend to challenge the preliminary report of the inspectors. If no written notice of an intention to challenge the preliminary report is received within 48 hours after the inspector’s issuance of the preliminary report, the inspectors shall issue to the Corporation and the Soliciting Stockholder(s) their final report containing the information from the inspectors’ determination with respect to whether the requisite number of valid and unrevoked consents was obtained to authorize and take the action specified in the consents. If the Corporation or the Soliciting Stockholder(s) issue written notice of an intention to challenge the inspectors’ preliminary report within 48 hours after the issuance of that report, a challenge session shall be scheduled by the inspectors as promptly as practicable. A transcript of the challenge session shall be recorded by a certified court reporter. Following completion of the challenge session, the inspectors shall as promptly as practicable issue their final report to the Corporation and the Soliciting Stockholder(s) containing the information included in the preliminary report, plus all changes in the vote totals as a result of the challenges and a certification of whether the requisite number of valid and unrevoked consents was obtained to authorize or take the action specified in the consents.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10.6 </w:t>
      </w:r>
      <w:r>
        <w:rPr>
          <w:rFonts w:ascii="Times New Roman" w:hAnsi="Times New Roman"/>
          <w:color w:val="000000"/>
          <w:sz w:val="20"/>
          <w:u w:val="single"/>
        </w:rPr>
        <w:t>Notice of Results</w:t>
      </w:r>
      <w:r>
        <w:rPr>
          <w:rFonts w:ascii="Times New Roman" w:hAnsi="Times New Roman"/>
          <w:color w:val="000000"/>
          <w:sz w:val="20"/>
        </w:rPr>
        <w:t>. The Corporation shall give prompt notice to the stockholders of the results of any consent solicitation or the taking of the corporate action without a meeting and by less than unanimous written consent.</w:t>
      </w:r>
    </w:p>
    <w:p>
      <w:pPr>
        <w:pStyle w:val="TextBody"/>
        <w:bidi w:val="0"/>
        <w:jc w:val="left"/>
        <w:rPr/>
      </w:pPr>
      <w:r>
        <w:rPr/>
        <w:t> </w:t>
      </w:r>
    </w:p>
    <w:p>
      <w:pPr>
        <w:pStyle w:val="TextBody"/>
        <w:bidi w:val="0"/>
        <w:jc w:val="both"/>
        <w:rPr>
          <w:rFonts w:ascii="Times New Roman" w:hAnsi="Times New Roman"/>
          <w:sz w:val="20"/>
        </w:rPr>
      </w:pPr>
      <w:bookmarkStart w:id="28" w:name="page12"/>
      <w:bookmarkEnd w:id="28"/>
      <w:r>
        <w:rPr>
          <w:rFonts w:ascii="Times New Roman" w:hAnsi="Times New Roman"/>
          <w:color w:val="000000"/>
          <w:sz w:val="20"/>
        </w:rPr>
        <w:t xml:space="preserve">Section 11. </w:t>
      </w:r>
      <w:r>
        <w:rPr>
          <w:rFonts w:ascii="Times New Roman" w:hAnsi="Times New Roman"/>
          <w:color w:val="000000"/>
          <w:sz w:val="20"/>
          <w:u w:val="single"/>
        </w:rPr>
        <w:t>Fixing of Record Date</w:t>
      </w:r>
      <w:r>
        <w:rPr>
          <w:rFonts w:ascii="Times New Roman" w:hAnsi="Times New Roman"/>
          <w:color w:val="000000"/>
          <w:sz w:val="20"/>
        </w:rPr>
        <w:t xml:space="preserve">. In order that the Corporation may determine the stockholders entitled to notice of or to vote at any meeting of stockholders or any adjournment thereof, or entitled receive payment of any dividend or other distribution or allotment of any rights, or entitled to exercise any rights in respect of any change, conversion or exchange of stock or for the purpose of any other lawful action, the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3</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Board of Directors may fix, in advance, a record date, which shall not be more than 60 nor less than 10 days before the date of such meeting, nor more than 60 days prior to any other action. Notwithstanding the foregoing, the record date for determining stockholders entitled to express consent to corporate action in writing without a meeting shall be determined in accordance with Section 10.2 of Article III.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the record date for determining stockholders for any other purpose shall be at the close of business on the day on which the Board of Directors adopts the resolution relating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Business to be Conducted at the Annual or Special Meeting of the Stockholders; Notice of Proposals</w:t>
      </w:r>
      <w:r>
        <w:rPr>
          <w:rFonts w:ascii="Times New Roman" w:hAnsi="Times New Roman"/>
          <w:color w:val="000000"/>
          <w:sz w:val="20"/>
        </w:rPr>
        <w:t>. At any annual meeting of the stockholders, only such business shall be conducted as shall have been brought before the meeting (i) by or at the direction of the Board of Directors, or (ii) by any stockholder of the Corporation who is entitled to vote with respect thereto and who: (a) was a stockholder of record (and, with respect to any beneficial owner, if different, on whose behalf such business as proposed, only if such beneficial owner was the beneficial owner of shares of the Corporation) both at the time of giving notice provided for in this Section 12 and at the time of the meeting; and (b) complies with the notice procedures set forth in this Section 12.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proposals properly made in accordance with Rule 14a-8 under the Securities Exchange Act of 1934, as amended, and the rules and regulations thereunder (as so amended and inclusive of such rules as regulations, the “Exchange Act”) and included in the notice of the meeting given by or at the direction of the Board of Directors, the foregoing clause (ii) will be the exclusive means for a stockholder to propose business (other than with respect to director nominations) to be brought before the annual meeting of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business to be properly brought before the annual meeting by a stockholder, the Proposing Person (as defined below) must have given timely notice thereof in writing to the Secretary of the Corporation. The Proposing Person’s notice will be timely if delivered or mailed to and received at the principal executive offices at the Corporation not less than 120 nor more than 150 days before the date on which the Corporation first mailed its proxy materials for the prior year’s annual meeting of stockholders; provided however, that if such annual meeting is to be held on a date that is more than 30 days before, or more than 60 days after, the anniversary of the prior year’s annual meeting, notice by the Proposing Person, to be timely, must be so delivered, or mailed and received, not later than the 90th day prior to such annual meeting, or if later, the 10th day following the date on which public disclosure of the date of such annual meeting was made. Any adjournment or postponement of an annual meeting or the announcement thereof will not commence a new time period (or extend any notice time period) for giving the timely notice described above.</w:t>
      </w:r>
    </w:p>
    <w:p>
      <w:pPr>
        <w:pStyle w:val="TextBody"/>
        <w:bidi w:val="0"/>
        <w:jc w:val="both"/>
        <w:rPr/>
      </w:pPr>
      <w:r>
        <w:rPr/>
        <w:t> </w:t>
      </w:r>
    </w:p>
    <w:p>
      <w:pPr>
        <w:pStyle w:val="TextBody"/>
        <w:bidi w:val="0"/>
        <w:jc w:val="both"/>
        <w:rPr>
          <w:rFonts w:ascii="Times New Roman" w:hAnsi="Times New Roman"/>
          <w:color w:val="000000"/>
          <w:sz w:val="20"/>
        </w:rPr>
      </w:pPr>
      <w:bookmarkStart w:id="29" w:name="page13"/>
      <w:bookmarkEnd w:id="29"/>
      <w:r>
        <w:rPr>
          <w:rFonts w:ascii="Times New Roman" w:hAnsi="Times New Roman"/>
          <w:color w:val="000000"/>
          <w:sz w:val="20"/>
        </w:rPr>
        <w:t>The Proposing Person’s notice to the Secretary shall set forth as to each matter such stockholder proposes to bring before the annual meeting, the following:</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the name and address, as they appear on the Corporation books, of the stockholder proposing such business;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class or series and number of shares of the Corporation’s securities that are, directly or indirectly, owned of record or beneficially owned (within the meaning of Rule 13d-3 under the Exchange Act) by the Proposing Person, except the Proposing Person will be deemed to beneficially own any shares or class or series of the Corporation’s securities which the Proposing Person has a right to acquire beneficially ownership at any time in the future;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 xml:space="preserve">as to each item of business that the stockholder proposes to bring before the annual meeting, (A) a reasonably brief description of the business desired to be brought before the annual meeting, the reasons for conducting such business at the annual meeting and any substantial interest (within the meaning of Item 5 of Schedule 14A under the Exchange Act) in such business of such Proposing Person, and (B) the text of the proposal or business (including the text of any resolutions proposed for consideration);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 xml:space="preserve">a reasonably detailed description of all agreements, arrangements and understandings, oral or in writing (A) between or among any of the Proposing Persons or (B) between or among any Proposing Person and any other record or beneficial holder of the shares of any class or series of the Corporation (including their names) relating to the proposal of such business by such Proposing Person or (C) between or among any Proposing Person and any other persons or entities (including their names) acting in concert with the Proposing Person; and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a statement of whether or not the Proposing Stockholder (or any duly authorized person acting on behalf of such Proposing Stockholder) intends to solicit proxies with respect to such business proposal and, if so, the name of each participant in such solicitation; and a statement: (A) confirming whether the Proposing Stockholder (or duly authorized person acting on behalf of such Proposing Stockholder) intends, or is part of a group that intends to deliver a proxy statement and form of proxy and solicit at least the percentage of voting power of all of the shares of stock of the Corporation required under applicable law to approve the proposal; and (B) whether or not any such Proposing Stockholder (or duly authorized person acting on behalf of such Proposing Stockholder) intends to otherwise solicit proxies from stockholders in support of such business proposal.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purposes of this Section 12 and Section 13, the term “Proposing Person” shall mean (x) the stockholder providing the notice of business proposed to be brought before an annual meeting or notice of a nomination of a person for election as a director, (y) the beneficial owner or beneficial owners, if different, on whose behalf the notice of the business proposed to be brought before the annual meeting or notice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4</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nomination is made, and (z) any affiliate or associate (each within the meaning of Rule 12b-2 under the Exchange Act for purposes of these Bylaws) of such stockholder or beneficial owner.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in these Bylaws to the contrary, no business (other than nominations of directors, which must be made in compliance with, and shall be exclusively governed by, Article III, Section 13 of these Bylaws) shall be brought before or conducted at the annual meeting except in accordance with the provisions of this Section 12. The officer of the Corporation or other person presiding over the annual meeting shall, if the facts so warrant, determine and declare to the meeting that business was not properly brought before the meeting in accordance with the provisions of this Section 12 and, if he should so determine, he shall so declare to the meeting and any such business so determined to be not properly brought before the meeting shall not be transacted.</w:t>
      </w:r>
    </w:p>
    <w:p>
      <w:pPr>
        <w:pStyle w:val="TextBody"/>
        <w:bidi w:val="0"/>
        <w:jc w:val="both"/>
        <w:rPr/>
      </w:pPr>
      <w:r>
        <w:rPr/>
        <w:t> </w:t>
      </w:r>
    </w:p>
    <w:p>
      <w:pPr>
        <w:pStyle w:val="TextBody"/>
        <w:bidi w:val="0"/>
        <w:jc w:val="both"/>
        <w:rPr>
          <w:rFonts w:ascii="Times New Roman" w:hAnsi="Times New Roman"/>
          <w:color w:val="000000"/>
          <w:sz w:val="20"/>
        </w:rPr>
      </w:pPr>
      <w:bookmarkStart w:id="30" w:name="page14"/>
      <w:bookmarkEnd w:id="30"/>
      <w:r>
        <w:rPr>
          <w:rFonts w:ascii="Times New Roman" w:hAnsi="Times New Roman"/>
          <w:color w:val="000000"/>
          <w:sz w:val="20"/>
        </w:rPr>
        <w:t xml:space="preserve">A stockholder providing notice of business proposed to be brought before an annual meeting shall further update and supplement such notice, as needed, so that the information provided or required to be provided in such notice pursuant to this Section 12 shall be true and correct as of the record date for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(in the case of the update and supplement required to be made as of 10 business days prior to the meeting or any adjournment or postponement thereof).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Section 12 is expressly intended to apply to any business proposed to be brought before an annual meeting of stockholders; except this Section 12 shall not apply to any proposal made pursuant to Rule 14a-8 of the Exchange Act, or to the nomination of persons for election to the Corporation’s Board of Directors at a meeting of stockholders at which directors are to be elected which shall be governed by Article III, Section 13 of these Bylaws. In addition to the requirements of this Section 12 with respect to any business proposed to be brought before an annual meeting, each Proposing Person shall comply with all applicable requirements of the Exchange Act with respect to any such business. Nothing in this Section 12 shall be deemed to affect the rights of stockholders to request inclusion of proposals in the Corporation’s proxy statement pursuant to Rule 14a-8 under the Exchange Act.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officer of the Corporation or other person presiding at the meeting shall, if the facts so warrant, determine that business was not properly brought before the meeting in accordance with the procedures set forth in this Section 12, and, if he or she should so determine, he or she shall so declare to the meeting and any such business not properly brought before the meeting shall not be transacted.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any special meeting of the stockholders, only such business shall be conducted as shall have been brought before the meeting by or at the direction of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Election to the Board of Directors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13.1 Only persons who are nominated in accordance with the procedures set forth in these Bylaws shall be eligible for election as directors of the Corporation. Nominations of persons for election to the Board of Directors of the Corporation may be made at a meeting of stockholders at which directors are to be elected only: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by or at the direction of the Board of Directors; 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by any stockholder of the Corporation entitled to vote for the election of directors at the meeting who complies with the notice procedures set forth in Subsection 13.2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clause (ii) will be the exclusive means by which a stockholder may nominate a person for election to the Board of Directors. Any proposed nominee shall not be eligible for election as a director unless such person has, within ten (10) days following any reasonable request therefor from the Board of Directors or the Nominating and Corporate Governance Committee, made himself or herself available for interviews by directors of the Corporation and/or other persons designated by the Board of Directors or the Nominating and Corporate Governance Committee and provided answers during such interviews that were accurate and reasonably complete in all material respects with respect to, among other things, the information about such person included in the notice from the Proposing Stockholder described in this Section 13 (if applicable), such person’s qualifications to serve as a director and other matters relating to such person’s candidacy or prospective service as a director of the Corporation.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13.2 Nominations of election as a director of the Corporation, other than those made by or at the direction of the Board of Directors, shall be made by timely notice in writing to the Secretary of the Corporation. To be timely, a Proposing Person’s notice shall be delivered or mailed to and received at the principal executive offices of the Corporation not less than 120 nor more than 150 days prior to the anniversary date of the Corporation’s immediately preceding annual meeting of stockholders; provided however, that if such annual meeting is to be held on a date that is more than 30 days before, or more than 60 days after, the anniversary of the prior year’s annual meeting, notice by the Proposing Person,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5</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be timely, must be so delivered, or mailed and received, not later than the 90th day prior to such annual meeting, or if later, the 10th day following the date on which public disclosure of the date of such annual meeting was made. Any adjournment or postponement of an annual meeting or the announcement thereof will not commence a new time period (or extend any notice time period) for giving the timely notice described above. The number of nominees a Proposing Person may nominate for election at an annual meeting pursuant to this Section 13 shall not exceed the number of directors to be elected by stockholders generally at such annual meeting.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Such Proposing Person’s notice shall set forth:</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as to each person whom such Proposing Person proposes to nominate for election or reelection as a director: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all information relating to such person that is required to be disclosed in a proxy statement soliciting proxies for the election of such person as a director in an election contest (even if an election contest is not involved) or other filings required to be made in connection with solicitations of proxies for election of directors pursuant to Section 14(a) of the Exchange Act and the rules and regulations promulgated thereunder;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 written representation and agreement (in the form provided by the Secretary of the Corporation upon written request within three (3) business days after receiving such request) executed by the nominee acknowledging that such person:</w:t>
      </w:r>
    </w:p>
    <w:p>
      <w:pPr>
        <w:pStyle w:val="TextBody"/>
        <w:bidi w:val="0"/>
        <w:jc w:val="both"/>
        <w:rPr>
          <w:rFonts w:ascii="Times New Roman" w:hAnsi="Times New Roman"/>
          <w:color w:val="000000"/>
          <w:sz w:val="20"/>
        </w:rPr>
      </w:pPr>
      <w:r>
        <w:rPr>
          <w:rFonts w:ascii="Times New Roman" w:hAnsi="Times New Roman"/>
          <w:color w:val="000000"/>
          <w:sz w:val="20"/>
        </w:rPr>
        <w:t xml:space="preserve">(1) consents to being named in the proxy statement as a nominee and to serving as a director if elected;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intends to serve as a director for the full term for which such person is standing for election;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(3) makes the following representations and undertakings: (a) that the director nominee has read and agrees to adhere to all applicable rules of any securities exchanges upon which the Corporation’s securities are listed, the Certificate of Incorporation, these Bylaws, the Corporation’s Corporate Governance Guidelines and any other of the Corporation’s policies or guidelines applicable to directors, including with regard to securities trading (which other policies and guidelines will be provided to such nominee within five (5) business days after the Secretary of the Corporation receives any written request therefor from such nominee), and will comply with all applicable fiduciary duties under Delaware law, (b) that the director nominee is not and will not become a party to any agreement, arrangement, or understanding with, and has not given any commitment or assurance to, any person or entity as to how such person, if elected as a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(c) that the director nominee is not and will not become a party to any agreement, arrangement, or understanding with any person or entity other than the Corporation with respect to any direct or indirect compensation, reimbursement, or indemnification that has not been disclosed to the Corporation in connection with such person’s nomination for director or service as a director, and (d) that the director nominee will provide facts, statements and other information in all communications with the Corporation and its stockholders that are and will be true and correct in all material respects and that do not and will not omit to state any fact necessary in order to make the statements made, in light of the circumstances under which they are made, not misleading in all material respects; and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 a representation that such nominee shall also provide any other information reasonably requested by the Corporation within 10 business days after such request);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as to the Proposing Person giving the notice (A) the name and address, as they appear on the Corporation’s books, of such Proposing Person, and (B) the class and number of shares of the Corporation’s voting capital stock that are beneficially owned by such Proposing Person;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 xml:space="preserve">a reasonably detailed description of all agreements, arrangements and understandings, oral or in writing (A) between or among any of the Proposing Persons or (B) between or among any Proposing Person and any other record or beneficial holder of the shares of any class or series of the Corporation (including their names) relating to the nomination by such Proposing Person or (C) between or among any Proposing Person and any other persons or entities (including their names) acting in concert with the Proposing Person;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a statement of whether or not the Proposing Stockholder (or any duly authorized person acting on behalf of such Proposing Stockholder) intends to solicit proxies with respect to such nomination and, if so, the name of each participant in such solicitation; and a statement: (A) confirming whether the Proposing Stockholder (or duly authorized person acting on behalf of such Proposing Stockholder) intends, or is part of a group that intends to solicit proxies or votes in support of such director nominees or nomination in accordance with Rule 14a-19 under the Exchange Act, including but not limited to delivering a proxy statement and form of proxy and soliciting at least the percentage of the voting power of all of the shares of the stock of the Corporation required under applicable law to elect the nominee; and (2) whether or not any such Proposing Stockholder (or duly authorized person acting on behalf of such Proposing Stockholder) intends to otherwise solicit proxies from stockholders in support of such nomination.</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6</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person shall be eligible for election as a director of the Corporation unless nominated in accordance with the provisions of this Section 13, and, if the Proposing Person desires or requests access to the Corporation’s proxy statement with respect to the election of a director, Article III, Section 14 of these Bylaws.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officer of the Corporation or other person presiding at the meeting shall, if the facts so warrant, determine that a nomination was not made in accordance with such provisions and, if he or she should so determine, he or she shall so declare to the meeting and the defective nomination shall be disregarded.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any stockholder provides notice pursuant to Rule 14a-19 under the Exchange Act, such stockholder shall deliver to the Corporation, no later than five (5) business days prior to the applicable meeting, reasonable evidence that it has met all of the applicable requirements of Rule 14a-19 under the Exchange Act. Without limiting the other provisions and requirements of this Section 13, unless otherwise required by law, if any Proposing Person provides such notice and either (A) fails to comply with the requirements of Rule 14a-19 under the Exchange Act, or (B) fails to timely provide reasonable evidence of such compliance as required by this Section 13, then the Proposing Person’s nomination of each such proposed nominee shall be disregarded, notwithstanding that the nominee is included as a nominee in the Corporation’s proxy statement, notice of meeting, or other proxy materials for any annual meeting (or any supplement thereto) and the Corporation shall disregard any proxies or votes solicited for such stockholder’s nominees.</w:t>
      </w:r>
    </w:p>
    <w:p>
      <w:pPr>
        <w:pStyle w:val="TextBody"/>
        <w:bidi w:val="0"/>
        <w:jc w:val="left"/>
        <w:rPr/>
      </w:pPr>
      <w:r>
        <w:rPr/>
        <w:t> </w:t>
      </w:r>
    </w:p>
    <w:p>
      <w:pPr>
        <w:pStyle w:val="TextBody"/>
        <w:bidi w:val="0"/>
        <w:jc w:val="left"/>
        <w:rPr>
          <w:rFonts w:ascii="Times New Roman" w:hAnsi="Times New Roman"/>
          <w:sz w:val="20"/>
        </w:rPr>
      </w:pPr>
      <w:bookmarkStart w:id="31" w:name="page16"/>
      <w:bookmarkEnd w:id="31"/>
      <w:r>
        <w:rPr>
          <w:rFonts w:ascii="Times New Roman" w:hAnsi="Times New Roman"/>
          <w:color w:val="000000"/>
          <w:sz w:val="20"/>
        </w:rPr>
        <w:t xml:space="preserve">Section 14. </w:t>
      </w:r>
      <w:r>
        <w:rPr>
          <w:rFonts w:ascii="Times New Roman" w:hAnsi="Times New Roman"/>
          <w:color w:val="000000"/>
          <w:sz w:val="20"/>
          <w:u w:val="single"/>
        </w:rPr>
        <w:t>Stockholder Access to Corporation’s Proxy Statement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Whenever the Corporation solicits proxies with respect to an election of directors at an annual meeting (an “Election”), it shall include in its proxy statement and on its proxy card, in addition to individuals nominated by the Board of Directors, up to the Permitted Number of individuals nominated in compliance with these Bylaws by one or more Eligible Stockholders (each, an “Access Nominee”). Any Eligible Stockholder seeking to have its nominee included in the Corporation’s proxy statement and on the Corporation’s proxy card shall comply with all provisions of these Bylaws otherwise applicable to stockholder nominations and furnish to the Secretary of the Corporation, no later than the last day on which stockholder nominations for consideration in the Election may be made under Article III, Section 13.2 of these Bylaws (the “Advance Notice Date”):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Sections 13.2 of these Bylaws;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written undertakings described in subsections (d) and (e) below;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any accompanying statement from the Eligible Stockholder to be included in the Corporation’s proxy statement, which statement in order to be so included shall not exceed 500 words and must fully comply with Section 14 of the Exchange Act and the rules and regulations promulgated thereunder, including without limitation Rule 14a-9.</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to the contrary contained in this Section 14,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Additionally, nothing in this Section 14 shall limit the Corporation’s ability to solicit against and include in its proxy statement its own statements relating to any Access Nominee.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For purposes of this Section: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color w:val="000000"/>
        </w:rPr>
        <w:t>“</w:t>
      </w:r>
      <w:r>
        <w:rPr>
          <w:rFonts w:ascii="Times New Roman" w:hAnsi="Times New Roman"/>
          <w:color w:val="000000"/>
          <w:sz w:val="20"/>
        </w:rPr>
        <w:t xml:space="preserve">Permitted Number” means one seat on the Corporation’s Board of Directors to be filled in the Election;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Permitted Number shall be reduced, but not below zero, by the sum of (A) the number of such director candidates for which the Corporation shall have received from Eligible Stockholders by the Advance Notice Date one or more valid stockholder notices nominating director candidates, and (B) the number of directors in office and serving in the class of directors to be considered at the Election for whom access to the Corporation’s proxy materials was provided pursuant to this Section (“Access Director”), other than any who has served as a director continuously for at least six years. In no event will the number of nominees nominated by an Eligible Stockholder for which access to the Corporation’s proxy materials may be provided in the Election plus the number of Access Directors serving on the Board at the time of the Election exceed 25% of the total number of directors that shall constitute the whole board.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“Eligible Stockholder” means a stockholder of the Corporation that, together with its Affiliates, has continuously held Beneficial Ownership and Economic Interest of not less than the Required Interest for at least one year preceding the Advance Notice Date, and that complies with all applicable provisions of these Bylaws.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color w:val="000000"/>
        </w:rPr>
      </w:pPr>
      <w:r>
        <w:rPr>
          <w:color w:val="000000"/>
        </w:rPr>
        <w:t>“</w:t>
      </w:r>
      <w:r>
        <w:rPr>
          <w:rFonts w:ascii="Times New Roman" w:hAnsi="Times New Roman"/>
          <w:color w:val="000000"/>
          <w:sz w:val="20"/>
        </w:rPr>
        <w:t>Beneficial Ownership” means the power to vote or direct the voting of, or to dispose or direct the disposition of, the securities in question.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7</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An “Economic Interest” in a security means having or sharing the opportunity, directly or indirectly, to profit or share in any profit (or loss) derived from a transaction in the security, including through options, swaps or other derivative securities or synthetic arrangements.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color w:val="000000"/>
        </w:rPr>
      </w:pPr>
      <w:r>
        <w:rPr>
          <w:color w:val="000000"/>
        </w:rPr>
        <w:t>“</w:t>
      </w:r>
      <w:r>
        <w:rPr>
          <w:rFonts w:ascii="Times New Roman" w:hAnsi="Times New Roman"/>
          <w:color w:val="000000"/>
          <w:sz w:val="20"/>
        </w:rPr>
        <w:t>Independent” with respect to a nominee for director pursuant to this Section 14 shall mean (A) that the nominee would be considered an independent director in accordance with the listing standards of the principal U.S. securities market in which the common stock of the Corporation trades or, if no such listing standards are applicable at the time, in accordance with the standards used by the Board of Directors or a duly authorized committee thereof in determining and disclosing the independence of the Corporation’s directors in accordance with the rules of the Securities and Exchange Commission and (B) the nominee is not an employee or officer of, or consultant to, the Eligible Stockholder or any of its Affiliates and has no other material association, by agreement, understanding or familial or other relationship, with the Eligible Stockholder or any of its Affiliates.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jc w:val="both"/>
        <w:rPr>
          <w:rFonts w:ascii="Times New Roman" w:hAnsi="Times New Roman"/>
          <w:color w:val="000000"/>
          <w:sz w:val="20"/>
        </w:rPr>
      </w:pPr>
      <w:r>
        <w:rPr>
          <w:rFonts w:ascii="Times New Roman" w:hAnsi="Times New Roman"/>
          <w:color w:val="000000"/>
          <w:sz w:val="20"/>
        </w:rPr>
        <w:t>The “Required Interest” means 5% of the voting power of the outstanding voting securities of the Corporation entitled to vote in the Election, based upon the number of outstanding voting securities of the Corporation most recently disclosed prior to the Advance Notice Date by the Corporation in a filing with the Securities and Exchange Commission.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color w:val="000000"/>
        </w:rPr>
      </w:pPr>
      <w:r>
        <w:rPr>
          <w:color w:val="000000"/>
        </w:rPr>
        <w:t>“</w:t>
      </w:r>
      <w:r>
        <w:rPr>
          <w:rFonts w:ascii="Times New Roman" w:hAnsi="Times New Roman"/>
          <w:color w:val="000000"/>
          <w:sz w:val="20"/>
        </w:rPr>
        <w:t>Affiliate” of a specified person means a person that, directly or indirectly, through one or more intermediaries, controls, is controlled by or is under common control with, the specified person, and, with respect to any investment company (as defined in the Investment Company Act of 1940, whether or not exempt from registration thereunder), shall also include all other investment companies managed by the same investment adviser or any of its Affiliates.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Subject to the following sentence and any undertaking previously provided by an Eligible Stockholder pursuant to Section 14(d) below, each Eligible Stockholder, together with its Affiliates, may nominate one, and not more than one, individual under this Section for inclusion in the Corporation’s proxy statement and on its proxy card. If the Corporation shall receive more than the Permitted Number of proposed nominations from Eligible Stockholders in compliance with these Bylaws, then the nominee nominated by the Eligible Stockholder possessing the largest Beneficial Ownership of voting securities of the Corporation as of the Advance Notice Date shall be the only nominee for purposes of this Section 14.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Any Eligible Stockholder nominating an individual for director in accordance with this Section shall execute and deliver to the Corporation no later than the Advance Notice Date an undertaking, in a form to be provided by the Secretary of the Corporation, that it will, and will cause its Affiliates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not sell or otherwise dispose of its Beneficial Ownership and Economic Interest of voting securities of the Corporation so as to reduce the Beneficial Ownership and Economic Interest held by such Eligible Stockholder, together with its Affiliates, below the Required Interest on or prior to the date of the Election (and representing that they have no present intention of reducing, within one year following the Election, their aggregate Beneficial Ownership and Economic Interest below the greater of (A) the Required Interest and (B) 75% of their aggregate Beneficial and Economic Interest as of the Advance Notice Date);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comply with the provisions of the Corporation’s Certificate of Incorporation and Bylaws and all laws and regulations relating to the accompanying statement submitted by the Eligible Stockholder and any solicitation or communications with stockholders of the Corporation in connection with such nomination;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indemnify the Corporation and its agents and representatives in respect of any and all liabilities that may arise out of the accompanying statement submitted by the Eligible Stockholder or any solicitation or communications with stockholders of the Corporation by such Eligible Stockholder, its Affiliates or their respective agents or representatives in connection with such nomination, including as a result of any violation of law or regulation by such Eligible Stockholder, its Affiliates or their respective agents or representatives in connection therewith;</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not use any proxy card other than the Corporation’s proxy card in soliciting stockholders in connection with the matters to be voted on at the meeting at which the Election is held;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file all solicitation materials used by it or on its behalf with the Securities and Exchange Commission under cover of Schedule 14A promulgated under the Exchange Act;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 xml:space="preserve">for a period of one year from the date of the Election, not (A) nominate any individual to be a director of the Corporation or conduct any solicitation with respect to an election for directors of the Corporation other than with respect to the Election and in accordance with this Section, or (B) acquire or propose to acquire Beneficial Ownership of or an Economic Interest in any voting securities of the Corporation such that such Eligible Stockholder, together with its Affiliates, would have aggregate Beneficial Ownership of, and/or an Economic Interest in, more than the greater of (x) 10% of the voting power of the outstanding voting securities of the Corporation or (y) an additional 5% of the voting power of the Corporation’s outstanding voting securities in excess of the aggregate Beneficial Ownership and Economic Interest held by such Eligible Stockholder,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8</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together with its Affiliates, as of the Advance Notice Date (the “Aggregate Beneficial Ownership”); provided that the Aggregate Beneficial Ownership shall not equal or exceed the amount that would equal or exceed the beneficial ownership threshold necessary to trigger the Corporation preferred share rights plan as may be in effect during such time.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Any Eligible Stockholder nominating an individual for director in accordance with this Section shall also deliver to the Corporation no later than the Advance Notice Date a signed undertaking of its nominee agreeing that he or she will tender his or her resignation from the Board of Directors if:</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of the information provided to the Corporation by the Eligible Stockholder or the nominee pursuant to this Bylaw is determined to be inaccurate in any material respect;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Eligible Stockholder or any of its Affiliates shall breach their obligations under the undertakings described in subsection (d) above in any material respect.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0"/>
        </w:rPr>
      </w:pPr>
      <w:r>
        <w:rPr>
          <w:rFonts w:ascii="Times New Roman" w:hAnsi="Times New Roman"/>
          <w:color w:val="000000"/>
          <w:sz w:val="20"/>
        </w:rPr>
        <w:t>The Nominating and Governance Committee shall consider a nomination pursuant to this Section 14, and shall determine if the Access Nominee is Independent and may, in its discretion, make a recommendation to the Board of Directors as to whether the Access Nominee should be nominated by the Board of Directors for election at the Annual Meeting of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Board of Directors nominates an Access Nominee as part of the Board’s slate of nominees, the Eligible Stockholder’s nomination will be deemed withdrawn and the former Access Nominee shall be presented to the stockholders in the same manner as any other nominee of the Board of Directors. If the Board of Directors does not so nominate the Access Nominee, access to the Corporation’s proxy materials shall be provided in accordance with the terms and subject to the conditions of this Section.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or a committee thereof may adopt such rules or guidelines for applying the provisions of this Section as it determines are appropriate. These may include timing and other such adjustments as may be appropriate in the event an Access Nominee becomes unavailable or unwilling to serve or becomes ineligible.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 xml:space="preserve">This Section shall provide the exclusive method for stockholders to include nominees for director in the Corporation’s proxy statement.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IV</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Directors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Number, Term, Qualifications and Vacancies</w:t>
      </w:r>
      <w:r>
        <w:rPr>
          <w:rFonts w:ascii="Times New Roman" w:hAnsi="Times New Roman"/>
          <w:color w:val="000000"/>
          <w:sz w:val="20"/>
        </w:rPr>
        <w:t>. The property, business and affairs of the Corporation shall be managed by or under the direction of its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directors that shall constitute the whole Board of Directors may be fixed from time to time pursuant to a resolution adopted by a vote of two-thirds of the entire Board of Directors and may consist of no fewer than three nor more than fourteen members. The directors shall be divided into three classes. Each class shall consist, as nearly as possible, of one-third of the whole number of the Board of Directors. At each annual election of the successors to the class of directors whose terms have expired in that year shall be elected to hold office for a term of three years. Each director elected shall hold office until his successor is elected and qualified or until his earlier resignation or removal. Directors and officers need not be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Vacancies and newly created directorships resulting from any increase in the authorized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directors shall have been chosen and until his successor is duly elected and qualified or until his earlier resignation or removal.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Offices and Books</w:t>
      </w:r>
      <w:r>
        <w:rPr>
          <w:rFonts w:ascii="Times New Roman" w:hAnsi="Times New Roman"/>
          <w:color w:val="000000"/>
          <w:sz w:val="20"/>
        </w:rPr>
        <w:t>. The directors may have one or more offices, and keep the books of the Corporation at the offices of the Corporation in Oklahoma City, Oklahoma, or at such other places as they may from time to time determine.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Resignation</w:t>
      </w:r>
      <w:r>
        <w:rPr>
          <w:rFonts w:ascii="Times New Roman" w:hAnsi="Times New Roman"/>
          <w:color w:val="000000"/>
          <w:sz w:val="20"/>
        </w:rPr>
        <w:t>. Any director of the Corporation may resign at any time by giving written notice of such resignation to the Board of Directors, the Chairman of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 When one or more directors shall resign from the Board of Directors, such vacancy shall be filled only by a majority of the directors then in office, although less than a quorum, or by the sole remaining director. Each director so chosen shall hold office until the next election of the class for which such director shall have been chosen and until his successor is duly elected and qualified or until his earlier resignation or removal.</w:t>
      </w:r>
    </w:p>
    <w:p>
      <w:pPr>
        <w:pStyle w:val="TextBody"/>
        <w:bidi w:val="0"/>
        <w:jc w:val="left"/>
        <w:rPr/>
      </w:pPr>
      <w:r>
        <w:rPr/>
        <w:t> </w:t>
      </w:r>
    </w:p>
    <w:p>
      <w:pPr>
        <w:pStyle w:val="TextBody"/>
        <w:bidi w:val="0"/>
        <w:jc w:val="both"/>
        <w:rPr>
          <w:rFonts w:ascii="Times New Roman" w:hAnsi="Times New Roman"/>
          <w:sz w:val="20"/>
        </w:rPr>
      </w:pPr>
      <w:bookmarkStart w:id="32" w:name="page21"/>
      <w:bookmarkEnd w:id="32"/>
      <w:r>
        <w:rPr>
          <w:rFonts w:ascii="Times New Roman" w:hAnsi="Times New Roman"/>
          <w:color w:val="000000"/>
          <w:sz w:val="20"/>
        </w:rPr>
        <w:t xml:space="preserve">Section 4. </w:t>
      </w:r>
      <w:r>
        <w:rPr>
          <w:rFonts w:ascii="Times New Roman" w:hAnsi="Times New Roman"/>
          <w:color w:val="000000"/>
          <w:sz w:val="20"/>
          <w:u w:val="single"/>
        </w:rPr>
        <w:t>Removal</w:t>
      </w:r>
      <w:r>
        <w:rPr>
          <w:rFonts w:ascii="Times New Roman" w:hAnsi="Times New Roman"/>
          <w:color w:val="000000"/>
          <w:sz w:val="20"/>
        </w:rPr>
        <w:t xml:space="preserve">. Any one or more directors may be removed only for cause by the vote or written consent of the holders of a majority of the issued and outstanding shares of stock of the Corporation entitled to vote for the election of all directors.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9</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Regular and Annual Meetings; Notice</w:t>
      </w:r>
      <w:r>
        <w:rPr>
          <w:rFonts w:ascii="Times New Roman" w:hAnsi="Times New Roman"/>
          <w:color w:val="000000"/>
          <w:sz w:val="20"/>
        </w:rPr>
        <w:t>. Regular meetings of the Board of Directors shall be held at such time and at such place, within or without the State of Delaware, as the Board of Directors may from time to time prescribe. No notice need be given of any regular meeting and a notice, if given, need not specify the purposes thereof. A meeting of the Board of Directors may be held without notice immediately after an annual meeting of stockholders at the same place as that at which such annual meeting of stockholders was held.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Special Meetings; Notice</w:t>
      </w:r>
      <w:r>
        <w:rPr>
          <w:rFonts w:ascii="Times New Roman" w:hAnsi="Times New Roman"/>
          <w:color w:val="000000"/>
          <w:sz w:val="20"/>
        </w:rPr>
        <w:t>. A special meeting of the Board of Directors may be called at any time by the Chairman or a majority of the directors then in office. Any such meeting shall be held at such time and at such place, within or without the State of Delaware, as shall be determined by the body or person calling such meeting. Notice of such meeting stating the time and place thereof shall be given (a) by deposit of the notice in the United States mail, first class, postage prepaid, at least three days before the day fixed for the meeting addressed to each director at his address as it appears on the Corporation’s records or at such other address as the director may have furnished the Corporation for that purpose, or (b) by delivery of the notice in person or by telephone, email or other means of electronic transmission, in each case at least two days before the time fixed for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Presiding Officer and Secretary at Meetings</w:t>
      </w:r>
      <w:r>
        <w:rPr>
          <w:rFonts w:ascii="Times New Roman" w:hAnsi="Times New Roman"/>
          <w:color w:val="000000"/>
          <w:sz w:val="20"/>
        </w:rPr>
        <w:t>. Each meeting of the Board of Directors shall be presided over by the Chairman of the Board of Directors or in his absence by the President or if neither is present by such member of the Board of Directors as shall be chosen by the meeting. The Secretary, or in his absence an Assistant Secretary, shall act as secretary of the meeting, or if no such officer is present, a secretary of the meeting shall be designated by the person presiding over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8. </w:t>
      </w:r>
      <w:r>
        <w:rPr>
          <w:rFonts w:ascii="Times New Roman" w:hAnsi="Times New Roman"/>
          <w:color w:val="000000"/>
          <w:sz w:val="20"/>
          <w:u w:val="single"/>
        </w:rPr>
        <w:t>Quorum</w:t>
      </w:r>
      <w:r>
        <w:rPr>
          <w:rFonts w:ascii="Times New Roman" w:hAnsi="Times New Roman"/>
          <w:color w:val="000000"/>
          <w:sz w:val="20"/>
        </w:rPr>
        <w:t>. A majority of the whole Board of Directors shall constitute a quorum for the transaction of business, but in the absence of a quorum, a majority of those present (or if only one be present, then that one) may adjourn the meeting, without notice other than announcement at the meeting, until such time as a quorum is present. Except as otherwise required by the Certificate of Incorporation or these Bylaws, the vote of the majority of the directors present at a meeting at which a quorum is present shall be the act of the Board of Directors.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Meeting by Telephone</w:t>
      </w:r>
      <w:r>
        <w:rPr>
          <w:rFonts w:ascii="Times New Roman" w:hAnsi="Times New Roman"/>
          <w:color w:val="000000"/>
          <w:sz w:val="20"/>
        </w:rPr>
        <w:t>. Members of the Board of Directors or of any committee thereof may participate in meetings of the Board of Directors or of such committee by means of conference telephone or similar communications equipment by means of which all persons participating in the meeting can hear each other, and such participation shall constitute presence in person at such meeting.</w:t>
      </w:r>
    </w:p>
    <w:p>
      <w:pPr>
        <w:pStyle w:val="TextBody"/>
        <w:bidi w:val="0"/>
        <w:jc w:val="both"/>
        <w:rPr/>
      </w:pPr>
      <w:r>
        <w:rPr/>
        <w:t> </w:t>
      </w:r>
    </w:p>
    <w:p>
      <w:pPr>
        <w:pStyle w:val="TextBody"/>
        <w:bidi w:val="0"/>
        <w:jc w:val="both"/>
        <w:rPr>
          <w:rFonts w:ascii="Times New Roman" w:hAnsi="Times New Roman"/>
          <w:sz w:val="20"/>
        </w:rPr>
      </w:pPr>
      <w:bookmarkStart w:id="33" w:name="page22"/>
      <w:bookmarkEnd w:id="33"/>
      <w:r>
        <w:rPr>
          <w:rFonts w:ascii="Times New Roman" w:hAnsi="Times New Roman"/>
          <w:color w:val="000000"/>
          <w:sz w:val="20"/>
        </w:rPr>
        <w:t xml:space="preserve">Section 10. </w:t>
      </w:r>
      <w:r>
        <w:rPr>
          <w:rFonts w:ascii="Times New Roman" w:hAnsi="Times New Roman"/>
          <w:color w:val="000000"/>
          <w:sz w:val="20"/>
          <w:u w:val="single"/>
        </w:rPr>
        <w:t>Action Without Meeting</w:t>
      </w:r>
      <w:r>
        <w:rPr>
          <w:rFonts w:ascii="Times New Roman" w:hAnsi="Times New Roman"/>
          <w:color w:val="000000"/>
          <w:sz w:val="20"/>
        </w:rPr>
        <w:t>. Unless otherwise restricted by the Certificate of Incorporation, any action required or permitted to be taken at any meeting of the Board of Directors or of any committee thereof may be taken without a meeting if all members of the Board of Directors or of such committee, as the case may be, consent thereto in writing and the writing or writings are filed with the minutes of proceedings of the Board of Directors or of such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Executive and Other Committees</w:t>
      </w:r>
      <w:r>
        <w:rPr>
          <w:rFonts w:ascii="Times New Roman" w:hAnsi="Times New Roman"/>
          <w:color w:val="000000"/>
          <w:sz w:val="20"/>
        </w:rPr>
        <w:t>. The Board of Directors may, by resolution passed by a majority of the whole Board of Directors, designate an Executive Committee and one or more other committees, each such committee to consist of two or more directors as the Board of Directors may from time to time determine. Any such committee, to the extent provided in such resolution or resolutions,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and unless the resolution shall expressly so provide, no such committee shall have the power or authority to declare a dividend or to authorize the issuance of stock.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Each such committee other than the Executive Committee shall have such name as may be determined from time to time by the Board of Directors. Any committee of directors may be discharged or discontinued at any time, with or without cause, by a majority vote of the Board of Directors at any meeting at which there is a quorum present, likewise, any member of any committee of directors may be removed from committee membership, with or without cause, by a majority vote of the Board of Directors at any meeting at which there is a quorum present.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Compensation</w:t>
      </w:r>
      <w:r>
        <w:rPr>
          <w:rFonts w:ascii="Times New Roman" w:hAnsi="Times New Roman"/>
          <w:color w:val="000000"/>
          <w:sz w:val="20"/>
        </w:rPr>
        <w:t>. Each director shall be entitled to reimbursement of his reasonable expenses incurred in attending meetings or otherwise in connection with his attention to the affairs of the Corporation. Each director who is not a salaried officer of the Corporation or of a subsidiary of the Corporation shall, as such director and as a member of any committee, be entitled to receive such amounts as may be fixed from time to time by the Board of Directors, in the form either of fees for attendance at meetings of the Board and of committees thereof, or of payment at the rate of a fixed sum per month, or both.</w:t>
      </w:r>
    </w:p>
    <w:p>
      <w:pPr>
        <w:pStyle w:val="TextBody"/>
        <w:bidi w:val="0"/>
        <w:jc w:val="both"/>
        <w:rPr/>
      </w:pPr>
      <w:r>
        <w:rPr/>
        <w:t> </w:t>
      </w:r>
    </w:p>
    <w:p>
      <w:pPr>
        <w:pStyle w:val="TextBody"/>
        <w:bidi w:val="0"/>
        <w:jc w:val="both"/>
        <w:rPr>
          <w:rFonts w:ascii="Times New Roman" w:hAnsi="Times New Roman"/>
          <w:sz w:val="20"/>
        </w:rPr>
      </w:pPr>
      <w:bookmarkStart w:id="34" w:name="page23"/>
      <w:bookmarkEnd w:id="34"/>
      <w:r>
        <w:rPr>
          <w:rFonts w:ascii="Times New Roman" w:hAnsi="Times New Roman"/>
          <w:color w:val="000000"/>
          <w:sz w:val="20"/>
        </w:rPr>
        <w:t xml:space="preserve">Section 13. </w:t>
      </w:r>
      <w:r>
        <w:rPr>
          <w:rFonts w:ascii="Times New Roman" w:hAnsi="Times New Roman"/>
          <w:color w:val="000000"/>
          <w:sz w:val="20"/>
          <w:u w:val="single"/>
        </w:rPr>
        <w:t>Additional Powers</w:t>
      </w:r>
      <w:r>
        <w:rPr>
          <w:rFonts w:ascii="Times New Roman" w:hAnsi="Times New Roman"/>
          <w:color w:val="000000"/>
          <w:sz w:val="20"/>
        </w:rPr>
        <w:t xml:space="preserve">. In addition to the powers and authorities by these Bylaws expressly conferred upon it, the Board of Directors may exercise all such powers of the Corporation and do all such lawful acts and things as are not by statute or by the Certificate of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10</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Incorporation, as from time to time amended, or by these Bylaws, as from time to time amended, directed or required to be exercised or done by the stockholders.</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V</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Officers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Designation</w:t>
      </w:r>
      <w:r>
        <w:rPr>
          <w:rFonts w:ascii="Times New Roman" w:hAnsi="Times New Roman"/>
          <w:color w:val="000000"/>
          <w:sz w:val="20"/>
        </w:rPr>
        <w:t>. The Corporation shall have such officers with such titles and duties as set forth in these Bylaws or in any one or more resolutions of the Board of Directors adopted on or after the effective date of these Bylaws which are not inconsistent with these Bylaws and as may be necessary to enable the Corporation to sign instruments and stock certificates as required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Election; Qualification</w:t>
      </w:r>
      <w:r>
        <w:rPr>
          <w:rFonts w:ascii="Times New Roman" w:hAnsi="Times New Roman"/>
          <w:color w:val="000000"/>
          <w:sz w:val="20"/>
        </w:rPr>
        <w:t>. The officers of the Corporation shall be a Chief Executive Officer, a President, one or more Vice Presidents, a Secretary and a Treasurer, each of whom shall be elected by the Board of Directors. The Board of Directors may also elect a Chairman of the Board of Directors, a Vice Chairman of the Board of Directors, a Controller, one or more Assistant Secretaries, one or more Assistant Treasurers, one or more Assistant Controllers, and such other officers as it may from time to time determine. The Chairman of the Board of Directors and Vice Chairman of the Board, if any, shall be elected from among the directors. Two or more offices may be held by the same person.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Term of Office</w:t>
      </w:r>
      <w:r>
        <w:rPr>
          <w:rFonts w:ascii="Times New Roman" w:hAnsi="Times New Roman"/>
          <w:color w:val="000000"/>
          <w:sz w:val="20"/>
        </w:rPr>
        <w:t>. Each officer shall hold office from the time of his election and qualification to the time at which his successor is elected and qualified, unless sooner he shall die or resign or shall be removed pursuant to Article V, Section 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Resignation</w:t>
      </w:r>
      <w:r>
        <w:rPr>
          <w:rFonts w:ascii="Times New Roman" w:hAnsi="Times New Roman"/>
          <w:color w:val="000000"/>
          <w:sz w:val="20"/>
        </w:rPr>
        <w:t>. Any officer of the Corporation may resign at any time by giving written notice of such resignation to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Removal</w:t>
      </w:r>
      <w:r>
        <w:rPr>
          <w:rFonts w:ascii="Times New Roman" w:hAnsi="Times New Roman"/>
          <w:color w:val="000000"/>
          <w:sz w:val="20"/>
        </w:rPr>
        <w:t>. Any officer may be removed at any time, with or without cause, by the vote of a majority of the whole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olor w:val="000000"/>
          <w:sz w:val="20"/>
          <w:u w:val="single"/>
        </w:rPr>
        <w:t>Vacancies</w:t>
      </w:r>
      <w:r>
        <w:rPr>
          <w:rFonts w:ascii="Times New Roman" w:hAnsi="Times New Roman"/>
          <w:color w:val="000000"/>
          <w:sz w:val="20"/>
        </w:rPr>
        <w:t>. Any vacancy however caused in any office of the Corporation may be filled by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olor w:val="000000"/>
          <w:sz w:val="20"/>
          <w:u w:val="single"/>
        </w:rPr>
        <w:t>Compensation</w:t>
      </w:r>
      <w:r>
        <w:rPr>
          <w:rFonts w:ascii="Times New Roman" w:hAnsi="Times New Roman"/>
          <w:color w:val="000000"/>
          <w:sz w:val="20"/>
        </w:rPr>
        <w:t>. The compensation of each officer shall be such as the Board of Directors may from time to time determine.</w:t>
      </w:r>
    </w:p>
    <w:p>
      <w:pPr>
        <w:pStyle w:val="TextBody"/>
        <w:bidi w:val="0"/>
        <w:jc w:val="both"/>
        <w:rPr/>
      </w:pPr>
      <w:r>
        <w:rPr/>
        <w:t> </w:t>
      </w:r>
    </w:p>
    <w:p>
      <w:pPr>
        <w:pStyle w:val="TextBody"/>
        <w:bidi w:val="0"/>
        <w:jc w:val="both"/>
        <w:rPr>
          <w:rFonts w:ascii="Times New Roman" w:hAnsi="Times New Roman"/>
          <w:sz w:val="20"/>
        </w:rPr>
      </w:pPr>
      <w:bookmarkStart w:id="35" w:name="page24"/>
      <w:bookmarkEnd w:id="35"/>
      <w:r>
        <w:rPr>
          <w:rFonts w:ascii="Times New Roman" w:hAnsi="Times New Roman"/>
          <w:color w:val="000000"/>
          <w:sz w:val="20"/>
        </w:rPr>
        <w:t xml:space="preserve">Section 8. </w:t>
      </w:r>
      <w:r>
        <w:rPr>
          <w:rFonts w:ascii="Times New Roman" w:hAnsi="Times New Roman"/>
          <w:color w:val="000000"/>
          <w:sz w:val="20"/>
          <w:u w:val="single"/>
        </w:rPr>
        <w:t>Chairman of the Board of Directors and Vice Chairman of the Board of Directors</w:t>
      </w:r>
      <w:r>
        <w:rPr>
          <w:rFonts w:ascii="Times New Roman" w:hAnsi="Times New Roman"/>
          <w:color w:val="000000"/>
          <w:sz w:val="20"/>
        </w:rPr>
        <w:t>. The Chairman of the Board of Directors and, in his absence or inability to serve, the Vice Chairman of the Board of Directors, if such offices be occupied, shall serve as Chairman of the meetings of the Board of Directors and shall further advise and consult with the Chief Executive Officer and the President concerning the business and affairs of the Corporation and shall also have such powers and duties as the Bylaws or the Board of Directors may from time to time prescribe.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olor w:val="000000"/>
          <w:sz w:val="20"/>
          <w:u w:val="single"/>
        </w:rPr>
        <w:t>Chief Executive Officer</w:t>
      </w:r>
      <w:r>
        <w:rPr>
          <w:rFonts w:ascii="Times New Roman" w:hAnsi="Times New Roman"/>
          <w:color w:val="000000"/>
          <w:sz w:val="20"/>
        </w:rPr>
        <w:t>. Chief Executive Officer of the Corporation shall have general charge of the business and affairs of the Corporation and shall perform all such other duties as are incident to the chief executive officer, subject, however, to the right of the Board of Directors to confer specified powers on the Chief Executive Officer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10. </w:t>
      </w:r>
      <w:r>
        <w:rPr>
          <w:rFonts w:ascii="Times New Roman" w:hAnsi="Times New Roman"/>
          <w:color w:val="000000"/>
          <w:sz w:val="20"/>
          <w:u w:val="single"/>
        </w:rPr>
        <w:t>President</w:t>
      </w:r>
      <w:r>
        <w:rPr>
          <w:rFonts w:ascii="Times New Roman" w:hAnsi="Times New Roman"/>
          <w:color w:val="000000"/>
          <w:sz w:val="20"/>
        </w:rPr>
        <w:t>. In the absence of the Chief Executive Officer or his inability to same, the President shall serve as the Chief Executive Officer of the Corporation and shall have general charge of the business and affairs of the Corporation and shall perform all such other duties as are incident to the Chief Executive Officer, subject however to the right of the Chief Executive Officer or the Board of Directors to confer specified duties and/or powers on the President of the Corporation from time to time.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olor w:val="000000"/>
          <w:sz w:val="20"/>
          <w:u w:val="single"/>
        </w:rPr>
        <w:t>Vice President</w:t>
      </w:r>
      <w:r>
        <w:rPr>
          <w:rFonts w:ascii="Times New Roman" w:hAnsi="Times New Roman"/>
          <w:color w:val="000000"/>
          <w:sz w:val="20"/>
        </w:rPr>
        <w:t>. Each Vice President shall have such powers and duties as generally pertain to the office of Vice President and as the Board of Directors or the President may from time to time prescribe. During the absence of the President or his inability to act, the Vice President, or if there shall be more than one Vice President, then that one designated by the Board of Directors, shall exercise the powers and shall perform the duties of the President, subject to the direction of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12. </w:t>
      </w:r>
      <w:r>
        <w:rPr>
          <w:rFonts w:ascii="Times New Roman" w:hAnsi="Times New Roman"/>
          <w:color w:val="000000"/>
          <w:sz w:val="20"/>
          <w:u w:val="single"/>
        </w:rPr>
        <w:t>Secretary</w:t>
      </w:r>
      <w:r>
        <w:rPr>
          <w:rFonts w:ascii="Times New Roman" w:hAnsi="Times New Roman"/>
          <w:color w:val="000000"/>
          <w:sz w:val="20"/>
        </w:rPr>
        <w:t>. The Secretary shall keep the minutes of all meetings of stockholders and of the Board of Directors. He shall be custodian of the corporate seal and shall affix it or cause it to be affixed to such instruments as he deems necessary or appropriate and attest the same and shall exercise the powers and shall perform the duties incident to the office of Secretary, and those that may otherwise from time to time be assigned to him subject to the direction of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13. </w:t>
      </w:r>
      <w:r>
        <w:rPr>
          <w:rFonts w:ascii="Times New Roman" w:hAnsi="Times New Roman"/>
          <w:color w:val="000000"/>
          <w:sz w:val="20"/>
          <w:u w:val="single"/>
        </w:rPr>
        <w:t>Treasurer</w:t>
      </w:r>
      <w:r>
        <w:rPr>
          <w:rFonts w:ascii="Times New Roman" w:hAnsi="Times New Roman"/>
          <w:color w:val="000000"/>
          <w:sz w:val="20"/>
        </w:rPr>
        <w:t>. The Treasurer shall be the chief accounting officer of the Corporation (unless the Board of Directors appoints or has appointed another person to serve in the position of chief accounting officer) and shall have care of all funds and securities of the Corporation and shall exercise the powers and shall perform the duties incident to the office of Treasurer, subject to the direction of the Board of Directors.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11</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14. </w:t>
      </w:r>
      <w:r>
        <w:rPr>
          <w:rFonts w:ascii="Times New Roman" w:hAnsi="Times New Roman"/>
          <w:color w:val="000000"/>
          <w:sz w:val="20"/>
          <w:u w:val="single"/>
        </w:rPr>
        <w:t>Other Officers</w:t>
      </w:r>
      <w:r>
        <w:rPr>
          <w:rFonts w:ascii="Times New Roman" w:hAnsi="Times New Roman"/>
          <w:color w:val="000000"/>
          <w:sz w:val="20"/>
        </w:rPr>
        <w:t>. Each other officer of the Corporation shall exercise the powers and shall perform the duties incident to his office, subject to the direction of the Board of Directors.</w:t>
      </w:r>
    </w:p>
    <w:p>
      <w:pPr>
        <w:pStyle w:val="TextBody"/>
        <w:bidi w:val="0"/>
        <w:jc w:val="left"/>
        <w:rPr/>
      </w:pPr>
      <w:r>
        <w:rPr/>
        <w:t> </w:t>
      </w:r>
    </w:p>
    <w:p>
      <w:pPr>
        <w:pStyle w:val="TextBody"/>
        <w:bidi w:val="0"/>
        <w:jc w:val="left"/>
        <w:rPr>
          <w:rFonts w:ascii="Times New Roman" w:hAnsi="Times New Roman"/>
          <w:color w:val="000000"/>
          <w:sz w:val="20"/>
          <w:u w:val="single"/>
        </w:rPr>
      </w:pPr>
      <w:bookmarkStart w:id="36" w:name="page25"/>
      <w:bookmarkEnd w:id="36"/>
      <w:r>
        <w:rPr>
          <w:rFonts w:ascii="Times New Roman" w:hAnsi="Times New Roman"/>
          <w:color w:val="000000"/>
          <w:sz w:val="20"/>
          <w:u w:val="single"/>
        </w:rPr>
        <w:t>ARTICLE VI</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Stock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Stock Certificates</w:t>
      </w:r>
      <w:r>
        <w:rPr>
          <w:rFonts w:ascii="Times New Roman" w:hAnsi="Times New Roman"/>
          <w:color w:val="000000"/>
          <w:sz w:val="20"/>
        </w:rPr>
        <w:t>. The interest of each holder of stock of the Corporation shall be (a) evidenced by a certificate or certificates in such form as the Board of Directors may from time to time prescribe or (b) represented by uncertificated shares as issued by the Corporation. The issuance of shares in uncertificated form shall not affect shares already represented by a certificate until the certificate is surrendered to the Corporation. In the case of certificated shares, each certificate shall be signed by or, in the name of the Corporation by the Chairman of the Board of Directors, or the President or a Vice President, and by the Treasurer or an Assistant Treasurer, or the Secretary or an Assistant Secretary of the Corporation. If such certificate is countersigned (a) by a transfer agent other than the Corporation or its employee, or (b) by a registrar other than the Corporation or its employee, any other signature on the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Transfer of Stock</w:t>
      </w:r>
      <w:r>
        <w:rPr>
          <w:rFonts w:ascii="Times New Roman" w:hAnsi="Times New Roman"/>
          <w:color w:val="000000"/>
          <w:sz w:val="20"/>
        </w:rPr>
        <w:t>. Shares of stock shall be transferable on the books of the Corporation pursuant to applicable law and such rules and regulations as the Board of Directors shall from time to time prescribe on or after the effective date of these Bylaws.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olor w:val="000000"/>
          <w:sz w:val="20"/>
          <w:u w:val="single"/>
        </w:rPr>
        <w:t>Holders of Record</w:t>
      </w:r>
      <w:r>
        <w:rPr>
          <w:rFonts w:ascii="Times New Roman" w:hAnsi="Times New Roman"/>
          <w:color w:val="000000"/>
          <w:sz w:val="20"/>
        </w:rPr>
        <w:t>. Prior to due presentment for registration or transfer or receipt of proper transfer instructions,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Lost, Stolen, Destroyed, or Mutilated Certificates</w:t>
      </w:r>
      <w:r>
        <w:rPr>
          <w:rFonts w:ascii="Times New Roman" w:hAnsi="Times New Roman"/>
          <w:color w:val="000000"/>
          <w:sz w:val="20"/>
        </w:rPr>
        <w:t>. The Corporation may issue a new certificate of stock or uncertificated shares to replace a certificate alleged to have been lost, stolen, destroyed or mutilated upon terms and conditions as the Board of Directors may from time to time prescribe, and the Board of Directors may, in its discretion, require the owner of the lost or destroyed certificate or his legal representative, to give the Corporation a bond, in such sum as it may direct, not exceeding double the value of the stock, to indemnify the Corporation against any claim that may be made against it on account of the alleged loss of any such certificate.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olor w:val="000000"/>
          <w:sz w:val="20"/>
          <w:u w:val="single"/>
        </w:rPr>
        <w:t>Transfer Agent and Registrar</w:t>
      </w:r>
      <w:r>
        <w:rPr>
          <w:rFonts w:ascii="Times New Roman" w:hAnsi="Times New Roman"/>
          <w:color w:val="000000"/>
          <w:sz w:val="20"/>
        </w:rPr>
        <w:t>. The Board of Directors may appoint one or more Transfer Agents and Registrars for the Common Stock and Preferred Stock of the Corporation. The Transfer Agent shall be in charge of the issue, transfer, and cancellation of shares of stock and shall maintain stock transfer books, which shall include a record of the stockholders, giving the names and addresses of all stockholders, and the number and class of shares held by each; prepare voting lists for meetings of stockholders; produce and keep open these lists at the meetings; and perform such other duties as may be delegated by the Board of Directors. Stockholders may give notice of changes of their addresses to the Transfer Agent. The Registrar shall be in charge of preventing the over-issue of shares, shall register all certificated or uncertificated shares of stock, and perform such other duties as may be delegated by the Board of Directors.</w:t>
      </w:r>
    </w:p>
    <w:p>
      <w:pPr>
        <w:pStyle w:val="TextBody"/>
        <w:bidi w:val="0"/>
        <w:jc w:val="left"/>
        <w:rPr/>
      </w:pPr>
      <w:r>
        <w:rPr/>
        <w:t> </w:t>
      </w:r>
    </w:p>
    <w:p>
      <w:pPr>
        <w:pStyle w:val="TextBody"/>
        <w:bidi w:val="0"/>
        <w:jc w:val="center"/>
        <w:rPr>
          <w:rFonts w:ascii="Times New Roman" w:hAnsi="Times New Roman"/>
          <w:color w:val="000000"/>
          <w:sz w:val="20"/>
          <w:u w:val="single"/>
        </w:rPr>
      </w:pPr>
      <w:bookmarkStart w:id="37" w:name="page26"/>
      <w:bookmarkEnd w:id="37"/>
      <w:r>
        <w:rPr>
          <w:rFonts w:ascii="Times New Roman" w:hAnsi="Times New Roman"/>
          <w:color w:val="000000"/>
          <w:sz w:val="20"/>
          <w:u w:val="single"/>
        </w:rPr>
        <w:t>ARTICLE VII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Checks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 All checks or demands for money and notes of the Corporation shall be signed by such officer or officers or such other person or persons as the Board of Directors may from time to time designate.</w:t>
      </w:r>
    </w:p>
    <w:p>
      <w:pPr>
        <w:pStyle w:val="TextBody"/>
        <w:bidi w:val="0"/>
        <w:jc w:val="both"/>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VIII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 The fiscal year shall begin the first day of January in each year.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IX</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Dividends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Declaration</w:t>
      </w:r>
      <w:r>
        <w:rPr>
          <w:rFonts w:ascii="Times New Roman" w:hAnsi="Times New Roman"/>
          <w:color w:val="000000"/>
          <w:sz w:val="20"/>
        </w:rPr>
        <w:t>. Dividends upon the capital stock of the Corporation, subject to the provisions of the Certificate of Incorporation, may be declared by the Board of Directors at any regular or special meeting, pursuant to law. Dividends may be paid in cash, in property, or in shares of the capital stock of the Corporation.</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12</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Reserve Fund</w:t>
      </w:r>
      <w:r>
        <w:rPr>
          <w:rFonts w:ascii="Times New Roman" w:hAnsi="Times New Roman"/>
          <w:color w:val="000000"/>
          <w:sz w:val="20"/>
        </w:rPr>
        <w:t>. The Board of Directors may set aside out of any funds of the Corporation available for dividends a reserve or reserves for any proper purposes and in such sum or sums as the directors from time to time, in their absolute discretion, believe to be proper, and the Board of Directors may abolish any such reserve.</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X</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Notice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Waiver of Notice</w:t>
      </w:r>
      <w:r>
        <w:rPr>
          <w:rFonts w:ascii="Times New Roman" w:hAnsi="Times New Roman"/>
          <w:color w:val="000000"/>
          <w:sz w:val="20"/>
        </w:rPr>
        <w:t>. Whenever notice is required by the Certificate of Incorporation, the Bylaws, or as otherwise provided by law, a written waiver thereof, signed by the person entitled to notice, shall be deemed equivalent to notice, whether before or after the time required for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Mailing of Notice</w:t>
      </w:r>
      <w:r>
        <w:rPr>
          <w:rFonts w:ascii="Times New Roman" w:hAnsi="Times New Roman"/>
          <w:color w:val="000000"/>
          <w:sz w:val="20"/>
        </w:rPr>
        <w:t>. Whenever under the provisions of these Bylaws notice is required to be given to any director, officer or shareholder and such notice is not waived as provided in Section 1 of this Article X, it shall not be construed to mean personal notice, but such notice may be given in writing, by mail, by depositing the same in the post office or letter box, in post-paid sealed wrapper, addressed to such shareholder, officer or director at such address as appears on the books of the Corporation, or, in default of other address, to such director, officer or shareholder at the General Post Office in Oklahoma City, Oklahoma, and such notice shall be deemed to be given at the time when the same shall be thus mailed.</w:t>
      </w:r>
    </w:p>
    <w:p>
      <w:pPr>
        <w:pStyle w:val="TextBody"/>
        <w:bidi w:val="0"/>
        <w:jc w:val="left"/>
        <w:rPr/>
      </w:pPr>
      <w:r>
        <w:rPr/>
        <w:t> </w:t>
      </w:r>
    </w:p>
    <w:p>
      <w:pPr>
        <w:pStyle w:val="TextBody"/>
        <w:bidi w:val="0"/>
        <w:jc w:val="center"/>
        <w:rPr>
          <w:rFonts w:ascii="Times New Roman" w:hAnsi="Times New Roman"/>
          <w:color w:val="000000"/>
          <w:sz w:val="20"/>
          <w:u w:val="single"/>
        </w:rPr>
      </w:pPr>
      <w:bookmarkStart w:id="38" w:name="page27"/>
      <w:bookmarkEnd w:id="38"/>
      <w:r>
        <w:rPr>
          <w:rFonts w:ascii="Times New Roman" w:hAnsi="Times New Roman"/>
          <w:color w:val="000000"/>
          <w:sz w:val="20"/>
          <w:u w:val="single"/>
        </w:rPr>
        <w:t>ARTICLE XI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Amendment of Bylaws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Amendment</w:t>
      </w:r>
      <w:r>
        <w:rPr>
          <w:rFonts w:ascii="Times New Roman" w:hAnsi="Times New Roman"/>
          <w:color w:val="000000"/>
          <w:sz w:val="20"/>
        </w:rPr>
        <w:t>. These Bylaws may be made, amended, altered, added to, revised or repealed only by a vote of a majority of the directors then in office or by a vote of the holders of two-thirds of the issued and outstanding shares of stock of the Corporation entitled to vote for the election of directors; provided, however, that Article IV, Section 1 of these Bylaws and this Article XI, Section 1, may be amended, altered, added to, revised or repealed only by a vote of two-thirds of the entire Board of Directors or by a vote of two-thirds of the issued and outstanding shares of stock of the Corporation entitled to vote for the election of directors.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ARTICLE XII</w:t>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Exclusive Jurisdiction for Certain Claims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olor w:val="000000"/>
          <w:sz w:val="20"/>
          <w:u w:val="single"/>
        </w:rPr>
        <w:t>Exclusive Forum</w:t>
      </w:r>
      <w:r>
        <w:rPr>
          <w:rFonts w:ascii="Times New Roman" w:hAnsi="Times New Roman"/>
          <w:color w:val="000000"/>
          <w:sz w:val="20"/>
        </w:rPr>
        <w:t>. Unless the Board of Directors or one of its committees otherwise consents in writing to the selection of an alternative forum,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shall, to the fullest extent permitted by applicable law, be the sole and exclusive forum for any (i) derivative claim brought in the right of the Corporation, (ii) claim asserting a breach of a fiduciary duty to the Corporation or the Corporation’s stockholders owed by any current or former director, officer or other employee or stockholder of the Corporation, (iii) claim against the Corporation arising pursuant to any provision of the General Corporation Law of the State of Delaware, the Certificate of Incorporation or these Bylaws, (iv) claim to interpret, apply, enforce or determine the validity of these Bylaws, (v) claim against the Corporation governed by the internal affairs doctrine, or (vi) other claim, not subject to exclusive federal jurisdiction and not subject to Section 4 below, brought in any action asserting one or more of the claims specified in clauses (i) through (v) herein above (each a “Covered Claim”); provided, however, that the provisions of this Article XII, Section 1 will not apply to claims brought to enforce any liability or duty created by the Exchange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olor w:val="000000"/>
          <w:sz w:val="20"/>
          <w:u w:val="single"/>
        </w:rPr>
        <w:t>Personal Jurisdiction</w:t>
      </w:r>
      <w:r>
        <w:rPr>
          <w:rFonts w:ascii="Times New Roman" w:hAnsi="Times New Roman"/>
          <w:color w:val="000000"/>
          <w:sz w:val="20"/>
        </w:rPr>
        <w:t>. If any person or entity (a “Claiming Party”) files an action asserting a Covered Claim in a court other than one determined in accordance with Section 1 above (each a “Foreign Action”) without the prior approval of the Board of Directors or one of its committees, such Claiming Party shall be deemed to have consented to (i) the personal jurisdiction of the court determined in accordance with Section 1 in connection with any such action brought in any such court to enforce Section 1 (an “Enforcement Action”) and (ii) having service of process made upon such Claiming Party in any such Enforcement Action by service upon such Claiming Party’s counsel in the Foreign Action as agent for such Claiming Party.</w:t>
      </w:r>
    </w:p>
    <w:p>
      <w:pPr>
        <w:pStyle w:val="TextBody"/>
        <w:bidi w:val="0"/>
        <w:jc w:val="both"/>
        <w:rPr/>
      </w:pPr>
      <w:r>
        <w:rPr/>
        <w:t> </w:t>
      </w:r>
    </w:p>
    <w:p>
      <w:pPr>
        <w:pStyle w:val="TextBody"/>
        <w:bidi w:val="0"/>
        <w:jc w:val="both"/>
        <w:rPr>
          <w:rFonts w:ascii="Times New Roman" w:hAnsi="Times New Roman"/>
          <w:sz w:val="20"/>
        </w:rPr>
      </w:pPr>
      <w:bookmarkStart w:id="39" w:name="page28"/>
      <w:bookmarkEnd w:id="39"/>
      <w:r>
        <w:rPr>
          <w:rFonts w:ascii="Times New Roman" w:hAnsi="Times New Roman"/>
          <w:color w:val="000000"/>
          <w:sz w:val="20"/>
        </w:rPr>
        <w:t xml:space="preserve">Section 3. </w:t>
      </w:r>
      <w:r>
        <w:rPr>
          <w:rFonts w:ascii="Times New Roman" w:hAnsi="Times New Roman"/>
          <w:color w:val="000000"/>
          <w:sz w:val="20"/>
          <w:u w:val="single"/>
        </w:rPr>
        <w:t>Notice and Consent</w:t>
      </w:r>
      <w:r>
        <w:rPr>
          <w:rFonts w:ascii="Times New Roman" w:hAnsi="Times New Roman"/>
          <w:color w:val="000000"/>
          <w:sz w:val="20"/>
        </w:rPr>
        <w:t>. Any person or entity purchasing or otherwise acquiring any interest in the shares of capital stock of the Corporation shall be deemed to have notice of and consented to the provisions of this Article XII and waived any argument relating to the inconvenience of the forums referenced above in connection with any Covered Claim.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olor w:val="000000"/>
          <w:sz w:val="20"/>
          <w:u w:val="single"/>
        </w:rPr>
        <w:t>Federal Forum</w:t>
      </w:r>
      <w:r>
        <w:rPr>
          <w:rFonts w:ascii="Times New Roman" w:hAnsi="Times New Roman"/>
          <w:color w:val="000000"/>
          <w:sz w:val="20"/>
        </w:rPr>
        <w:t xml:space="preserve">. Unless the Corporation consents in writing to the selection of an alternative forum, the federal district courts of the United States shall be the exclusive forum for the resolution of any complaint asserting a cause of action arising under the Securities Act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13</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bookmarkStart w:id="40" w:name="page29"/>
      <w:bookmarkEnd w:id="40"/>
      <w:r>
        <w:rPr>
          <w:rFonts w:ascii="Times New Roman" w:hAnsi="Times New Roman"/>
          <w:color w:val="000000"/>
          <w:sz w:val="20"/>
        </w:rPr>
        <w:t>of 1933, as amended. Any person or entity purchasing or otherwise acquiring any interest in any security of the Corporation shall be deemed to have notice of and consented to this provision.</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14</w:t>
      </w:r>
      <w:r>
        <w:rPr>
          <w:rFonts w:ascii="Times New Roman" w:hAnsi="Times New Roman"/>
          <w:color w:val="000000"/>
          <w:sz w:val="20"/>
        </w:rPr>
        <w:t xml:space="preserve"> of </w:t>
      </w:r>
      <w:r>
        <w:rPr>
          <w:rFonts w:ascii="Times New Roman" w:hAnsi="Times New Roman"/>
          <w:b/>
          <w:color w:val="000000"/>
          <w:sz w:val="20"/>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1" w:name="lxu-ex10_3.htm"/>
      <w:bookmarkStart w:id="42" w:name="kslxuex10_3"/>
      <w:bookmarkEnd w:id="41"/>
      <w:bookmarkEnd w:id="42"/>
      <w:r>
        <w:rPr>
          <w:rFonts w:ascii="Times New Roman" w:hAnsi="Times New Roman"/>
          <w:color w:val="000000"/>
          <w:sz w:val="24"/>
        </w:rPr>
        <w:t>Exhibit 10.3</w:t>
      </w:r>
      <w:r>
        <w:br w:type="page"/>
      </w:r>
    </w:p>
    <w:p>
      <w:pPr>
        <w:pStyle w:val="TextBody"/>
        <w:bidi w:val="0"/>
        <w:jc w:val="center"/>
        <w:rPr>
          <w:rFonts w:ascii="Times New Roman" w:hAnsi="Times New Roman"/>
          <w:b/>
          <w:i/>
          <w:color w:val="000000"/>
          <w:sz w:val="22"/>
        </w:rPr>
      </w:pPr>
      <w:r>
        <w:rPr>
          <w:rFonts w:ascii="Times New Roman" w:hAnsi="Times New Roman"/>
          <w:b/>
          <w:i/>
          <w:color w:val="000000"/>
          <w:sz w:val="22"/>
        </w:rPr>
        <w:t>Side Letter</w:t>
      </w:r>
    </w:p>
    <w:p>
      <w:pPr>
        <w:pStyle w:val="TextBody"/>
        <w:bidi w:val="0"/>
        <w:jc w:val="center"/>
        <w:rPr/>
      </w:pPr>
      <w:r>
        <w:rPr/>
        <w:t> </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LSB Industries, Inc.</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February 10, 2026</w:t>
      </w:r>
    </w:p>
    <w:p>
      <w:pPr>
        <w:pStyle w:val="TextBody"/>
        <w:bidi w:val="0"/>
        <w:jc w:val="both"/>
        <w:rPr>
          <w:rFonts w:ascii="Times New Roman" w:hAnsi="Times New Roman"/>
          <w:color w:val="000000"/>
          <w:sz w:val="24"/>
        </w:rPr>
      </w:pPr>
      <w:r>
        <w:rPr>
          <w:rFonts w:ascii="Times New Roman" w:hAnsi="Times New Roman"/>
          <w:color w:val="000000"/>
          <w:sz w:val="24"/>
        </w:rPr>
        <w:t>Mark T. Behrman</w:t>
      </w:r>
    </w:p>
    <w:p>
      <w:pPr>
        <w:pStyle w:val="TextBody"/>
        <w:bidi w:val="0"/>
        <w:jc w:val="both"/>
        <w:rPr>
          <w:rFonts w:ascii="Times New Roman" w:hAnsi="Times New Roman"/>
          <w:sz w:val="20"/>
        </w:rPr>
      </w:pPr>
      <w:r>
        <w:rPr>
          <w:rFonts w:ascii="Times New Roman" w:hAnsi="Times New Roman"/>
          <w:color w:val="000000"/>
          <w:sz w:val="24"/>
        </w:rPr>
        <w:t>3503 NW 63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Street, Suite 500</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Oklahoma City, OK 73116-2238</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Re: Amendment to Outstanding Equity Awards – Qualifying Retirement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Mark:</w:t>
      </w:r>
    </w:p>
    <w:p>
      <w:pPr>
        <w:pStyle w:val="TextBody"/>
        <w:bidi w:val="0"/>
        <w:spacing w:before="0" w:after="120"/>
        <w:jc w:val="both"/>
        <w:rPr>
          <w:rFonts w:ascii="Times New Roman" w:hAnsi="Times New Roman"/>
          <w:sz w:val="20"/>
        </w:rPr>
      </w:pPr>
      <w:r>
        <w:rPr>
          <w:rFonts w:ascii="Times New Roman" w:hAnsi="Times New Roman"/>
          <w:color w:val="000000"/>
          <w:sz w:val="24"/>
        </w:rPr>
        <w:t>This Side Letter Agreement (this “</w:t>
      </w:r>
      <w:r>
        <w:rPr>
          <w:rFonts w:ascii="Times New Roman" w:hAnsi="Times New Roman"/>
          <w:b/>
          <w:i/>
          <w:color w:val="000000"/>
          <w:sz w:val="24"/>
        </w:rPr>
        <w:t>Side Letter</w:t>
      </w:r>
      <w:r>
        <w:rPr>
          <w:rFonts w:ascii="Times New Roman" w:hAnsi="Times New Roman"/>
          <w:color w:val="000000"/>
          <w:sz w:val="20"/>
        </w:rPr>
        <w:t>”</w:t>
      </w:r>
      <w:r>
        <w:rPr>
          <w:rFonts w:ascii="Times New Roman" w:hAnsi="Times New Roman"/>
          <w:color w:val="000000"/>
          <w:sz w:val="24"/>
        </w:rPr>
        <w:t>) is entered into as of February 10, 2026, by and between LSB Industries,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Mark T. Behrman (“</w:t>
      </w:r>
      <w:r>
        <w:rPr>
          <w:rFonts w:ascii="Times New Roman" w:hAnsi="Times New Roman"/>
          <w:b/>
          <w:i/>
          <w:color w:val="000000"/>
          <w:sz w:val="24"/>
        </w:rPr>
        <w:t>you</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Reference is made to all outstanding equity awards (the "</w:t>
      </w:r>
      <w:r>
        <w:rPr>
          <w:rFonts w:ascii="Times New Roman" w:hAnsi="Times New Roman"/>
          <w:b/>
          <w:i/>
          <w:color w:val="000000"/>
          <w:sz w:val="24"/>
        </w:rPr>
        <w:t>Outstanding Awards</w:t>
      </w:r>
      <w:r>
        <w:rPr>
          <w:rFonts w:ascii="Times New Roman" w:hAnsi="Times New Roman"/>
          <w:color w:val="000000"/>
          <w:sz w:val="24"/>
        </w:rPr>
        <w:t>") granted to you by the Company pursuant to the LSB Industries, Inc. 2025 Long-Term Incentive Plan (the "</w:t>
      </w:r>
      <w:r>
        <w:rPr>
          <w:rFonts w:ascii="Times New Roman" w:hAnsi="Times New Roman"/>
          <w:b/>
          <w:i/>
          <w:color w:val="000000"/>
          <w:sz w:val="24"/>
        </w:rPr>
        <w:t>Plan</w:t>
      </w:r>
      <w:r>
        <w:rPr>
          <w:rFonts w:ascii="Times New Roman" w:hAnsi="Times New Roman"/>
          <w:color w:val="000000"/>
          <w:sz w:val="24"/>
        </w:rPr>
        <w:t>") and any applicable predecessor plans, including all outstanding restricted stock units subject to time-based vesting conditions ("</w:t>
      </w:r>
      <w:r>
        <w:rPr>
          <w:rFonts w:ascii="Times New Roman" w:hAnsi="Times New Roman"/>
          <w:b/>
          <w:i/>
          <w:color w:val="000000"/>
          <w:sz w:val="24"/>
        </w:rPr>
        <w:t>TRSUs</w:t>
      </w:r>
      <w:r>
        <w:rPr>
          <w:rFonts w:ascii="Times New Roman" w:hAnsi="Times New Roman"/>
          <w:color w:val="000000"/>
          <w:sz w:val="24"/>
        </w:rPr>
        <w:t>") and restricted stock units subject to performance-based vesting conditions ("</w:t>
      </w:r>
      <w:r>
        <w:rPr>
          <w:rFonts w:ascii="Times New Roman" w:hAnsi="Times New Roman"/>
          <w:b/>
          <w:i/>
          <w:color w:val="000000"/>
          <w:sz w:val="24"/>
        </w:rPr>
        <w:t>PRSUs</w:t>
      </w:r>
      <w:r>
        <w:rPr>
          <w:rFonts w:ascii="Times New Roman" w:hAnsi="Times New Roman"/>
          <w:color w:val="000000"/>
          <w:sz w:val="24"/>
        </w:rPr>
        <w:t>") held by you as of the date hereof. Capitalized terms used but not otherwise defined herein shall have the meanings ascribed to them in the Plan or the applicable award agreements.</w:t>
      </w:r>
    </w:p>
    <w:p>
      <w:pPr>
        <w:pStyle w:val="TextBody"/>
        <w:bidi w:val="0"/>
        <w:spacing w:before="0" w:after="240"/>
        <w:jc w:val="both"/>
        <w:rPr>
          <w:rFonts w:ascii="Times New Roman" w:hAnsi="Times New Roman"/>
          <w:sz w:val="20"/>
        </w:rPr>
      </w:pPr>
      <w:r>
        <w:rPr>
          <w:rFonts w:ascii="Times New Roman" w:hAnsi="Times New Roman"/>
          <w:color w:val="000000"/>
          <w:sz w:val="24"/>
        </w:rPr>
        <w:t>This Side Letter hereby amends, effective as of the date hereof, each of your Outstanding Awards to incorporate the qualifying retirement provisions set forth below, which shall apply notwithstanding any contrary provisions in your existing award agreements. In addition, the Company agrees that, unless you agree in writing otherwise, any future awards that the Company grants to you pursuant to the Plan shall include the same qualifying retirement provisions described in this Side Letter.</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Amendment to TRSU Accelerated Vesting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Outstanding Award agreement governing TRSUs is hereby amended to provide that, notwithstanding any other provision therein, upon a Qualifying Retirement (as defined below), all outstanding TRSUs shall accelerate and vest in full. In addition, all Replacement Awards shall vest in full upon your Qualifying Retirement.</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Amendment to PRSU Accelerated Vesting Provisions</w:t>
      </w:r>
    </w:p>
    <w:p>
      <w:pPr>
        <w:pStyle w:val="TextBody"/>
        <w:bidi w:val="0"/>
        <w:spacing w:before="0" w:after="120"/>
        <w:jc w:val="both"/>
        <w:rPr>
          <w:rFonts w:ascii="Times New Roman" w:hAnsi="Times New Roman"/>
          <w:sz w:val="20"/>
        </w:rPr>
      </w:pPr>
      <w:r>
        <w:rPr>
          <w:rFonts w:ascii="Times New Roman" w:hAnsi="Times New Roman"/>
          <w:color w:val="000000"/>
          <w:sz w:val="24"/>
        </w:rPr>
        <w:t>Each Outstanding Award agreement governing PRSUs is hereby amended to provide that upon a Qualifying Retirement, all outstanding PRSUs, including any PRSUs subject to a Replacement Award, shall accelerate and vest in full at the greater of (i) the target number of PRSUs granted pursuant to the applicable award agreement and (ii) the number of PRSUs earned based on actual performance through the date of such Qualifying Retirement, as determined by the Committee in its sole discretion.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Definition of Qualifying Retirement</w:t>
      </w:r>
    </w:p>
    <w:p>
      <w:pPr>
        <w:pStyle w:val="TextBody"/>
        <w:bidi w:val="0"/>
        <w:spacing w:before="0" w:after="120"/>
        <w:jc w:val="both"/>
        <w:rPr>
          <w:rFonts w:ascii="Times New Roman" w:hAnsi="Times New Roman"/>
          <w:sz w:val="20"/>
        </w:rPr>
      </w:pPr>
      <w:r>
        <w:rPr>
          <w:rFonts w:ascii="Times New Roman" w:hAnsi="Times New Roman"/>
          <w:color w:val="000000"/>
          <w:sz w:val="24"/>
        </w:rPr>
        <w:t>For purposes of each of your Outstanding Awards, "Qualifying Retirement" means a Termination of Service due to voluntary retirement, provided that (i) such Termination of Service occurs on or after the date you have reached age 63 and have completed at least five years of service with the Company or the Company Group, (ii) such Termination of Service occurs more than one year after the applicable Date of Grant, and (iii) the Company has not determined in good faith that Cause exists immediately prior to such Termination of Service.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each Outstanding Award amended hereby is further amended to incorporate the definitions of “Termination of Service” and “Company Group” as set forth in the Plan, notwithstanding the fact that such Outstanding Award may have been granted under a predecessor plan and without otherwise modifying the terms of such Outstanding Award except as provided herein.</w:t>
      </w:r>
    </w:p>
    <w:p>
      <w:pPr>
        <w:pStyle w:val="TextBody"/>
        <w:bidi w:val="0"/>
        <w:spacing w:before="0" w:after="120"/>
        <w:jc w:val="both"/>
        <w:rPr>
          <w:rFonts w:ascii="Times New Roman" w:hAnsi="Times New Roman"/>
          <w:b/>
          <w:color w:val="000000"/>
          <w:sz w:val="24"/>
        </w:rPr>
      </w:pPr>
      <w:r>
        <w:rPr>
          <w:rFonts w:ascii="Times New Roman" w:hAnsi="Times New Roman"/>
          <w:b/>
          <w:color w:val="000000"/>
          <w:sz w:val="24"/>
        </w:rPr>
        <w:t>General Provisions</w:t>
      </w:r>
    </w:p>
    <w:p>
      <w:pPr>
        <w:pStyle w:val="TextBody"/>
        <w:bidi w:val="0"/>
        <w:spacing w:before="0" w:after="120"/>
        <w:jc w:val="both"/>
        <w:rPr>
          <w:rFonts w:ascii="Times New Roman" w:hAnsi="Times New Roman"/>
          <w:sz w:val="20"/>
        </w:rPr>
      </w:pPr>
      <w:r>
        <w:rPr>
          <w:rFonts w:ascii="Times New Roman" w:hAnsi="Times New Roman"/>
          <w:color w:val="000000"/>
          <w:sz w:val="24"/>
        </w:rPr>
        <w:t>Except as expressly modified by this Side Letter, all other terms and conditions of your Outstanding Awards, including the provisions of the Plan, shall remain in full force and effect. In the event of any conflict between this Side Letter and the terms of your Outstanding Awards or the Plan, this Side Letter shall control with respect to the qualifying retirement provisions set forth herein.</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This Side Letter shall be governed by the laws of the State of Delaware, without regard to conflicts of law principles thereof.</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Please acknowledge your agreement to the terms of this Side Letter by signing and returning a copy to the undersigned.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LSB INDUSTRIES, INC.</w:t>
      </w:r>
    </w:p>
    <w:p>
      <w:pPr>
        <w:pStyle w:val="TextBody"/>
        <w:bidi w:val="0"/>
        <w:spacing w:before="0" w:after="200"/>
        <w:jc w:val="both"/>
        <w:rPr/>
      </w:pPr>
      <w:r>
        <w:rPr/>
        <w:t> </w:t>
      </w:r>
    </w:p>
    <w:p>
      <w:pPr>
        <w:pStyle w:val="TextBody"/>
        <w:bidi w:val="0"/>
        <w:jc w:val="both"/>
        <w:rPr>
          <w:rFonts w:ascii="Times New Roman" w:hAnsi="Times New Roman"/>
          <w:sz w:val="20"/>
        </w:rPr>
      </w:pPr>
      <w:r>
        <w:rPr>
          <w:rFonts w:ascii="Times New Roman" w:hAnsi="Times New Roman"/>
          <w:color w:val="000000"/>
          <w:sz w:val="24"/>
        </w:rPr>
        <w:t>By: ____________________________</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Name: Michael J. Foster</w:t>
      </w:r>
      <w:r>
        <w:rPr>
          <w:rFonts w:ascii="Times New Roman" w:hAnsi="Times New Roman"/>
          <w:color w:val="000000"/>
          <w:sz w:val="20"/>
        </w:rPr>
        <w:t xml:space="preserve"> </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Title: Executive Vice President</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ACKNOWLEDGED AND AGREED:</w:t>
      </w:r>
    </w:p>
    <w:p>
      <w:pPr>
        <w:pStyle w:val="TextBody"/>
        <w:bidi w:val="0"/>
        <w:spacing w:before="0" w:after="20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Mark T. Behrman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Date: ____________________________</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NUMPAGES \* Arabic \* MERGEFORMAT 2</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2"/>
        </w:rPr>
      </w:pPr>
      <w:bookmarkStart w:id="43" w:name="lxu-ex10_4.htm"/>
      <w:bookmarkStart w:id="44" w:name="kslxuex10_4"/>
      <w:bookmarkEnd w:id="43"/>
      <w:bookmarkEnd w:id="44"/>
      <w:r>
        <w:rPr>
          <w:rFonts w:ascii="Times New Roman" w:hAnsi="Times New Roman"/>
          <w:b/>
          <w:color w:val="000000"/>
          <w:sz w:val="22"/>
        </w:rPr>
        <w:t>RSU AWARD AGREEMENT</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LSB INDUSTRIES, INC.</w:t>
      </w:r>
    </w:p>
    <w:p>
      <w:pPr>
        <w:pStyle w:val="TextBody"/>
        <w:bidi w:val="0"/>
        <w:jc w:val="center"/>
        <w:rPr>
          <w:rFonts w:ascii="Times New Roman" w:hAnsi="Times New Roman"/>
          <w:b/>
          <w:color w:val="000000"/>
          <w:sz w:val="22"/>
        </w:rPr>
      </w:pPr>
      <w:r>
        <w:rPr>
          <w:rFonts w:ascii="Times New Roman" w:hAnsi="Times New Roman"/>
          <w:b/>
          <w:color w:val="000000"/>
          <w:sz w:val="22"/>
        </w:rPr>
        <w:t>2025 LONG-TERM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LSB Industries,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grants to the Participant named below (“</w:t>
      </w:r>
      <w:r>
        <w:rPr>
          <w:rFonts w:ascii="Times New Roman" w:hAnsi="Times New Roman"/>
          <w:color w:val="000000"/>
          <w:sz w:val="22"/>
          <w:u w:val="single"/>
        </w:rPr>
        <w:t>you</w:t>
      </w:r>
      <w:r>
        <w:rPr>
          <w:rFonts w:ascii="Times New Roman" w:hAnsi="Times New Roman"/>
          <w:color w:val="000000"/>
          <w:sz w:val="20"/>
        </w:rPr>
        <w:t>”</w:t>
      </w:r>
      <w:r>
        <w:rPr>
          <w:rFonts w:ascii="Times New Roman" w:hAnsi="Times New Roman"/>
          <w:color w:val="000000"/>
          <w:sz w:val="22"/>
        </w:rPr>
        <w:t>) the number of Restricted Stock Units (“</w:t>
      </w:r>
      <w:r>
        <w:rPr>
          <w:rFonts w:ascii="Times New Roman" w:hAnsi="Times New Roman"/>
          <w:color w:val="000000"/>
          <w:sz w:val="22"/>
          <w:u w:val="single"/>
        </w:rPr>
        <w:t>RSUs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under this RSU Award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3012"/>
        <w:gridCol w:w="7193"/>
      </w:tblGrid>
      <w:tr>
        <w:trPr/>
        <w:tc>
          <w:tcPr>
            <w:tcW w:w="3012" w:type="dxa"/>
            <w:tcBorders/>
            <w:vAlign w:val="center"/>
          </w:tcPr>
          <w:p>
            <w:pPr>
              <w:pStyle w:val="TableContents"/>
              <w:bidi w:val="0"/>
              <w:spacing w:before="0" w:after="283"/>
              <w:jc w:val="left"/>
              <w:rPr>
                <w:sz w:val="4"/>
                <w:szCs w:val="4"/>
              </w:rPr>
            </w:pPr>
            <w:r>
              <w:rPr>
                <w:sz w:val="4"/>
                <w:szCs w:val="4"/>
              </w:rPr>
            </w:r>
          </w:p>
        </w:tc>
        <w:tc>
          <w:tcPr>
            <w:tcW w:w="7193" w:type="dxa"/>
            <w:tcBorders/>
            <w:vAlign w:val="center"/>
          </w:tcPr>
          <w:p>
            <w:pPr>
              <w:pStyle w:val="TableContents"/>
              <w:bidi w:val="0"/>
              <w:spacing w:before="0" w:after="283"/>
              <w:jc w:val="left"/>
              <w:rPr>
                <w:sz w:val="4"/>
                <w:szCs w:val="4"/>
              </w:rPr>
            </w:pPr>
            <w:r>
              <w:rPr>
                <w:sz w:val="4"/>
                <w:szCs w:val="4"/>
              </w:rPr>
            </w:r>
          </w:p>
        </w:tc>
      </w:tr>
      <w:tr>
        <w:trPr/>
        <w:tc>
          <w:tcPr>
            <w:tcW w:w="301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Participant:</w:t>
            </w:r>
          </w:p>
        </w:tc>
        <w:tc>
          <w:tcPr>
            <w:tcW w:w="719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Date of Grant:</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Total Number of RSUs:</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[Number]</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TRSUs – [Number]</w:t>
            </w:r>
          </w:p>
          <w:p>
            <w:pPr>
              <w:pStyle w:val="TableContents"/>
              <w:bidi w:val="0"/>
              <w:spacing w:before="0" w:after="240"/>
              <w:jc w:val="left"/>
              <w:rPr>
                <w:rFonts w:ascii="Times New Roman" w:hAnsi="Times New Roman"/>
                <w:sz w:val="22"/>
              </w:rPr>
            </w:pPr>
            <w:r>
              <w:rPr>
                <w:rFonts w:ascii="Times New Roman" w:hAnsi="Times New Roman"/>
                <w:color w:val="000000"/>
                <w:sz w:val="22"/>
              </w:rPr>
              <w:t>PRSUs – [Number] (at Target) (the “</w:t>
            </w:r>
            <w:r>
              <w:rPr>
                <w:rFonts w:ascii="Times New Roman" w:hAnsi="Times New Roman"/>
                <w:color w:val="000000"/>
                <w:sz w:val="22"/>
                <w:u w:val="single"/>
              </w:rPr>
              <w:t>Target PRSUs</w:t>
            </w:r>
            <w:r>
              <w:rPr>
                <w:rFonts w:ascii="Times New Roman" w:hAnsi="Times New Roman"/>
                <w:color w:val="000000"/>
                <w:sz w:val="22"/>
              </w:rPr>
              <w:t>”)</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RSU:</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Each RSU makes you eligible to receive 1 share of Common Stock (a “</w:t>
            </w:r>
            <w:r>
              <w:rPr>
                <w:rFonts w:ascii="Times New Roman" w:hAnsi="Times New Roman"/>
                <w:color w:val="000000"/>
                <w:sz w:val="22"/>
                <w:u w:val="single"/>
              </w:rPr>
              <w:t>Share</w:t>
            </w:r>
            <w:r>
              <w:rPr>
                <w:rFonts w:ascii="Times New Roman" w:hAnsi="Times New Roman"/>
                <w:color w:val="000000"/>
                <w:sz w:val="22"/>
              </w:rPr>
              <w:t>”)—or a cash amount equal to the Fair Market Value of 1 Share—in the future upon vesting, in each case subject to the terms of this Agreement. As used in this Agreement, “</w:t>
            </w:r>
            <w:r>
              <w:rPr>
                <w:rFonts w:ascii="Times New Roman" w:hAnsi="Times New Roman"/>
                <w:color w:val="000000"/>
                <w:sz w:val="22"/>
                <w:u w:val="single"/>
              </w:rPr>
              <w:t>RSUs</w:t>
            </w:r>
            <w:r>
              <w:rPr>
                <w:rFonts w:ascii="Times New Roman" w:hAnsi="Times New Roman"/>
                <w:color w:val="000000"/>
                <w:sz w:val="22"/>
              </w:rPr>
              <w:t>” means collectively, your TRSUs and your PRSUs.</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Definition of Time-Based Restricted Stock Unit (“</w:t>
            </w:r>
            <w:r>
              <w:rPr>
                <w:rFonts w:ascii="Times New Roman" w:hAnsi="Times New Roman"/>
                <w:b/>
                <w:color w:val="000000"/>
                <w:sz w:val="22"/>
                <w:u w:val="single"/>
              </w:rPr>
              <w:t>TRSU</w:t>
            </w:r>
            <w:r>
              <w:rPr>
                <w:rFonts w:ascii="Times New Roman" w:hAnsi="Times New Roman"/>
                <w:color w:val="000000"/>
                <w:sz w:val="22"/>
              </w:rPr>
              <w:t>”</w:t>
            </w:r>
            <w:r>
              <w:rPr>
                <w:rFonts w:ascii="Times New Roman" w:hAnsi="Times New Roman"/>
                <w:b/>
                <w:color w:val="000000"/>
                <w:sz w:val="22"/>
              </w:rPr>
              <w:t>):</w:t>
            </w:r>
          </w:p>
          <w:p>
            <w:pPr>
              <w:pStyle w:val="TableContents"/>
              <w:bidi w:val="0"/>
              <w:spacing w:before="0" w:after="240"/>
              <w:jc w:val="left"/>
              <w:rPr/>
            </w:pPr>
            <w:r>
              <w:rPr/>
              <w:t> </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An RSU that becomes vested and payable based solely on your continued service with the Company and its Subsidiaries.</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Definition of Performance-Based Restricted Stock Unit (“</w:t>
            </w:r>
            <w:r>
              <w:rPr>
                <w:rFonts w:ascii="Times New Roman" w:hAnsi="Times New Roman"/>
                <w:b/>
                <w:color w:val="000000"/>
                <w:sz w:val="22"/>
                <w:u w:val="single"/>
              </w:rPr>
              <w:t>PRSU</w:t>
            </w:r>
            <w:r>
              <w:rPr>
                <w:rFonts w:ascii="Times New Roman" w:hAnsi="Times New Roman"/>
                <w:color w:val="000000"/>
                <w:sz w:val="22"/>
              </w:rPr>
              <w:t>”</w:t>
            </w:r>
            <w:r>
              <w:rPr>
                <w:rFonts w:ascii="Times New Roman" w:hAnsi="Times New Roman"/>
                <w:b/>
                <w:color w:val="000000"/>
                <w:sz w:val="22"/>
              </w:rPr>
              <w:t>):</w:t>
            </w:r>
          </w:p>
          <w:p>
            <w:pPr>
              <w:pStyle w:val="TableContents"/>
              <w:bidi w:val="0"/>
              <w:spacing w:before="0" w:after="240"/>
              <w:jc w:val="left"/>
              <w:rPr/>
            </w:pPr>
            <w:r>
              <w:rPr/>
              <w:t> </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An RSU that becomes vested and payable based on a combination of your continued service with the Company and its Subsidiaries and the achievement of specified performance goals.</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Performance Period:</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Begins on January 1 of the calendar year in which the Date of Grant occurs and ends on December 31 of the third calendar year thereafter.</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Plan:</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 xml:space="preserve">LSB Industries, Inc. 2025 Long-Term Incentive Plan, attached hereto as </w:t>
            </w:r>
            <w:r>
              <w:rPr>
                <w:rFonts w:ascii="Times New Roman" w:hAnsi="Times New Roman"/>
                <w:b/>
                <w:color w:val="000000"/>
                <w:sz w:val="22"/>
                <w:u w:val="single"/>
              </w:rPr>
              <w:t>Exhibit B</w:t>
            </w:r>
            <w:r>
              <w:rPr>
                <w:rFonts w:ascii="Times New Roman" w:hAnsi="Times New Roman"/>
                <w:color w:val="000000"/>
                <w:sz w:val="22"/>
              </w:rPr>
              <w:t>.</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Defined Terms:</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set forth in the Plan, unless otherwise defined in this Agreement.</w:t>
            </w:r>
          </w:p>
        </w:tc>
      </w:tr>
      <w:tr>
        <w:trPr/>
        <w:tc>
          <w:tcPr>
            <w:tcW w:w="301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Vesting and Payment Terms:</w:t>
            </w:r>
          </w:p>
        </w:tc>
        <w:tc>
          <w:tcPr>
            <w:tcW w:w="7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See </w:t>
            </w:r>
            <w:r>
              <w:rPr>
                <w:rFonts w:ascii="Times New Roman" w:hAnsi="Times New Roman"/>
                <w:b/>
                <w:color w:val="000000"/>
                <w:sz w:val="22"/>
                <w:u w:val="single"/>
              </w:rPr>
              <w:t>Exhibit A</w:t>
            </w:r>
            <w:r>
              <w:rPr>
                <w:rFonts w:ascii="Times New Roman" w:hAnsi="Times New Roman"/>
                <w:color w:val="000000"/>
                <w:sz w:val="22"/>
              </w:rPr>
              <w:t> attached hereto.</w:t>
            </w:r>
          </w:p>
        </w:tc>
      </w:tr>
    </w:tbl>
    <w:p>
      <w:pPr>
        <w:pStyle w:val="TextBody"/>
        <w:bidi w:val="0"/>
        <w:spacing w:before="480" w:after="24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w:t>
      </w:r>
      <w:r>
        <w:rPr>
          <w:rFonts w:ascii="Times New Roman" w:hAnsi="Times New Roman"/>
          <w:color w:val="000000"/>
          <w:sz w:val="20"/>
        </w:rPr>
        <w:t xml:space="preserve"> of </w:t>
      </w:r>
      <w:r>
        <w:rPr>
          <w:rFonts w:ascii="Times New Roman" w:hAnsi="Times New Roman"/>
          <w:b/>
          <w:color w:val="000000"/>
          <w:sz w:val="20"/>
        </w:rPr>
        <w:t>5</w:t>
      </w:r>
    </w:p>
    <w:p>
      <w:pPr>
        <w:pStyle w:val="HorizontalLine"/>
        <w:pBdr>
          <w:bottom w:val="double" w:sz="2" w:space="0" w:color="808080"/>
        </w:pBdr>
        <w:bidi w:val="0"/>
        <w:spacing w:before="0" w:after="283"/>
        <w:jc w:val="left"/>
        <w:rPr/>
      </w:pPr>
      <w:r>
        <w:rPr/>
      </w:r>
    </w:p>
    <w:p>
      <w:pPr>
        <w:pStyle w:val="TextBody"/>
        <w:bidi w:val="0"/>
        <w:spacing w:before="480" w:after="240"/>
        <w:jc w:val="center"/>
        <w:rPr>
          <w:rFonts w:ascii="Times New Roman" w:hAnsi="Times New Roman"/>
          <w:b/>
          <w:color w:val="000000"/>
          <w:sz w:val="22"/>
        </w:rPr>
      </w:pPr>
      <w:r>
        <w:rPr>
          <w:rFonts w:ascii="Times New Roman" w:hAnsi="Times New Roman"/>
          <w:b/>
          <w:color w:val="000000"/>
          <w:sz w:val="22"/>
        </w:rPr>
        <w:t>RSU TERMS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RSUs</w:t>
      </w:r>
      <w:r>
        <w:rPr>
          <w:rFonts w:ascii="Times New Roman" w:hAnsi="Times New Roman"/>
          <w:color w:val="000000"/>
          <w:sz w:val="22"/>
        </w:rPr>
        <w:t>. You must accept the terms of this Agreement within 10 business days after the Agreement is presented to you by returning a signed copy of this Agreement to the Company in accordance with such procedures as the Company may establish from time to time in its sole discretion. The Committee may unilaterally cancel and forfeit all or a portion of the Award if you do not timely accept the terms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Restrictions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You will have no rights or privileges of a stockholder as to any Shares underlying the RSUs before settlement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below (“</w:t>
      </w:r>
      <w:r>
        <w:rPr>
          <w:rFonts w:ascii="Times New Roman" w:hAnsi="Times New Roman"/>
          <w:color w:val="000000"/>
          <w:sz w:val="22"/>
          <w:u w:val="single"/>
        </w:rPr>
        <w:t>Settlement</w:t>
      </w:r>
      <w:r>
        <w:rPr>
          <w:rFonts w:ascii="Times New Roman" w:hAnsi="Times New Roman"/>
          <w:color w:val="000000"/>
          <w:sz w:val="20"/>
        </w:rPr>
        <w:t>”</w:t>
      </w:r>
      <w:r>
        <w:rPr>
          <w:rFonts w:ascii="Times New Roman" w:hAnsi="Times New Roman"/>
          <w:color w:val="000000"/>
          <w:sz w:val="22"/>
        </w:rPr>
        <w:t>), including no right to vote or receive dividends or other distributions; in addition, the following terms will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you will not be entitled to electronic registration of Shares or delivery of any Share certificates for the RSUs until Settlement (if at all), and upon the satisfaction of all other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you may not sell, transfer (other than by will or the laws of descent and distribution), assign, pledge, or otherwise encumber or dispose of the RSUs or any rights under the RSUs before Settlement;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you will forfeit all of the RSUs and all of your rights under the RSUs will terminate in their entirety on the terms set forth in </w:t>
      </w:r>
      <w:r>
        <w:rPr>
          <w:rFonts w:ascii="Times New Roman" w:hAnsi="Times New Roman"/>
          <w:color w:val="000000"/>
          <w:sz w:val="22"/>
          <w:u w:val="single"/>
        </w:rPr>
        <w:t>Section 5</w:t>
      </w:r>
      <w:r>
        <w:rPr>
          <w:rFonts w:ascii="Times New Roman" w:hAnsi="Times New Roman"/>
          <w:color w:val="000000"/>
          <w:sz w:val="20"/>
        </w:rPr>
        <w:t xml:space="preserve"> </w:t>
      </w:r>
      <w:r>
        <w:rPr>
          <w:rFonts w:ascii="Times New Roman" w:hAnsi="Times New Roman"/>
          <w:color w:val="000000"/>
          <w:sz w:val="22"/>
        </w:rPr>
        <w:t xml:space="preserve">below and </w:t>
      </w:r>
      <w:r>
        <w:rPr>
          <w:rFonts w:ascii="Times New Roman" w:hAnsi="Times New Roman"/>
          <w:color w:val="000000"/>
          <w:sz w:val="22"/>
          <w:u w:val="single"/>
        </w:rPr>
        <w:t>Section 12(j)</w:t>
      </w:r>
      <w:r>
        <w:rPr>
          <w:rFonts w:ascii="Times New Roman" w:hAnsi="Times New Roman"/>
          <w:color w:val="000000"/>
          <w:sz w:val="20"/>
        </w:rPr>
        <w:t xml:space="preserve"> </w:t>
      </w:r>
      <w:r>
        <w:rPr>
          <w:rFonts w:ascii="Times New Roman" w:hAnsi="Times New Roman"/>
          <w:color w:val="000000"/>
          <w:sz w:val="22"/>
        </w:rPr>
        <w:t>below;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no Share underlying an RSU will be considered eligible for Settlement until the end of the Restricted Period applicable to the RSU.</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Any attempt to dispose of the RSUs, any interest in the RSUs, or any Shares in respect of the RSUs in a manner contrary to the terms of this Agreement will be void and of no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Restricted Period</w:t>
      </w:r>
      <w:r>
        <w:rPr>
          <w:rFonts w:ascii="Times New Roman" w:hAnsi="Times New Roman"/>
          <w:color w:val="000000"/>
          <w:sz w:val="22"/>
        </w:rPr>
        <w:t>. The “</w:t>
      </w:r>
      <w:r>
        <w:rPr>
          <w:rFonts w:ascii="Times New Roman" w:hAnsi="Times New Roman"/>
          <w:color w:val="000000"/>
          <w:sz w:val="22"/>
          <w:u w:val="single"/>
        </w:rPr>
        <w:t>Restricted Period</w:t>
      </w:r>
      <w:r>
        <w:rPr>
          <w:rFonts w:ascii="Times New Roman" w:hAnsi="Times New Roman"/>
          <w:color w:val="000000"/>
          <w:sz w:val="20"/>
        </w:rPr>
        <w:t xml:space="preserve">” </w:t>
      </w:r>
      <w:r>
        <w:rPr>
          <w:rFonts w:ascii="Times New Roman" w:hAnsi="Times New Roman"/>
          <w:color w:val="000000"/>
          <w:sz w:val="22"/>
        </w:rPr>
        <w:t xml:space="preserve">is the period beginning on the Date of Grant and ending on the date the RSUs, or such applicable portion of the RSUs, are deemed vested and payable under the terms set forth in </w:t>
      </w:r>
      <w:r>
        <w:rPr>
          <w:rFonts w:ascii="Times New Roman" w:hAnsi="Times New Roman"/>
          <w:b/>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Dividend Equivalents</w:t>
      </w:r>
      <w:r>
        <w:rPr>
          <w:rFonts w:ascii="Times New Roman" w:hAnsi="Times New Roman"/>
          <w:color w:val="000000"/>
          <w:sz w:val="22"/>
        </w:rPr>
        <w:t>. Each RSU will be credited with any cash and stock dividends paid by the Company in respect of 1 Share (“</w:t>
      </w:r>
      <w:r>
        <w:rPr>
          <w:rFonts w:ascii="Times New Roman" w:hAnsi="Times New Roman"/>
          <w:color w:val="000000"/>
          <w:sz w:val="22"/>
          <w:u w:val="single"/>
        </w:rPr>
        <w:t>Dividend Equivalents</w:t>
      </w:r>
      <w:r>
        <w:rPr>
          <w:rFonts w:ascii="Times New Roman" w:hAnsi="Times New Roman"/>
          <w:color w:val="000000"/>
          <w:sz w:val="20"/>
        </w:rPr>
        <w:t>”</w:t>
      </w:r>
      <w:r>
        <w:rPr>
          <w:rFonts w:ascii="Times New Roman" w:hAnsi="Times New Roman"/>
          <w:color w:val="000000"/>
          <w:sz w:val="22"/>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Forfeiture</w:t>
      </w:r>
      <w:r>
        <w:rPr>
          <w:rFonts w:ascii="Times New Roman" w:hAnsi="Times New Roman"/>
          <w:color w:val="000000"/>
          <w:sz w:val="22"/>
        </w:rPr>
        <w:t xml:space="preserve">. If, during the Restricted Period, (a) you incur a Termination of Service (for the avoidance of doubt, which does not otherwise result in the immediate or continued vesting and payment of the RSUs), (b) you materially breach this Agreement, or (c) you fail to meet the tax withholding obligations described in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below, you will immediately and automatically forfeit all of your rights in respect of the RSUs.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Settlement of RSUs</w:t>
      </w:r>
      <w:r>
        <w:rPr>
          <w:rFonts w:ascii="Times New Roman" w:hAnsi="Times New Roman"/>
          <w:color w:val="000000"/>
          <w:sz w:val="22"/>
        </w:rPr>
        <w:t>. Settlement of RSUs under this Agreement will be subject to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Company will deliver to you 1 Share—or a cash amount equal to the Fair Market Value of 1 Share—for each RSU that has become vested and payable as soon as administratively practicable after the end of the applicable Restricted Period, but in no event later than the fifteenth day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w:t>
      </w:r>
      <w:r>
        <w:rPr>
          <w:rFonts w:ascii="Times New Roman" w:hAnsi="Times New Roman"/>
          <w:color w:val="000000"/>
          <w:sz w:val="20"/>
        </w:rPr>
        <w:t xml:space="preserve"> of </w:t>
      </w:r>
      <w:r>
        <w:rPr>
          <w:rFonts w:ascii="Times New Roman" w:hAnsi="Times New Roman"/>
          <w:b/>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third month following the end of the fiscal year in which the Restricted Period ends, subject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PRSUs will be settled in Shares;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TRSUs will be settled in Shares.</w:t>
      </w:r>
    </w:p>
    <w:p>
      <w:pPr>
        <w:pStyle w:val="TextBody"/>
        <w:bidi w:val="0"/>
        <w:spacing w:before="0" w:after="240"/>
        <w:jc w:val="both"/>
        <w:rPr>
          <w:rFonts w:ascii="Times New Roman" w:hAnsi="Times New Roman"/>
          <w:sz w:val="20"/>
        </w:rPr>
      </w:pPr>
      <w:r>
        <w:rPr>
          <w:rFonts w:ascii="Times New Roman" w:hAnsi="Times New Roman"/>
          <w:color w:val="000000"/>
          <w:sz w:val="22"/>
        </w:rPr>
        <w:t>(b) Any issuance of Shares under the Award may be effected on a non-certificated basis through electronic registration, to the extent not prohibited by Applicable Law.</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Section 409A; Six Month Delay</w:t>
      </w:r>
      <w:r>
        <w:rPr>
          <w:rFonts w:ascii="Times New Roman" w:hAnsi="Times New Roman"/>
          <w:color w:val="000000"/>
          <w:sz w:val="22"/>
        </w:rPr>
        <w:t xml:space="preserve">. The RSUs are intended to be exempt from Section 409A and this Agreement will be administered and interpreted consistently with that intent. Notwithstanding anything herein to the contrary, in the case of a conversion of RSUs and distribution of shares of Common Stock or payment of cash on account of any Termination of Service (other than death), if you are a “specified employee” as defined in § 1.409A-1(i) of the final regulations under Section 409A of the Code, then solely to the extent required under Section 409A of the Code, your distribution of the number of such Shares or cash (determined after application of the withholding requirements set forth in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 xml:space="preserve">below), plus any dividends payable with respect to such number of Shares or cash, shall not occur until the date which is six months following the date of your Termination of Service (or, if earlier, the date of your death).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Taxes</w:t>
      </w:r>
      <w:r>
        <w:rPr>
          <w:rFonts w:ascii="Times New Roman" w:hAnsi="Times New Roman"/>
          <w:color w:val="000000"/>
          <w:sz w:val="22"/>
        </w:rPr>
        <w:t xml:space="preserve">. </w:t>
      </w:r>
      <w:r>
        <w:rPr>
          <w:rFonts w:ascii="Times New Roman" w:hAnsi="Times New Roman"/>
          <w:b/>
          <w:color w:val="000000"/>
          <w:sz w:val="22"/>
        </w:rPr>
        <w:t>You are hereby advised to consult immediately with your own tax advisor regarding the tax consequences of this Agreement.</w:t>
      </w:r>
      <w:r>
        <w:rPr>
          <w:rFonts w:ascii="Times New Roman" w:hAnsi="Times New Roman"/>
          <w:color w:val="000000"/>
          <w:sz w:val="20"/>
        </w:rPr>
        <w:t xml:space="preserve"> </w:t>
      </w:r>
      <w:r>
        <w:rPr>
          <w:rFonts w:ascii="Times New Roman" w:hAnsi="Times New Roman"/>
          <w:color w:val="000000"/>
          <w:sz w:val="22"/>
        </w:rPr>
        <w:t xml:space="preserve">Unless the Company otherwise consents in writing to an alternative withholding method, the Company, or if applicable, any Subsidiary (for purposes of this </w:t>
      </w:r>
      <w:r>
        <w:rPr>
          <w:rFonts w:ascii="Times New Roman" w:hAnsi="Times New Roman"/>
          <w:color w:val="000000"/>
          <w:sz w:val="22"/>
          <w:u w:val="single"/>
        </w:rPr>
        <w:t>Section 8</w:t>
      </w:r>
      <w:r>
        <w:rPr>
          <w:rFonts w:ascii="Times New Roman" w:hAnsi="Times New Roman"/>
          <w:color w:val="000000"/>
          <w:sz w:val="22"/>
        </w:rPr>
        <w:t>, the term “</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 xml:space="preserve">shall be deemed to include any applicable Subsidiary) shall have the right to deduct from all amounts paid in cash or other form in connection with the Plan, any federal, state, local, or other taxes required by law to be withheld in connection with this Award. The Company may, in its sole discretion and prior to the date of conversion, require you upon conversion of RSUs to pay the Company the amount of any taxes that the Company is required to withhold in connection with your income arising with respect to this Award. Such payments shall be required to be made prior to the delivery of any certificate or the registration of such shares in your name for such Shares. Such payment may be made by (i) the delivery of cash to the Company in an amount that equals or exceeds (to avoid the issuance of fractional shares) the required tax withholding obligations of the Company; (ii) if the Company, in its sole discretion, so consents in writing, the actual delivery by you to the Company of Shares, which Shares so delivered have an aggregate Fair Market Value that equals or exceeds (to avoid the issuance of fractional shares) the required tax withholding payment; (iii) if the Company, in its sole discretion, so consents in writing, the Company’s withholding of a number of Shares to be delivered upon Settlement, which Shares so withheld have an aggregate Fair Market Value that equals (but does not exceed) the required tax withholding payment; or (iv) any combination of (i), (ii), or (iii). Notwithstanding the foregoing, the Company may, in its sole discretion, withhold any such taxes from any other cash remuneration otherwise paid by the Company to you; provided, however, if you are a “specified employee” as defined in § 1.409A-1(i) of the final regulations under Section 409A of the Code who is subject to the six months delay provided for in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above, the Company shall withhold the number of shares attributable to the employment taxes on the date of your Termination of Service and withhold the number of Shares attributable to the income taxes on the date which occurs six months following the date of your Termination of Service (or, if earlier, the date of your death).</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Adjustment</w:t>
      </w:r>
      <w:r>
        <w:rPr>
          <w:rFonts w:ascii="Times New Roman" w:hAnsi="Times New Roman"/>
          <w:color w:val="000000"/>
          <w:sz w:val="22"/>
        </w:rPr>
        <w:t xml:space="preserve">. Upon any event described in </w:t>
      </w:r>
      <w:r>
        <w:rPr>
          <w:rFonts w:ascii="Times New Roman" w:hAnsi="Times New Roman"/>
          <w:color w:val="000000"/>
          <w:sz w:val="22"/>
          <w:u w:val="single"/>
        </w:rPr>
        <w:t>Articles 11 – 13 of the Plan</w:t>
      </w:r>
      <w:r>
        <w:rPr>
          <w:rFonts w:ascii="Times New Roman" w:hAnsi="Times New Roman"/>
          <w:color w:val="000000"/>
          <w:sz w:val="20"/>
        </w:rPr>
        <w:t xml:space="preserve"> </w:t>
      </w:r>
      <w:r>
        <w:rPr>
          <w:rFonts w:ascii="Times New Roman" w:hAnsi="Times New Roman"/>
          <w:color w:val="000000"/>
          <w:sz w:val="22"/>
        </w:rPr>
        <w:t>(and any successor terms) occurring after the Date of Grant, the adjustment terms of such sections will apply to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Bound by Plan and Committee Decisions</w:t>
      </w:r>
      <w:r>
        <w:rPr>
          <w:rFonts w:ascii="Times New Roman" w:hAnsi="Times New Roman"/>
          <w:color w:val="000000"/>
          <w:sz w:val="22"/>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solely in the Committee. The Committee has all powers under this Agreement that it has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3</w:t>
      </w:r>
      <w:r>
        <w:rPr>
          <w:rFonts w:ascii="Times New Roman" w:hAnsi="Times New Roman"/>
          <w:color w:val="000000"/>
          <w:sz w:val="20"/>
        </w:rPr>
        <w:t xml:space="preserve"> of </w:t>
      </w:r>
      <w:r>
        <w:rPr>
          <w:rFonts w:ascii="Times New Roman" w:hAnsi="Times New Roman"/>
          <w:b/>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the Plan. Any interpretation of this Agreement or the Plan by the Committee and any decision made by the Committee related to the Agreement or the Plan will be final, binding, and conclusive on all interested parties.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Regulatory and Other Limitations</w:t>
      </w:r>
      <w:r>
        <w:rPr>
          <w:rFonts w:ascii="Times New Roman" w:hAnsi="Times New Roman"/>
          <w:color w:val="000000"/>
          <w:sz w:val="22"/>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w:t>
      </w:r>
      <w:r>
        <w:rPr>
          <w:rFonts w:ascii="Times New Roman" w:hAnsi="Times New Roman"/>
          <w:color w:val="000000"/>
          <w:sz w:val="22"/>
        </w:rPr>
        <w:t>. Any notice that may be required or permitted under this Agreement must be in writing and may be delivered personally, by intraoffice mail, or by electronic mail or via a postal service (postage prepaid) to the electronic mail or postal address and directed to the person as the receiving party may designate in writing from time to time. Any notice required or permitted under this Agreement shall be deemed to be delivered only when actually received by you or the Company,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Waiver</w:t>
      </w:r>
      <w:r>
        <w:rPr>
          <w:rFonts w:ascii="Times New Roman" w:hAnsi="Times New Roman"/>
          <w:color w:val="000000"/>
          <w:sz w:val="22"/>
        </w:rPr>
        <w:t>. The waiver by any party to this Agreement of a breach of any term of the Agreement will not operate or be construed as a waiver of any other or subsequent breach. You (as consideration for receiving and accepting this Agreement) irrevocably waive and release any right or opportunity you might have to assert (or participate or cooperate in) any Claim against any member of the Board or the Committee and any Subsidiary of the Company arising out of this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Entire Agreement</w:t>
      </w:r>
      <w:r>
        <w:rPr>
          <w:rFonts w:ascii="Times New Roman" w:hAnsi="Times New Roman"/>
          <w:color w:val="000000"/>
          <w:sz w:val="22"/>
        </w:rPr>
        <w:t>. This Agreement together with the Plan supersede any and all other prior understandings and agreements, either oral or in writing, between you and the Company with respect to the subject matter hereof and constitute the sole and only agreements between the parties with respect to the said subject matter. All prior agreements, commitments, or negotiations related to the Award are superseded.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Binding Effect; Successors</w:t>
      </w:r>
      <w:r>
        <w:rPr>
          <w:rFonts w:ascii="Times New Roman" w:hAnsi="Times New Roman"/>
          <w:color w:val="000000"/>
          <w:sz w:val="22"/>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Governing Law; Jurisdiction</w:t>
      </w:r>
      <w:r>
        <w:rPr>
          <w:rFonts w:ascii="Times New Roman" w:hAnsi="Times New Roman"/>
          <w:color w:val="000000"/>
          <w:sz w:val="22"/>
        </w:rPr>
        <w:t xml:space="preserve">. You acknowledge and expressly agree to the governing law and jurisdiction terms of </w:t>
      </w:r>
      <w:r>
        <w:rPr>
          <w:rFonts w:ascii="Times New Roman" w:hAnsi="Times New Roman"/>
          <w:color w:val="000000"/>
          <w:sz w:val="22"/>
          <w:u w:val="single"/>
        </w:rPr>
        <w:t>Section 15.11 of the Plan</w:t>
      </w:r>
      <w:r>
        <w:rPr>
          <w:rFonts w:ascii="Times New Roman" w:hAnsi="Times New Roman"/>
          <w:color w:val="000000"/>
          <w:sz w:val="20"/>
        </w:rPr>
        <w:t xml:space="preserve"> </w:t>
      </w:r>
      <w:r>
        <w:rPr>
          <w:rFonts w:ascii="Times New Roman" w:hAnsi="Times New Roman"/>
          <w:color w:val="000000"/>
          <w:sz w:val="22"/>
        </w:rPr>
        <w:t>(and any successor terms). This Agreement shall be governed by, construed, and enforced in accordance with the laws of the State of Delaware (excluding any conflict of laws rule or principle of Delaware law that might refer the governance, construction, or interpretation of this agreement to the laws of another state).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w:t>
      </w:r>
      <w:r>
        <w:rPr>
          <w:rFonts w:ascii="Times New Roman" w:hAnsi="Times New Roman"/>
          <w:color w:val="000000"/>
          <w:sz w:val="22"/>
        </w:rPr>
        <w:t>. This Agreement may be amended at any time by the Committee, except that no amendment may, without your consent, materially and adversely affect your rights under the Award.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Severability</w:t>
      </w:r>
      <w:r>
        <w:rPr>
          <w:rFonts w:ascii="Times New Roman" w:hAnsi="Times New Roman"/>
          <w:color w:val="000000"/>
          <w:sz w:val="22"/>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4</w:t>
      </w:r>
      <w:r>
        <w:rPr>
          <w:rFonts w:ascii="Times New Roman" w:hAnsi="Times New Roman"/>
          <w:color w:val="000000"/>
          <w:sz w:val="20"/>
        </w:rPr>
        <w:t xml:space="preserve"> of </w:t>
      </w:r>
      <w:r>
        <w:rPr>
          <w:rFonts w:ascii="Times New Roman" w:hAnsi="Times New Roman"/>
          <w:b/>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No Rights to Service; No Impact on Other Benefits</w:t>
      </w:r>
      <w:r>
        <w:rPr>
          <w:rFonts w:ascii="Times New Roman" w:hAnsi="Times New Roman"/>
          <w:color w:val="000000"/>
          <w:sz w:val="22"/>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Further Assurances</w:t>
      </w:r>
      <w:r>
        <w:rPr>
          <w:rFonts w:ascii="Times New Roman" w:hAnsi="Times New Roman"/>
          <w:color w:val="000000"/>
          <w:sz w:val="22"/>
        </w:rPr>
        <w:t>. You must, upon request of the Company, do all acts and execute, deliver, and perform all additional documents, instruments, and agreements that may be reasonably required by the Company to implement this Agreement.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Clawback</w:t>
      </w:r>
      <w:r>
        <w:rPr>
          <w:rFonts w:ascii="Times New Roman" w:hAnsi="Times New Roman"/>
          <w:color w:val="000000"/>
          <w:sz w:val="22"/>
        </w:rPr>
        <w:t xml:space="preserve">. You acknowledge and consent to </w:t>
      </w:r>
      <w:r>
        <w:rPr>
          <w:rFonts w:ascii="Times New Roman" w:hAnsi="Times New Roman"/>
          <w:color w:val="000000"/>
          <w:sz w:val="22"/>
          <w:u w:val="single"/>
        </w:rPr>
        <w:t>Section 6.13 of the Plan</w:t>
      </w:r>
      <w:r>
        <w:rPr>
          <w:rFonts w:ascii="Times New Roman" w:hAnsi="Times New Roman"/>
          <w:color w:val="000000"/>
          <w:sz w:val="20"/>
        </w:rPr>
        <w:t xml:space="preserve"> </w:t>
      </w:r>
      <w:r>
        <w:rPr>
          <w:rFonts w:ascii="Times New Roman" w:hAnsi="Times New Roman"/>
          <w:color w:val="000000"/>
          <w:sz w:val="22"/>
        </w:rPr>
        <w:t>regarding clawbacks, and to the Company’s application, implementation, and enforcement of any applicable Company clawback or similar policy that may apply to you, whether adopted before or after the Date of Grant, and any term of Applicable Law relating to clawback, cancellation, recoupment, rescission, payback, or reduction of compensation, and the Company may take such actions as may be necessary to effectuate any such policy or Applicable Law, without further consideration or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Electronic Delivery and Acceptance</w:t>
      </w:r>
      <w:r>
        <w:rPr>
          <w:rFonts w:ascii="Times New Roman" w:hAnsi="Times New Roman"/>
          <w:color w:val="000000"/>
          <w:sz w:val="22"/>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Counterparts</w:t>
      </w:r>
      <w:r>
        <w:rPr>
          <w:rFonts w:ascii="Times New Roman" w:hAnsi="Times New Roman"/>
          <w:color w:val="000000"/>
          <w:sz w:val="22"/>
        </w:rPr>
        <w:t>. This Agreement may be executed in separate counterparts, each of which shall be deemed to be an original and all of which taken together shall constitute one and the same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Your Representations</w:t>
      </w:r>
      <w:r>
        <w:rPr>
          <w:rFonts w:ascii="Times New Roman" w:hAnsi="Times New Roman"/>
          <w:color w:val="000000"/>
          <w:sz w:val="22"/>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5</w:t>
      </w:r>
      <w:r>
        <w:rPr>
          <w:rFonts w:ascii="Times New Roman" w:hAnsi="Times New Roman"/>
          <w:color w:val="000000"/>
          <w:sz w:val="20"/>
        </w:rPr>
        <w:t xml:space="preserve"> of </w:t>
      </w:r>
      <w:r>
        <w:rPr>
          <w:rFonts w:ascii="Times New Roman" w:hAnsi="Times New Roman"/>
          <w:b/>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Company has caused this Agreement to be executed by its duly authorized officer, and you, to evidence his or her consent and approval of all the terms hereof, has duly executed this Agreement, as of the Date of Grant.</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LSB INDUSTRIES, INC., a Delaware corporation</w:t>
      </w:r>
    </w:p>
    <w:p>
      <w:pPr>
        <w:pStyle w:val="TextBody"/>
        <w:bidi w:val="0"/>
        <w:jc w:val="left"/>
        <w:rPr/>
      </w:pPr>
      <w:r>
        <w:rPr/>
        <w:t> </w:t>
      </w:r>
    </w:p>
    <w:p>
      <w:pPr>
        <w:pStyle w:val="TextBody"/>
        <w:bidi w:val="0"/>
        <w:jc w:val="both"/>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[SIGNOR]</w:t>
      </w:r>
    </w:p>
    <w:p>
      <w:pPr>
        <w:pStyle w:val="TextBody"/>
        <w:bidi w:val="0"/>
        <w:spacing w:before="0" w:after="480"/>
        <w:jc w:val="both"/>
        <w:rPr/>
      </w:pPr>
      <w:r>
        <w:rPr/>
        <w:t> </w:t>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PARTICIPANT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[NAME]</w:t>
      </w:r>
    </w:p>
    <w:p>
      <w:pPr>
        <w:pStyle w:val="TextBody"/>
        <w:bidi w:val="0"/>
        <w:jc w:val="both"/>
        <w:rPr/>
      </w:pPr>
      <w:r>
        <w:rPr/>
        <w:t> </w:t>
      </w:r>
    </w:p>
    <w:p>
      <w:pPr>
        <w:pStyle w:val="TextBody"/>
        <w:bidi w:val="0"/>
        <w:jc w:val="both"/>
        <w:rPr/>
      </w:pPr>
      <w:r>
        <w:rPr/>
        <w:t>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b/>
          <w:i/>
          <w:color w:val="000000"/>
          <w:sz w:val="22"/>
        </w:rPr>
        <w:t>Signature Page to</w:t>
      </w:r>
      <w:r>
        <w:rPr>
          <w:rFonts w:ascii="Times New Roman" w:hAnsi="Times New Roman"/>
          <w:color w:val="000000"/>
          <w:sz w:val="20"/>
        </w:rPr>
        <w:t xml:space="preserve"> </w:t>
      </w:r>
    </w:p>
    <w:p>
      <w:pPr>
        <w:pStyle w:val="TextBody"/>
        <w:bidi w:val="0"/>
        <w:jc w:val="center"/>
        <w:rPr>
          <w:rFonts w:ascii="Times New Roman" w:hAnsi="Times New Roman"/>
          <w:b/>
          <w:i/>
          <w:color w:val="000000"/>
          <w:sz w:val="22"/>
        </w:rPr>
      </w:pPr>
      <w:r>
        <w:rPr>
          <w:rFonts w:ascii="Times New Roman" w:hAnsi="Times New Roman"/>
          <w:b/>
          <w:i/>
          <w:color w:val="000000"/>
          <w:sz w:val="22"/>
        </w:rPr>
        <w:t>RSU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360"/>
        <w:jc w:val="center"/>
        <w:rPr>
          <w:rFonts w:ascii="Times New Roman" w:hAnsi="Times New Roman"/>
          <w:b/>
          <w:color w:val="000000"/>
          <w:sz w:val="22"/>
        </w:rPr>
      </w:pPr>
      <w:r>
        <w:rPr>
          <w:rFonts w:ascii="Times New Roman" w:hAnsi="Times New Roman"/>
          <w:b/>
          <w:color w:val="000000"/>
          <w:sz w:val="22"/>
        </w:rPr>
        <w:t>Terms Applicable to TRSUs</w:t>
      </w:r>
    </w:p>
    <w:tbl>
      <w:tblPr>
        <w:tblW w:w="10205" w:type="dxa"/>
        <w:jc w:val="left"/>
        <w:tblInd w:w="0" w:type="dxa"/>
        <w:tblLayout w:type="fixed"/>
        <w:tblCellMar>
          <w:top w:w="28" w:type="dxa"/>
          <w:left w:w="28" w:type="dxa"/>
          <w:bottom w:w="28" w:type="dxa"/>
          <w:right w:w="28" w:type="dxa"/>
        </w:tblCellMar>
      </w:tblPr>
      <w:tblGrid>
        <w:gridCol w:w="1351"/>
        <w:gridCol w:w="8854"/>
      </w:tblGrid>
      <w:tr>
        <w:trPr/>
        <w:tc>
          <w:tcPr>
            <w:tcW w:w="1351"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Vesting and Payment of TRSUs:</w:t>
            </w:r>
          </w:p>
        </w:tc>
        <w:tc>
          <w:tcPr>
            <w:tcW w:w="885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 xml:space="preserve">Subject to </w:t>
            </w:r>
            <w:r>
              <w:rPr>
                <w:rFonts w:ascii="Times New Roman" w:hAnsi="Times New Roman"/>
                <w:b/>
                <w:color w:val="000000"/>
                <w:sz w:val="22"/>
              </w:rPr>
              <w:t>Accelerated Payment Events for TRSUs</w:t>
            </w:r>
            <w:r>
              <w:rPr>
                <w:rFonts w:ascii="Times New Roman" w:hAnsi="Times New Roman"/>
                <w:color w:val="000000"/>
                <w:sz w:val="22"/>
              </w:rPr>
              <w:t xml:space="preserve"> below, the TRSUs will vest and become payable as follows, as long as you do not have a Termination of Service before the applicable vesting date: </w:t>
            </w:r>
          </w:p>
          <w:p>
            <w:pPr>
              <w:pStyle w:val="TableContents"/>
              <w:bidi w:val="0"/>
              <w:spacing w:before="0" w:after="240"/>
              <w:jc w:val="both"/>
              <w:rPr/>
            </w:pPr>
            <w:r>
              <w:rPr/>
              <w:drawing>
                <wp:inline distT="0" distB="0" distL="0" distR="0">
                  <wp:extent cx="4791075"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4791075" cy="1085850"/>
                          </a:xfrm>
                          <a:prstGeom prst="rect">
                            <a:avLst/>
                          </a:prstGeom>
                        </pic:spPr>
                      </pic:pic>
                    </a:graphicData>
                  </a:graphic>
                </wp:inline>
              </w:drawing>
            </w:r>
          </w:p>
          <w:p>
            <w:pPr>
              <w:pStyle w:val="TableContents"/>
              <w:bidi w:val="0"/>
              <w:spacing w:before="0" w:after="240"/>
              <w:jc w:val="both"/>
              <w:rPr>
                <w:rFonts w:ascii="Times New Roman" w:hAnsi="Times New Roman"/>
                <w:i/>
                <w:color w:val="000000"/>
                <w:sz w:val="22"/>
              </w:rPr>
            </w:pPr>
            <w:r>
              <w:rPr>
                <w:rFonts w:ascii="Times New Roman" w:hAnsi="Times New Roman"/>
                <w:i/>
                <w:color w:val="000000"/>
                <w:sz w:val="22"/>
              </w:rPr>
              <w:t>*Any resultant fractional TRSUs will not become vested or payable and will instead be subject to the next vesting and payment date.</w:t>
            </w:r>
          </w:p>
        </w:tc>
      </w:tr>
      <w:tr>
        <w:trPr/>
        <w:tc>
          <w:tcPr>
            <w:tcW w:w="13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TRSUs:</w:t>
            </w:r>
          </w:p>
        </w:tc>
        <w:tc>
          <w:tcPr>
            <w:tcW w:w="88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long as (i) you do not incur a Termination of Service before the occurrence of any of the events listed below, except as provided by paragraphs (c) or (d) below for certain Qualifying Separations from Service or paragraph (f) for a Qualifying Retirement and (ii) you hold TRSUs at such time:</w:t>
            </w:r>
          </w:p>
          <w:p>
            <w:pPr>
              <w:pStyle w:val="TableContents"/>
              <w:bidi w:val="0"/>
              <w:spacing w:before="0" w:after="240"/>
              <w:jc w:val="both"/>
              <w:rPr>
                <w:rFonts w:ascii="Times New Roman" w:hAnsi="Times New Roman"/>
                <w:sz w:val="22"/>
              </w:rPr>
            </w:pPr>
            <w:r>
              <w:rPr>
                <w:rFonts w:ascii="Times New Roman" w:hAnsi="Times New Roman"/>
                <w:color w:val="000000"/>
                <w:sz w:val="22"/>
              </w:rPr>
              <w:t xml:space="preserve">(a) in connection with a Change in Control, the TRSUs may be substituted pursuant to </w:t>
            </w:r>
            <w:r>
              <w:rPr>
                <w:rFonts w:ascii="Times New Roman" w:hAnsi="Times New Roman"/>
                <w:color w:val="000000"/>
                <w:sz w:val="22"/>
                <w:u w:val="single"/>
              </w:rPr>
              <w:t>Section 12.4 of the Plan</w:t>
            </w:r>
            <w:r>
              <w:rPr>
                <w:rFonts w:ascii="Times New Roman" w:hAnsi="Times New Roman"/>
                <w:color w:val="000000"/>
                <w:sz w:val="22"/>
              </w:rPr>
              <w:t xml:space="preserve"> for a Replacement Award (as defined below), in which case the TRSUs will continue to vest in accordance with </w:t>
            </w:r>
            <w:r>
              <w:rPr>
                <w:rFonts w:ascii="Times New Roman" w:hAnsi="Times New Roman"/>
                <w:b/>
                <w:color w:val="000000"/>
                <w:sz w:val="22"/>
              </w:rPr>
              <w:t>Vesting and Payment of TRSUs</w:t>
            </w:r>
            <w:r>
              <w:rPr>
                <w:rFonts w:ascii="Times New Roman" w:hAnsi="Times New Roman"/>
                <w:color w:val="000000"/>
                <w:sz w:val="22"/>
              </w:rPr>
              <w:t xml:space="preserve"> above, subject to the terms of this </w:t>
            </w:r>
            <w:r>
              <w:rPr>
                <w:rFonts w:ascii="Times New Roman" w:hAnsi="Times New Roman"/>
                <w:b/>
                <w:color w:val="000000"/>
                <w:sz w:val="22"/>
              </w:rPr>
              <w:t>Accelerated Payment Events for TRSUs</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if a Replacement Award is issued and after the Change in Control the securities underlying the Replacement Award cease to be publicly traded on an established securities market, the Replacement Award will vest in full immediately before such securities cease to be publicly traded on an established securities market;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(b) if any outstanding TRSUs are not substituted in connection with a Change in Control for a Replacement Award, all such TRSUs will vest in full upon the Change in Control;</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 all outstanding TRSUs will vest in full on a Change in Control if you have a Qualifying Separation from Service (as defined below) either (i) within 90 days before the date a definitive agreement is executed that results in a Change in Control within 180 days after the date the definitive agreement is executed or (ii) on or within 180 days after the date a definitive agreement is executed that results in a Change in Control within 180 days after the date the definitive agreement is executed;</w:t>
            </w:r>
          </w:p>
          <w:p>
            <w:pPr>
              <w:pStyle w:val="TableContents"/>
              <w:bidi w:val="0"/>
              <w:spacing w:before="0" w:after="283"/>
              <w:jc w:val="both"/>
              <w:rPr>
                <w:rFonts w:ascii="Times New Roman" w:hAnsi="Times New Roman"/>
                <w:sz w:val="22"/>
              </w:rPr>
            </w:pPr>
            <w:r>
              <w:rPr>
                <w:rFonts w:ascii="Times New Roman" w:hAnsi="Times New Roman"/>
                <w:color w:val="000000"/>
                <w:sz w:val="22"/>
              </w:rPr>
              <w:t xml:space="preserve">(d) all outstanding TRSUs (other than under any Replacement Award) that are scheduled to vest under </w:t>
            </w:r>
            <w:r>
              <w:rPr>
                <w:rFonts w:ascii="Times New Roman" w:hAnsi="Times New Roman"/>
                <w:b/>
                <w:color w:val="000000"/>
                <w:sz w:val="22"/>
              </w:rPr>
              <w:t>Vesting and Payment of TRSUs</w:t>
            </w:r>
            <w:r>
              <w:rPr>
                <w:rFonts w:ascii="Times New Roman" w:hAnsi="Times New Roman"/>
                <w:color w:val="000000"/>
                <w:sz w:val="22"/>
              </w:rPr>
              <w:t xml:space="preserve"> above during the 18-month period after your Termination of Service will vest in full if you have a Qualifying Separation from Service before a Change in Control, and all remaining TRSUs will remain outstanding and eligible to vest pursuant to (c) immediately above, and if no definitive agreement is entered into within 90 days after such </w:t>
            </w:r>
          </w:p>
        </w:tc>
      </w:tr>
    </w:tbl>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Termination of Service as provided in (c), then all such TRSUs (other than under any Replacement Award) will be immediately forfeited;</w:t>
            </w:r>
          </w:p>
          <w:p>
            <w:pPr>
              <w:pStyle w:val="TableContents"/>
              <w:bidi w:val="0"/>
              <w:spacing w:before="0" w:after="240"/>
              <w:ind w:left="0" w:right="0" w:firstLine="346"/>
              <w:jc w:val="both"/>
              <w:rPr>
                <w:rFonts w:ascii="Times New Roman" w:hAnsi="Times New Roman"/>
                <w:sz w:val="22"/>
              </w:rPr>
            </w:pPr>
            <w:r>
              <w:rPr>
                <w:rFonts w:ascii="Times New Roman" w:hAnsi="Times New Roman"/>
                <w:color w:val="000000"/>
                <w:sz w:val="22"/>
              </w:rPr>
              <w:t>(e) a pro-rata portion of the TRSUs and each Replacement Award, as applicable, will vest upon your Termination of Service due to your Total and Permanent Disability or death, calculated by multiplying the number of TRSUs or shares underlying any Replacement Award scheduled to vest on the anniversary of the Date of Grant immediately after your Termination of Service by a fraction, the numerator of which is the number of days that have elapsed from the last anniversary of the Date of Grant (or if the Termination of Service occurs before the 1</w:t>
            </w:r>
            <w:r>
              <w:rPr>
                <w:rFonts w:ascii="Times New Roman" w:hAnsi="Times New Roman"/>
                <w:color w:val="000000"/>
                <w:sz w:val="15"/>
              </w:rPr>
              <w:t>st</w:t>
            </w:r>
            <w:r>
              <w:rPr>
                <w:rFonts w:ascii="Times New Roman" w:hAnsi="Times New Roman"/>
                <w:color w:val="000000"/>
                <w:sz w:val="22"/>
              </w:rPr>
              <w:t xml:space="preserve"> anniversary of the Date of Grant, then the number of days that have elapsed from the Date of Grant) through your Termination of Service, and the denominator of which will be 365; </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(f) notwithstanding the foregoing, upon a Qualifying Retirement (as defined below), all outstanding RSUs shall accelerate and vest in full; and</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(g) all Replacement Awards will vest in full upon your Qualifying Separation from Service or Qualifying Retirement, whichever occurs first.</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Qualifying Retirement</w:t>
            </w:r>
            <w:r>
              <w:rPr>
                <w:rFonts w:ascii="Times New Roman" w:hAnsi="Times New Roman"/>
                <w:color w:val="000000"/>
                <w:sz w:val="22"/>
              </w:rPr>
              <w:t>” means a Termination of Service due to voluntary retirement, provided that (i) such Termination of Service occurs on or after the date the individual has reached age 63 and has completed at least five years of service with the Company or the Company Group, (ii) such Termination of Service occurs more than one year after the Date of Grant, and (iii) the Company has not determined in good faith that Cause exists immediately prior to such Termination of Service.</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Qualifying Separation from Service</w:t>
            </w:r>
            <w:r>
              <w:rPr>
                <w:rFonts w:ascii="Times New Roman" w:hAnsi="Times New Roman"/>
                <w:color w:val="000000"/>
                <w:sz w:val="22"/>
              </w:rPr>
              <w:t>” means a Termination of Service (i) by the Company without Cause (including a notice of non-renewal of your employment agreement by the Company) or (ii) by you for Good Reason.</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Replacement Award</w:t>
            </w:r>
            <w:r>
              <w:rPr>
                <w:rFonts w:ascii="Times New Roman" w:hAnsi="Times New Roman"/>
                <w:color w:val="000000"/>
                <w:sz w:val="22"/>
              </w:rPr>
              <w:t>” means an award of restricted stock units in respect of common stock that is publicly traded on an established securities market with substantially equivalent terms as the replaced RSUs, including vesting terms and dividend equivalent rights, issued by the surviving or successor company or a parent or subsidiary of such company.</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Cause</w:t>
            </w:r>
            <w:r>
              <w:rPr>
                <w:rFonts w:ascii="Times New Roman" w:hAnsi="Times New Roman"/>
                <w:color w:val="000000"/>
                <w:sz w:val="22"/>
              </w:rPr>
              <w:t xml:space="preserve">” means (a) “Cause” as defined in your employment agreement, or (b) in the absence of such an agreement or such a definition, (i) your violation of the Company’s substance abuse policy; (ii) your refusal or inability (other than by reason of death or Total and Permanent Disability) to perform the duties assigned to you by the Company or your unacceptable performance of the same; (iii) acts or omissions evidencing a violation of your duties of loyalty and good faith, candor, fair and honest dealing, integrity, or full disclosure to the Company, as well as any acts or omissions by you that constitute self-dealing; (iv) disobedience of orders, policies, regulations, or directives issued to you by the Company, including policies related to sexual harassment, discrimination, computer use, or the like; (v) your conviction for or commission of a felony, a crime of moral turpitude, or a crime that could reasonably be expected to impair your ability to perform your job duties; (vi) revocation or suspension of any license or certification necessary for you to perform your duties to the Company; (vii) your willful generation of materially incorrect financial or engineering projections, compilations, or reports; or (viii) a false statement by you to obtain your position. </w:t>
            </w:r>
          </w:p>
        </w:tc>
      </w:tr>
    </w:tbl>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Good Reason</w:t>
            </w:r>
            <w:r>
              <w:rPr>
                <w:rFonts w:ascii="Times New Roman" w:hAnsi="Times New Roman"/>
                <w:color w:val="000000"/>
                <w:sz w:val="22"/>
              </w:rPr>
              <w:t>” means (a) “Good Reason” as defined in your employment agreement, or (b) in the absence of such an agreement or such a definition, (i) a material diminution of your authority or duties; (ii) a material reduction in your base salary, unless the reduction is a proportionate reduction of compensation for you and all other similarly situated employees of the Company; or (iii) a material breach of this Agreement by the Company.</w:t>
            </w:r>
          </w:p>
        </w:tc>
      </w:tr>
    </w:tbl>
    <w:p>
      <w:pPr>
        <w:pStyle w:val="TextBody"/>
        <w:bidi w:val="0"/>
        <w:spacing w:before="24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Applicable to PRSUs</w:t>
      </w:r>
    </w:p>
    <w:tbl>
      <w:tblPr>
        <w:tblW w:w="10205" w:type="dxa"/>
        <w:jc w:val="left"/>
        <w:tblInd w:w="0" w:type="dxa"/>
        <w:tblLayout w:type="fixed"/>
        <w:tblCellMar>
          <w:top w:w="28" w:type="dxa"/>
          <w:left w:w="28" w:type="dxa"/>
          <w:bottom w:w="28" w:type="dxa"/>
          <w:right w:w="28" w:type="dxa"/>
        </w:tblCellMar>
      </w:tblPr>
      <w:tblGrid>
        <w:gridCol w:w="1228"/>
        <w:gridCol w:w="8977"/>
      </w:tblGrid>
      <w:tr>
        <w:trPr/>
        <w:tc>
          <w:tcPr>
            <w:tcW w:w="1228" w:type="dxa"/>
            <w:tcBorders/>
            <w:vAlign w:val="center"/>
          </w:tcPr>
          <w:p>
            <w:pPr>
              <w:pStyle w:val="TableContents"/>
              <w:bidi w:val="0"/>
              <w:spacing w:before="0" w:after="283"/>
              <w:jc w:val="left"/>
              <w:rPr>
                <w:sz w:val="4"/>
                <w:szCs w:val="4"/>
              </w:rPr>
            </w:pPr>
            <w:r>
              <w:rPr>
                <w:sz w:val="4"/>
                <w:szCs w:val="4"/>
              </w:rPr>
            </w:r>
          </w:p>
        </w:tc>
        <w:tc>
          <w:tcPr>
            <w:tcW w:w="8977" w:type="dxa"/>
            <w:tcBorders/>
            <w:vAlign w:val="center"/>
          </w:tcPr>
          <w:p>
            <w:pPr>
              <w:pStyle w:val="TableContents"/>
              <w:bidi w:val="0"/>
              <w:spacing w:before="0" w:after="283"/>
              <w:jc w:val="left"/>
              <w:rPr>
                <w:sz w:val="4"/>
                <w:szCs w:val="4"/>
              </w:rPr>
            </w:pPr>
            <w:r>
              <w:rPr>
                <w:sz w:val="4"/>
                <w:szCs w:val="4"/>
              </w:rPr>
            </w:r>
          </w:p>
        </w:tc>
      </w:tr>
      <w:tr>
        <w:trPr/>
        <w:tc>
          <w:tcPr>
            <w:tcW w:w="122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Vesting and Payment of PRSUs:</w:t>
            </w:r>
          </w:p>
        </w:tc>
        <w:tc>
          <w:tcPr>
            <w:tcW w:w="897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Performance Period:</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The Performance Period applicable to the PRSUs (the “Performance Period”) shall begin on January 1 of the calendar year in which the Date of Grant occurs and shall end on December 31 of the third calendar year thereafter. The PRSUs shall vest, if at all, at the end of the three-year anniversary of the Date of Grant, subject to the Committee’s certification of performance. If the three-year anniversary of the Date of Grant falls on a weekend or a holiday, then the PRSUs shall vest and become payable on the next following business day. </w:t>
            </w:r>
          </w:p>
          <w:p>
            <w:pPr>
              <w:pStyle w:val="TableContents"/>
              <w:bidi w:val="0"/>
              <w:jc w:val="left"/>
              <w:rPr>
                <w:rFonts w:ascii="Times New Roman" w:hAnsi="Times New Roman"/>
                <w:b/>
                <w:color w:val="000000"/>
                <w:sz w:val="22"/>
              </w:rPr>
            </w:pPr>
            <w:r>
              <w:rPr>
                <w:rFonts w:ascii="Times New Roman" w:hAnsi="Times New Roman"/>
                <w:b/>
                <w:color w:val="000000"/>
                <w:sz w:val="22"/>
              </w:rPr>
              <w:t>Performance Metrics:</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The number of PRSUs that vest, if any, will be determined by the following process. </w:t>
            </w:r>
          </w:p>
          <w:p>
            <w:pPr>
              <w:pStyle w:val="TableContents"/>
              <w:bidi w:val="0"/>
              <w:spacing w:before="0" w:after="240"/>
              <w:jc w:val="both"/>
              <w:rPr>
                <w:color w:val="000000"/>
              </w:rPr>
            </w:pPr>
            <w:r>
              <w:rPr>
                <w:color w:val="000000"/>
              </w:rPr>
              <w:t>•</w:t>
            </w:r>
          </w:p>
          <w:p>
            <w:pPr>
              <w:pStyle w:val="TableContents"/>
              <w:bidi w:val="0"/>
              <w:spacing w:before="0" w:after="240"/>
              <w:jc w:val="both"/>
              <w:rPr/>
            </w:pPr>
            <w:r>
              <w:rPr>
                <w:rFonts w:ascii="Times New Roman" w:hAnsi="Times New Roman"/>
                <w:color w:val="000000"/>
                <w:sz w:val="22"/>
              </w:rPr>
              <w:t>Performance shall be measured as of December 31 in each calendar year falling wholly or partially within the Performance Period (each, a “</w:t>
            </w:r>
            <w:r>
              <w:rPr>
                <w:rFonts w:ascii="Times New Roman" w:hAnsi="Times New Roman"/>
                <w:color w:val="000000"/>
                <w:sz w:val="22"/>
                <w:u w:val="single"/>
              </w:rPr>
              <w:t>Covered Year</w:t>
            </w:r>
            <w:r>
              <w:rPr>
                <w:color w:val="000000"/>
              </w:rPr>
              <w:t>”</w:t>
            </w:r>
            <w:r>
              <w:rPr>
                <w:rFonts w:ascii="Times New Roman" w:hAnsi="Times New Roman"/>
                <w:color w:val="000000"/>
                <w:sz w:val="22"/>
              </w:rPr>
              <w:t>). The performance objective for each Covered Year shall be based on return on net assets (“</w:t>
            </w:r>
            <w:r>
              <w:rPr>
                <w:rFonts w:ascii="Times New Roman" w:hAnsi="Times New Roman"/>
                <w:color w:val="000000"/>
                <w:sz w:val="22"/>
                <w:u w:val="single"/>
              </w:rPr>
              <w:t>RONA</w:t>
            </w:r>
            <w:r>
              <w:rPr>
                <w:color w:val="000000"/>
              </w:rPr>
              <w:t>”</w:t>
            </w:r>
            <w:r>
              <w:rPr>
                <w:rFonts w:ascii="Times New Roman" w:hAnsi="Times New Roman"/>
                <w:color w:val="000000"/>
                <w:sz w:val="22"/>
              </w:rPr>
              <w:t>), as calculated by the Committee in its discretion, or such other performance goal as may be determined by the Committee in its sole discretion and shall be established by the 90</w:t>
            </w:r>
            <w:r>
              <w:rPr>
                <w:rFonts w:ascii="Times New Roman" w:hAnsi="Times New Roman"/>
                <w:color w:val="000000"/>
                <w:sz w:val="15"/>
              </w:rPr>
              <w:t>th</w:t>
            </w:r>
            <w:r>
              <w:rPr>
                <w:color w:val="000000"/>
              </w:rPr>
              <w:t xml:space="preserve"> </w:t>
            </w:r>
            <w:r>
              <w:rPr>
                <w:rFonts w:ascii="Times New Roman" w:hAnsi="Times New Roman"/>
                <w:color w:val="000000"/>
                <w:sz w:val="22"/>
              </w:rPr>
              <w:t>day after the start of the applicable Covered Year (the “</w:t>
            </w:r>
            <w:r>
              <w:rPr>
                <w:rFonts w:ascii="Times New Roman" w:hAnsi="Times New Roman"/>
                <w:color w:val="000000"/>
                <w:sz w:val="22"/>
                <w:u w:val="single"/>
              </w:rPr>
              <w:t>Performance Objective</w:t>
            </w:r>
            <w:r>
              <w:rPr>
                <w:color w:val="000000"/>
              </w:rPr>
              <w:t>”</w:t>
            </w:r>
            <w:r>
              <w:rPr>
                <w:rFonts w:ascii="Times New Roman" w:hAnsi="Times New Roman"/>
                <w:color w:val="000000"/>
                <w:sz w:val="22"/>
              </w:rPr>
              <w:t xml:space="preserve">). Each Performance Objective shall include threshold, target, and maximum performance levels, each with a corresponding percentage payout of the Target PRSUs, as reflected in the table below. </w:t>
            </w:r>
          </w:p>
          <w:p>
            <w:pPr>
              <w:pStyle w:val="TableContents"/>
              <w:bidi w:val="0"/>
              <w:spacing w:before="0" w:after="240"/>
              <w:jc w:val="both"/>
              <w:rPr>
                <w:color w:val="000000"/>
              </w:rPr>
            </w:pPr>
            <w:r>
              <w:rPr>
                <w:color w:val="000000"/>
              </w:rPr>
              <w:t>•</w:t>
            </w:r>
          </w:p>
          <w:p>
            <w:pPr>
              <w:pStyle w:val="TableContents"/>
              <w:bidi w:val="0"/>
              <w:spacing w:before="0" w:after="240"/>
              <w:jc w:val="both"/>
              <w:rPr/>
            </w:pPr>
            <w:r>
              <w:rPr>
                <w:rFonts w:ascii="Times New Roman" w:hAnsi="Times New Roman"/>
                <w:color w:val="000000"/>
                <w:sz w:val="22"/>
              </w:rPr>
              <w:t>Following the completion of each Covered Year, the Committee will determine the payout percentage that was attained for such year (each, a “</w:t>
            </w:r>
            <w:r>
              <w:rPr>
                <w:rFonts w:ascii="Times New Roman" w:hAnsi="Times New Roman"/>
                <w:color w:val="000000"/>
                <w:sz w:val="22"/>
                <w:u w:val="single"/>
              </w:rPr>
              <w:t>Payout Percentage</w:t>
            </w:r>
            <w:r>
              <w:rPr>
                <w:color w:val="000000"/>
              </w:rPr>
              <w:t>”</w:t>
            </w:r>
            <w:r>
              <w:rPr>
                <w:rFonts w:ascii="Times New Roman" w:hAnsi="Times New Roman"/>
                <w:color w:val="000000"/>
                <w:sz w:val="22"/>
              </w:rPr>
              <w:t xml:space="preserve">) and following the completion of the third Covered Year, the Committee will determine the total number of PRSUs eligible for vesting prior to the application of the TSR modifier in accordance with the following. The total number of PRSUs eligible for vesting, if any, based on the Performance Objective will equal (i) the Target PRSUs </w:t>
            </w:r>
            <w:r>
              <w:rPr>
                <w:rFonts w:ascii="Times New Roman" w:hAnsi="Times New Roman"/>
                <w:i/>
                <w:color w:val="000000"/>
                <w:sz w:val="22"/>
              </w:rPr>
              <w:t>multiplied by</w:t>
            </w:r>
            <w:r>
              <w:rPr>
                <w:color w:val="000000"/>
              </w:rPr>
              <w:t xml:space="preserve"> </w:t>
            </w:r>
            <w:r>
              <w:rPr>
                <w:rFonts w:ascii="Times New Roman" w:hAnsi="Times New Roman"/>
                <w:color w:val="000000"/>
                <w:sz w:val="22"/>
              </w:rPr>
              <w:t>(ii) the Average Payout Percentage (the “</w:t>
            </w:r>
            <w:r>
              <w:rPr>
                <w:rFonts w:ascii="Times New Roman" w:hAnsi="Times New Roman"/>
                <w:color w:val="000000"/>
                <w:sz w:val="22"/>
                <w:u w:val="single"/>
              </w:rPr>
              <w:t>Pre-Modifier PRSUs</w:t>
            </w:r>
            <w:r>
              <w:rPr>
                <w:color w:val="000000"/>
              </w:rPr>
              <w:t>”</w:t>
            </w:r>
            <w:r>
              <w:rPr>
                <w:rFonts w:ascii="Times New Roman" w:hAnsi="Times New Roman"/>
                <w:color w:val="000000"/>
                <w:sz w:val="22"/>
              </w:rPr>
              <w:t xml:space="preserve">). The Average Payout Percentage will equal (x) the sum of the Payout Percentages for each of the Covered Years </w:t>
            </w:r>
            <w:r>
              <w:rPr>
                <w:rFonts w:ascii="Times New Roman" w:hAnsi="Times New Roman"/>
                <w:i/>
                <w:color w:val="000000"/>
                <w:sz w:val="22"/>
              </w:rPr>
              <w:t>divided by</w:t>
            </w:r>
            <w:r>
              <w:rPr>
                <w:color w:val="000000"/>
              </w:rPr>
              <w:t xml:space="preserve"> </w:t>
            </w:r>
            <w:r>
              <w:rPr>
                <w:rFonts w:ascii="Times New Roman" w:hAnsi="Times New Roman"/>
                <w:color w:val="000000"/>
                <w:sz w:val="22"/>
              </w:rPr>
              <w:t>(y) the number of Covered Years.</w:t>
            </w:r>
          </w:p>
          <w:p>
            <w:pPr>
              <w:pStyle w:val="TableContents"/>
              <w:bidi w:val="0"/>
              <w:spacing w:before="0" w:after="240"/>
              <w:jc w:val="both"/>
              <w:rPr>
                <w:color w:val="000000"/>
              </w:rPr>
            </w:pPr>
            <w:r>
              <w:rPr>
                <w:color w:val="000000"/>
              </w:rPr>
              <w:t>•</w:t>
            </w:r>
          </w:p>
          <w:p>
            <w:pPr>
              <w:pStyle w:val="TableContents"/>
              <w:bidi w:val="0"/>
              <w:spacing w:before="0" w:after="240"/>
              <w:jc w:val="both"/>
              <w:rPr/>
            </w:pPr>
            <w:r>
              <w:rPr>
                <w:rFonts w:ascii="Times New Roman" w:hAnsi="Times New Roman"/>
                <w:color w:val="000000"/>
                <w:sz w:val="22"/>
              </w:rPr>
              <w:t xml:space="preserve">For the first Covered Year, the Performance Objective selected by the Committee is RONA and the Payout Percentage will be determined as set forth below. The method of calculating RONA is set forth on </w:t>
            </w:r>
            <w:r>
              <w:rPr>
                <w:rFonts w:ascii="Times New Roman" w:hAnsi="Times New Roman"/>
                <w:b/>
                <w:color w:val="000000"/>
                <w:sz w:val="22"/>
                <w:u w:val="single"/>
              </w:rPr>
              <w:t>Schedule 1</w:t>
            </w:r>
            <w:r>
              <w:rPr>
                <w:color w:val="000000"/>
              </w:rPr>
              <w:t xml:space="preserve"> </w:t>
            </w:r>
            <w:r>
              <w:rPr>
                <w:rFonts w:ascii="Times New Roman" w:hAnsi="Times New Roman"/>
                <w:color w:val="000000"/>
                <w:sz w:val="22"/>
              </w:rPr>
              <w:t>attached hereto; provided, however, that the Committee shall have full and final discretion with respect to the determination and calculation of RONA. For the avoidance of doubt, the Performance Objective for each subsequent Covered Year may differ from the Performance Objective applicable to the first Covered Year.</w:t>
            </w:r>
          </w:p>
        </w:tc>
      </w:tr>
    </w:tbl>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
        <w:gridCol w:w="9684"/>
      </w:tblGrid>
      <w:tr>
        <w:trPr/>
        <w:tc>
          <w:tcPr>
            <w:tcW w:w="521" w:type="dxa"/>
            <w:tcBorders/>
            <w:vAlign w:val="center"/>
          </w:tcPr>
          <w:p>
            <w:pPr>
              <w:pStyle w:val="TableContents"/>
              <w:bidi w:val="0"/>
              <w:spacing w:before="0" w:after="283"/>
              <w:jc w:val="left"/>
              <w:rPr>
                <w:sz w:val="4"/>
                <w:szCs w:val="4"/>
              </w:rPr>
            </w:pPr>
            <w:r>
              <w:rPr>
                <w:sz w:val="4"/>
                <w:szCs w:val="4"/>
              </w:rPr>
            </w:r>
          </w:p>
        </w:tc>
        <w:tc>
          <w:tcPr>
            <w:tcW w:w="9684" w:type="dxa"/>
            <w:tcBorders/>
            <w:vAlign w:val="center"/>
          </w:tcPr>
          <w:p>
            <w:pPr>
              <w:pStyle w:val="TableContents"/>
              <w:bidi w:val="0"/>
              <w:spacing w:before="0" w:after="283"/>
              <w:jc w:val="left"/>
              <w:rPr>
                <w:sz w:val="4"/>
                <w:szCs w:val="4"/>
              </w:rPr>
            </w:pPr>
            <w:r>
              <w:rPr>
                <w:sz w:val="4"/>
                <w:szCs w:val="4"/>
              </w:rPr>
            </w:r>
          </w:p>
        </w:tc>
      </w:tr>
      <w:tr>
        <w:trPr/>
        <w:tc>
          <w:tcPr>
            <w:tcW w:w="5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60"/>
              <w:jc w:val="left"/>
              <w:rPr/>
            </w:pPr>
            <w:r>
              <w:rPr/>
              <w:t> </w:t>
            </w:r>
          </w:p>
        </w:tc>
        <w:tc>
          <w:tcPr>
            <w:tcW w:w="968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ind w:left="0" w:right="0" w:firstLine="360"/>
              <w:jc w:val="left"/>
              <w:rPr/>
            </w:pPr>
            <w:r>
              <w:rPr/>
              <w:drawing>
                <wp:inline distT="0" distB="0" distL="0" distR="0">
                  <wp:extent cx="4981575"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4981575" cy="933450"/>
                          </a:xfrm>
                          <a:prstGeom prst="rect">
                            <a:avLst/>
                          </a:prstGeom>
                        </pic:spPr>
                      </pic:pic>
                    </a:graphicData>
                  </a:graphic>
                </wp:inline>
              </w:drawing>
            </w:r>
          </w:p>
          <w:p>
            <w:pPr>
              <w:pStyle w:val="TableContents"/>
              <w:bidi w:val="0"/>
              <w:ind w:left="0" w:right="0" w:firstLine="360"/>
              <w:jc w:val="both"/>
              <w:rPr>
                <w:rFonts w:ascii="Times New Roman" w:hAnsi="Times New Roman"/>
                <w:color w:val="000000"/>
                <w:sz w:val="22"/>
              </w:rPr>
            </w:pPr>
            <w:r>
              <w:rPr>
                <w:rFonts w:ascii="Times New Roman" w:hAnsi="Times New Roman"/>
                <w:color w:val="000000"/>
                <w:sz w:val="22"/>
              </w:rPr>
              <w:t>Straight line interpolation is used to determine the applicable Payout Percentage between threshold and target and between target and maximum performance levels. For the avoidance of doubt, in no event may the Payout Percentage of any Covered Year exceed 200%.</w:t>
            </w:r>
          </w:p>
          <w:p>
            <w:pPr>
              <w:pStyle w:val="TableContents"/>
              <w:bidi w:val="0"/>
              <w:ind w:left="0" w:right="0" w:firstLine="360"/>
              <w:jc w:val="left"/>
              <w:rPr/>
            </w:pPr>
            <w:r>
              <w:rPr/>
              <w:t> </w:t>
            </w:r>
          </w:p>
          <w:p>
            <w:pPr>
              <w:pStyle w:val="TableContents"/>
              <w:bidi w:val="0"/>
              <w:spacing w:before="0" w:after="240"/>
              <w:ind w:left="0" w:right="0" w:firstLine="360"/>
              <w:jc w:val="both"/>
              <w:rPr>
                <w:color w:val="000000"/>
              </w:rPr>
            </w:pPr>
            <w:r>
              <w:rPr>
                <w:color w:val="000000"/>
              </w:rPr>
              <w:t>•</w:t>
            </w:r>
          </w:p>
          <w:p>
            <w:pPr>
              <w:pStyle w:val="TableContents"/>
              <w:bidi w:val="0"/>
              <w:spacing w:before="0" w:after="240"/>
              <w:jc w:val="both"/>
              <w:rPr/>
            </w:pPr>
            <w:r>
              <w:rPr>
                <w:rFonts w:ascii="Times New Roman" w:hAnsi="Times New Roman"/>
                <w:b/>
                <w:color w:val="000000"/>
                <w:sz w:val="22"/>
              </w:rPr>
              <w:t>TSR Modifier</w:t>
            </w:r>
            <w:r>
              <w:rPr>
                <w:rFonts w:ascii="Times New Roman" w:hAnsi="Times New Roman"/>
                <w:color w:val="000000"/>
                <w:sz w:val="22"/>
              </w:rPr>
              <w:t xml:space="preserve">: The Pre-Modifier PRSUs, if any, shall then be subject to adjustment, based on the Company’s Total Shareholder Return (“TSR”) relative to the TSR of the companies in the Company’s peer group over the three-year Performance Period. Such adjustment shall be determined by multiplying the Pre-Modifier PRSUs by the TSR Multiplier Percentage, as set forth in the chart below. The application of the TSR Multiplier Percentage shall determine the final number of PRSUs eligible to vest, subject to the remaining terms and conditions of this Agreement. </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For purposes of this Agreement, TSR for the Company shall be expressed as a percentage and calculated according to the following formula: TSR = (Ending Average Stock Price / Beginning Average Stock Price) – 1. </w:t>
            </w:r>
          </w:p>
          <w:p>
            <w:pPr>
              <w:pStyle w:val="TableContents"/>
              <w:bidi w:val="0"/>
              <w:ind w:left="0" w:right="0" w:firstLine="360"/>
              <w:jc w:val="both"/>
              <w:rPr/>
            </w:pPr>
            <w:r>
              <w:rPr>
                <w:color w:val="000000"/>
              </w:rPr>
              <w:t>“</w:t>
            </w:r>
            <w:r>
              <w:rPr>
                <w:rFonts w:ascii="Times New Roman" w:hAnsi="Times New Roman"/>
                <w:color w:val="000000"/>
                <w:sz w:val="22"/>
                <w:u w:val="single"/>
              </w:rPr>
              <w:t>Accumulated Shares</w:t>
            </w:r>
            <w:r>
              <w:rPr>
                <w:rFonts w:ascii="Times New Roman" w:hAnsi="Times New Roman"/>
                <w:color w:val="000000"/>
                <w:sz w:val="22"/>
              </w:rPr>
              <w:t>” shall mean, for a given trading day, the sum of (i) one (1) share plus (ii) the cumulative number of shares of Common Stock of the Company purchasable with dividends declared on the Common Stock to that point during the period since the first day of the Beginning Average Period, assuming same day reinvestment of such dividends at the Closing Price on the ex-dividend date.</w:t>
            </w:r>
          </w:p>
          <w:p>
            <w:pPr>
              <w:pStyle w:val="TableContents"/>
              <w:bidi w:val="0"/>
              <w:ind w:left="0" w:right="0" w:firstLine="360"/>
              <w:jc w:val="both"/>
              <w:rPr/>
            </w:pPr>
            <w:r>
              <w:rPr/>
              <w:t> </w:t>
            </w:r>
          </w:p>
          <w:p>
            <w:pPr>
              <w:pStyle w:val="TableContents"/>
              <w:bidi w:val="0"/>
              <w:ind w:left="0" w:right="0" w:firstLine="360"/>
              <w:jc w:val="both"/>
              <w:rPr/>
            </w:pPr>
            <w:r>
              <w:rPr>
                <w:color w:val="000000"/>
              </w:rPr>
              <w:t>“</w:t>
            </w:r>
            <w:r>
              <w:rPr>
                <w:rFonts w:ascii="Times New Roman" w:hAnsi="Times New Roman"/>
                <w:color w:val="000000"/>
                <w:sz w:val="22"/>
                <w:u w:val="single"/>
              </w:rPr>
              <w:t>Beginning Average Period</w:t>
            </w:r>
            <w:r>
              <w:rPr>
                <w:rFonts w:ascii="Times New Roman" w:hAnsi="Times New Roman"/>
                <w:color w:val="000000"/>
                <w:sz w:val="22"/>
              </w:rPr>
              <w:t xml:space="preserve">” shall mean the twenty (20) trading days immediately preceding the first day of the Performance Period. </w:t>
            </w:r>
          </w:p>
          <w:p>
            <w:pPr>
              <w:pStyle w:val="TableContents"/>
              <w:bidi w:val="0"/>
              <w:ind w:left="0" w:right="0" w:firstLine="360"/>
              <w:jc w:val="both"/>
              <w:rPr/>
            </w:pPr>
            <w:r>
              <w:rPr/>
              <w:t> </w:t>
            </w:r>
          </w:p>
          <w:p>
            <w:pPr>
              <w:pStyle w:val="TableContents"/>
              <w:bidi w:val="0"/>
              <w:ind w:left="0" w:right="0" w:firstLine="360"/>
              <w:jc w:val="both"/>
              <w:rPr/>
            </w:pPr>
            <w:r>
              <w:rPr>
                <w:color w:val="000000"/>
              </w:rPr>
              <w:t>“</w:t>
            </w:r>
            <w:r>
              <w:rPr>
                <w:rFonts w:ascii="Times New Roman" w:hAnsi="Times New Roman"/>
                <w:color w:val="000000"/>
                <w:sz w:val="22"/>
                <w:u w:val="single"/>
              </w:rPr>
              <w:t>Beginning Average Stock Price</w:t>
            </w:r>
            <w:r>
              <w:rPr>
                <w:rFonts w:ascii="Times New Roman" w:hAnsi="Times New Roman"/>
                <w:color w:val="000000"/>
                <w:sz w:val="22"/>
              </w:rPr>
              <w:t xml:space="preserve">” shall mean the arithmetic mean of daily Closing Prices multiplied by Accumulated Shares over the Beginning Average Period. </w:t>
            </w:r>
          </w:p>
          <w:p>
            <w:pPr>
              <w:pStyle w:val="TableContents"/>
              <w:bidi w:val="0"/>
              <w:ind w:left="0" w:right="0" w:firstLine="360"/>
              <w:jc w:val="both"/>
              <w:rPr/>
            </w:pPr>
            <w:r>
              <w:rPr/>
              <w:t> </w:t>
            </w:r>
          </w:p>
          <w:p>
            <w:pPr>
              <w:pStyle w:val="TableContents"/>
              <w:bidi w:val="0"/>
              <w:ind w:left="0" w:right="0" w:firstLine="360"/>
              <w:jc w:val="both"/>
              <w:rPr/>
            </w:pPr>
            <w:r>
              <w:rPr>
                <w:color w:val="000000"/>
              </w:rPr>
              <w:t>“</w:t>
            </w:r>
            <w:r>
              <w:rPr>
                <w:rFonts w:ascii="Times New Roman" w:hAnsi="Times New Roman"/>
                <w:color w:val="000000"/>
                <w:sz w:val="22"/>
                <w:u w:val="single"/>
              </w:rPr>
              <w:t>Closing Price</w:t>
            </w:r>
            <w:r>
              <w:rPr>
                <w:rFonts w:ascii="Times New Roman" w:hAnsi="Times New Roman"/>
                <w:color w:val="000000"/>
                <w:sz w:val="22"/>
              </w:rPr>
              <w:t xml:space="preserve">” shall mean for a given trading day, the closing price of a share of Common Stock on the primary U.S. stock exchange on which the Common Stock is principally traded. </w:t>
            </w:r>
          </w:p>
          <w:p>
            <w:pPr>
              <w:pStyle w:val="TableContents"/>
              <w:bidi w:val="0"/>
              <w:ind w:left="0" w:right="0" w:firstLine="360"/>
              <w:jc w:val="both"/>
              <w:rPr/>
            </w:pPr>
            <w:r>
              <w:rPr/>
              <w:t> </w:t>
            </w:r>
          </w:p>
          <w:p>
            <w:pPr>
              <w:pStyle w:val="TableContents"/>
              <w:bidi w:val="0"/>
              <w:ind w:left="0" w:right="0" w:firstLine="360"/>
              <w:jc w:val="both"/>
              <w:rPr/>
            </w:pPr>
            <w:r>
              <w:rPr>
                <w:color w:val="000000"/>
              </w:rPr>
              <w:t>“</w:t>
            </w:r>
            <w:r>
              <w:rPr>
                <w:rFonts w:ascii="Times New Roman" w:hAnsi="Times New Roman"/>
                <w:color w:val="000000"/>
                <w:sz w:val="22"/>
                <w:u w:val="single"/>
              </w:rPr>
              <w:t>Ending Average Period</w:t>
            </w:r>
            <w:r>
              <w:rPr>
                <w:rFonts w:ascii="Times New Roman" w:hAnsi="Times New Roman"/>
                <w:color w:val="000000"/>
                <w:sz w:val="22"/>
              </w:rPr>
              <w:t>” shall mean the twenty (20) trading days ending on and including the last day of the Performance Period.</w:t>
            </w:r>
          </w:p>
          <w:p>
            <w:pPr>
              <w:pStyle w:val="TableContents"/>
              <w:bidi w:val="0"/>
              <w:ind w:left="0" w:right="0" w:firstLine="360"/>
              <w:jc w:val="both"/>
              <w:rPr/>
            </w:pPr>
            <w:r>
              <w:rPr/>
              <w:t> </w:t>
            </w:r>
          </w:p>
          <w:p>
            <w:pPr>
              <w:pStyle w:val="TableContents"/>
              <w:bidi w:val="0"/>
              <w:ind w:left="0" w:right="0" w:firstLine="360"/>
              <w:jc w:val="both"/>
              <w:rPr/>
            </w:pPr>
            <w:r>
              <w:rPr>
                <w:color w:val="000000"/>
              </w:rPr>
              <w:t>“</w:t>
            </w:r>
            <w:r>
              <w:rPr>
                <w:rFonts w:ascii="Times New Roman" w:hAnsi="Times New Roman"/>
                <w:color w:val="000000"/>
                <w:sz w:val="22"/>
                <w:u w:val="single"/>
              </w:rPr>
              <w:t>Ending Average Stock Price</w:t>
            </w:r>
            <w:r>
              <w:rPr>
                <w:rFonts w:ascii="Times New Roman" w:hAnsi="Times New Roman"/>
                <w:color w:val="000000"/>
                <w:sz w:val="22"/>
              </w:rPr>
              <w:t xml:space="preserve">” shall mean the arithmetic mean of daily Closing Prices multiplied by Accumulated Shares over the Ending Average Period. </w:t>
            </w:r>
          </w:p>
          <w:p>
            <w:pPr>
              <w:pStyle w:val="TableContents"/>
              <w:bidi w:val="0"/>
              <w:ind w:left="0" w:right="0" w:firstLine="360"/>
              <w:jc w:val="both"/>
              <w:rPr/>
            </w:pPr>
            <w:r>
              <w:rPr/>
              <w:t> </w:t>
            </w:r>
          </w:p>
          <w:p>
            <w:pPr>
              <w:pStyle w:val="TableContents"/>
              <w:bidi w:val="0"/>
              <w:ind w:left="0" w:right="0" w:firstLine="360"/>
              <w:jc w:val="both"/>
              <w:rPr/>
            </w:pPr>
            <w:r>
              <w:rPr/>
              <w:t> </w:t>
            </w:r>
          </w:p>
          <w:p>
            <w:pPr>
              <w:pStyle w:val="TableContents"/>
              <w:bidi w:val="0"/>
              <w:ind w:left="0" w:right="0" w:firstLine="360"/>
              <w:jc w:val="both"/>
              <w:rPr/>
            </w:pPr>
            <w:r>
              <w:rPr/>
              <w:drawing>
                <wp:inline distT="0" distB="0" distL="0" distR="0">
                  <wp:extent cx="4981575" cy="1085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4981575" cy="1085850"/>
                          </a:xfrm>
                          <a:prstGeom prst="rect">
                            <a:avLst/>
                          </a:prstGeom>
                        </pic:spPr>
                      </pic:pic>
                    </a:graphicData>
                  </a:graphic>
                </wp:inline>
              </w:drawing>
            </w:r>
          </w:p>
          <w:p>
            <w:pPr>
              <w:pStyle w:val="TableContents"/>
              <w:bidi w:val="0"/>
              <w:ind w:left="0" w:right="0" w:firstLine="360"/>
              <w:jc w:val="both"/>
              <w:rPr/>
            </w:pPr>
            <w:r>
              <w:rPr/>
              <w:t> </w:t>
            </w:r>
          </w:p>
          <w:p>
            <w:pPr>
              <w:pStyle w:val="TableContents"/>
              <w:bidi w:val="0"/>
              <w:spacing w:before="0" w:after="283"/>
              <w:ind w:left="0" w:right="0" w:firstLine="360"/>
              <w:jc w:val="lef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7"/>
        <w:gridCol w:w="8668"/>
      </w:tblGrid>
      <w:tr>
        <w:trPr/>
        <w:tc>
          <w:tcPr>
            <w:tcW w:w="1537" w:type="dxa"/>
            <w:tcBorders/>
            <w:vAlign w:val="center"/>
          </w:tcPr>
          <w:p>
            <w:pPr>
              <w:pStyle w:val="TableContents"/>
              <w:bidi w:val="0"/>
              <w:spacing w:before="0" w:after="283"/>
              <w:jc w:val="left"/>
              <w:rPr>
                <w:sz w:val="4"/>
                <w:szCs w:val="4"/>
              </w:rPr>
            </w:pPr>
            <w:r>
              <w:rPr>
                <w:sz w:val="4"/>
                <w:szCs w:val="4"/>
              </w:rPr>
            </w:r>
          </w:p>
        </w:tc>
        <w:tc>
          <w:tcPr>
            <w:tcW w:w="8668" w:type="dxa"/>
            <w:tcBorders/>
            <w:vAlign w:val="center"/>
          </w:tcPr>
          <w:p>
            <w:pPr>
              <w:pStyle w:val="TableContents"/>
              <w:bidi w:val="0"/>
              <w:spacing w:before="0" w:after="283"/>
              <w:jc w:val="left"/>
              <w:rPr>
                <w:sz w:val="4"/>
                <w:szCs w:val="4"/>
              </w:rPr>
            </w:pPr>
            <w:r>
              <w:rPr>
                <w:sz w:val="4"/>
                <w:szCs w:val="4"/>
              </w:rPr>
            </w:r>
          </w:p>
        </w:tc>
      </w:tr>
      <w:tr>
        <w:trPr/>
        <w:tc>
          <w:tcPr>
            <w:tcW w:w="153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866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 xml:space="preserve">If the Company’s TSR as compared to the Peer Group’s TSR is between the prescribed threshold and maximum percentages set forth in the chart below, the PRSUs will partially vest on a pro rata basis. Notwithstanding the foregoing, if the Company’s TSR for the Performance Period is negative, the application of the TSR Multiplier Percentage shall be capped at the “Target” level prescribed in the chart above. </w:t>
            </w:r>
          </w:p>
          <w:p>
            <w:pPr>
              <w:pStyle w:val="TableContents"/>
              <w:bidi w:val="0"/>
              <w:jc w:val="both"/>
              <w:rPr/>
            </w:pPr>
            <w:r>
              <w:rPr/>
              <w:t> </w:t>
            </w:r>
          </w:p>
          <w:p>
            <w:pPr>
              <w:pStyle w:val="TableContents"/>
              <w:bidi w:val="0"/>
              <w:jc w:val="both"/>
              <w:rPr>
                <w:rFonts w:ascii="Times New Roman" w:hAnsi="Times New Roman"/>
                <w:color w:val="000000"/>
                <w:sz w:val="22"/>
              </w:rPr>
            </w:pPr>
            <w:r>
              <w:rPr>
                <w:rFonts w:ascii="Times New Roman" w:hAnsi="Times New Roman"/>
                <w:color w:val="000000"/>
                <w:sz w:val="22"/>
              </w:rPr>
              <w:t>TSR calculations shall be adjusted to reflect stock splits, reverse stock splits, or other similar corporate transactions as determined in the sole discretion of the Committee. The Committee shall also have authority to make equitable adjustments to the Peer Group and percentile determinations in the event of extraordinary corporate transactions or changes affecting one or more members of the Peer Group. All calculations will be done by the Committee and will be final, binding, and conclusive on all persons and entities for all purposes under this Agreement.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i/>
                <w:color w:val="000000"/>
                <w:sz w:val="22"/>
              </w:rPr>
              <w:t>(1) For TSR performance metric the Company’s peer group includes AdvanSix Inc., Intrepid Potash, Inc., The Mosaic Company, Nutrien Ltd., CF Industries Holdings, Inc., Avient Corporation, Olin Corporation, and Methanex Corporation (collectively, the “</w:t>
            </w:r>
            <w:r>
              <w:rPr>
                <w:rFonts w:ascii="Times New Roman" w:hAnsi="Times New Roman"/>
                <w:i/>
                <w:color w:val="000000"/>
                <w:sz w:val="22"/>
                <w:u w:val="single"/>
              </w:rPr>
              <w:t>Peer Group</w:t>
            </w:r>
            <w:r>
              <w:rPr>
                <w:rFonts w:ascii="Times New Roman" w:hAnsi="Times New Roman"/>
                <w:color w:val="000000"/>
                <w:sz w:val="22"/>
              </w:rPr>
              <w:t>”</w:t>
            </w:r>
            <w:r>
              <w:rPr>
                <w:rFonts w:ascii="Times New Roman" w:hAnsi="Times New Roman"/>
                <w:i/>
                <w:color w:val="000000"/>
                <w:sz w:val="22"/>
              </w:rPr>
              <w:t>).</w:t>
            </w:r>
          </w:p>
          <w:p>
            <w:pPr>
              <w:pStyle w:val="TableContents"/>
              <w:bidi w:val="0"/>
              <w:spacing w:before="0" w:after="283"/>
              <w:jc w:val="both"/>
              <w:rPr/>
            </w:pPr>
            <w:r>
              <w:rPr/>
              <w:t> </w:t>
            </w:r>
          </w:p>
        </w:tc>
      </w:tr>
      <w:tr>
        <w:trPr/>
        <w:tc>
          <w:tcPr>
            <w:tcW w:w="15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PRSUs:</w:t>
            </w:r>
          </w:p>
        </w:tc>
        <w:tc>
          <w:tcPr>
            <w:tcW w:w="86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long as (i) you do not incur a Termination of Service before the occurrence of any of the events listed below, except as provided below for certain Qualifying Separations from Service, a Qualifying Retirement, your death and Total and Permanent Disability, and (ii) you hold PRSUs at such time:</w:t>
            </w:r>
          </w:p>
          <w:p>
            <w:pPr>
              <w:pStyle w:val="TableContents"/>
              <w:bidi w:val="0"/>
              <w:spacing w:before="0" w:after="240"/>
              <w:jc w:val="both"/>
              <w:rPr>
                <w:rFonts w:ascii="Times New Roman" w:hAnsi="Times New Roman"/>
                <w:sz w:val="22"/>
              </w:rPr>
            </w:pPr>
            <w:r>
              <w:rPr>
                <w:rFonts w:ascii="Times New Roman" w:hAnsi="Times New Roman"/>
                <w:color w:val="000000"/>
                <w:sz w:val="22"/>
              </w:rPr>
              <w:t>(a) if a Change in Control occurs before the end of the Performance Period, then the portion of the Target PRSUs that are eligible to vest under this Agreement will be determined solely by the Committee immediately before the Change in Control and will equal the greater of (x) the number of Target PRSUs and (y) the portion of the Target PRSUs that are eligible to vest under this Agreement based on actual performance, as determined solely by the Committee before the Change in Control by (1) shortening the Performance Period to end on the date of the Change in Control, (2) adjusting the applicable performance goals set forth immediately above as appropriate based on the shortened Performance Period, and (3) determining the level of achievement of such goals based on such shortened Performance Period ((x) or (y), as applicable, the “</w:t>
            </w:r>
            <w:r>
              <w:rPr>
                <w:rFonts w:ascii="Times New Roman" w:hAnsi="Times New Roman"/>
                <w:color w:val="000000"/>
                <w:sz w:val="22"/>
                <w:u w:val="single"/>
              </w:rPr>
              <w:t>CIC PRSUs</w:t>
            </w:r>
            <w:r>
              <w:rPr>
                <w:rFonts w:ascii="Times New Roman" w:hAnsi="Times New Roman"/>
                <w:color w:val="000000"/>
                <w:sz w:val="22"/>
              </w:rPr>
              <w:t>”);</w:t>
            </w:r>
          </w:p>
          <w:p>
            <w:pPr>
              <w:pStyle w:val="TableContents"/>
              <w:bidi w:val="0"/>
              <w:spacing w:before="0" w:after="240"/>
              <w:jc w:val="both"/>
              <w:rPr>
                <w:rFonts w:ascii="Times New Roman" w:hAnsi="Times New Roman"/>
                <w:sz w:val="22"/>
              </w:rPr>
            </w:pPr>
            <w:r>
              <w:rPr>
                <w:rFonts w:ascii="Times New Roman" w:hAnsi="Times New Roman"/>
                <w:color w:val="000000"/>
                <w:sz w:val="22"/>
              </w:rPr>
              <w:t xml:space="preserve">(b) in connection with a Change in Control, the CIC PRSUs may be substituted pursuant to </w:t>
            </w:r>
            <w:r>
              <w:rPr>
                <w:rFonts w:ascii="Times New Roman" w:hAnsi="Times New Roman"/>
                <w:color w:val="000000"/>
                <w:sz w:val="22"/>
                <w:u w:val="single"/>
              </w:rPr>
              <w:t>Section 12.4 of the Plan</w:t>
            </w:r>
            <w:r>
              <w:rPr>
                <w:rFonts w:ascii="Times New Roman" w:hAnsi="Times New Roman"/>
                <w:color w:val="000000"/>
                <w:sz w:val="22"/>
              </w:rPr>
              <w:t xml:space="preserve"> for a Replacement Award, </w:t>
            </w:r>
            <w:r>
              <w:rPr>
                <w:rFonts w:ascii="Times New Roman" w:hAnsi="Times New Roman"/>
                <w:color w:val="000000"/>
                <w:sz w:val="22"/>
                <w:u w:val="single"/>
              </w:rPr>
              <w:t>provided</w:t>
            </w:r>
            <w:r>
              <w:rPr>
                <w:rFonts w:ascii="Times New Roman" w:hAnsi="Times New Roman"/>
                <w:color w:val="000000"/>
                <w:sz w:val="22"/>
              </w:rPr>
              <w:t xml:space="preserve"> that any Replacement Award will vest solely based on your continued service with the Company and its Subsidiaries through the last day of the original Performance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a Replacement Award is issued and after the Change in Control the equity securities underlying the Replacement Award cease to be publicly traded on an established securities market, the Replacement Award will vest in full immediately prior to such equity securities ceasing to be publicly traded on an established securities market;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 if the CIC PRSUs are not substituted in connection with a Change in Control with a Replacement Award, the CIC PRSUs will vest in full upon a Change in Control such that you may participate as a stockholder in such Change in Control or, if determined by the Committee, the value of such CIC PRSUs may be paid to you in cash;</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 all Replacement Awards will vest in full upon your Qualifying Separation from Service or Qualifying Retirement;</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(e) the CIC PRSUs will vest in full on a Change in Control if you have a Qualifying Separation from Service either (i) within 90 days before the date a definitive agreement is executed that results in a Change in Control within 180 days after the date such definitive agreement </w:t>
            </w:r>
          </w:p>
        </w:tc>
      </w:tr>
    </w:tbl>
    <w:p>
      <w:pPr>
        <w:pStyle w:val="TextBody"/>
        <w:bidi w:val="0"/>
        <w:jc w:val="center"/>
        <w:rPr>
          <w:rFonts w:ascii="Times New Roman" w:hAnsi="Times New Roman"/>
          <w:color w:val="000000"/>
          <w:sz w:val="22"/>
        </w:rPr>
      </w:pPr>
      <w:r>
        <w:rPr>
          <w:rFonts w:ascii="Times New Roman" w:hAnsi="Times New Roman"/>
          <w:color w:val="000000"/>
          <w:sz w:val="22"/>
        </w:rPr>
        <w:t>A-5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is executed or (ii) on or within 180 days after the date a definitive agreement is executed that results in a Change in Control within 180 days after the date such definitive agreement is executed, and the value of such CIC PRSUs may be paid to you in cash;</w:t>
            </w:r>
          </w:p>
          <w:p>
            <w:pPr>
              <w:pStyle w:val="TableContents"/>
              <w:bidi w:val="0"/>
              <w:spacing w:before="0" w:after="240"/>
              <w:ind w:left="0" w:right="0" w:firstLine="346"/>
              <w:jc w:val="both"/>
              <w:rPr>
                <w:rFonts w:ascii="Times New Roman" w:hAnsi="Times New Roman"/>
                <w:sz w:val="22"/>
              </w:rPr>
            </w:pPr>
            <w:r>
              <w:rPr>
                <w:rFonts w:ascii="Times New Roman" w:hAnsi="Times New Roman"/>
                <w:color w:val="000000"/>
                <w:sz w:val="22"/>
              </w:rPr>
              <w:t xml:space="preserve">(f) if you incur a Termination of Service due to your Total and Permanent Disability or death before a Change in Control, at the end of the Performance Period (or the date of the consummation of a Change in Control, if earlier, where there is no Replacement Award), you will vest in a pro-rata portion of the Target PRSUs based on actual performance, as determined by the Committee at the end of the Performance Period (or the date of the consummation of a Change in Control, if earlier) based on the level of achievement of the applicable performance measures for the Performance Period, as adjusted pursuant to clause (a) of this </w:t>
            </w:r>
            <w:r>
              <w:rPr>
                <w:rFonts w:ascii="Times New Roman" w:hAnsi="Times New Roman"/>
                <w:b/>
                <w:color w:val="000000"/>
                <w:sz w:val="22"/>
              </w:rPr>
              <w:t>Accelerated Payment Events for PRSUs</w:t>
            </w:r>
            <w:r>
              <w:rPr>
                <w:rFonts w:ascii="Times New Roman" w:hAnsi="Times New Roman"/>
                <w:color w:val="000000"/>
                <w:sz w:val="22"/>
              </w:rPr>
              <w:t xml:space="preserve">, with such pro-rata portion calculated by multiplying the number of Target PRSUs that are eligible to vest under this Agreement, if any, by a fraction, the numerator of which is the number of days that have elapsed from the beginning of the Performance Period through your Termination of Service and the denominator of which will be the total number of days in the Performance Period (or, if a Change in Control occurs before the end of the Performance Period and there is no Replacement Award, the total number of days from the beginning of the Performance Period through the date of the Change in Control); </w:t>
            </w:r>
            <w:r>
              <w:rPr>
                <w:rFonts w:ascii="Times New Roman" w:hAnsi="Times New Roman"/>
                <w:color w:val="000000"/>
                <w:sz w:val="22"/>
                <w:u w:val="single"/>
              </w:rPr>
              <w:t>provided</w:t>
            </w:r>
            <w:r>
              <w:rPr>
                <w:rFonts w:ascii="Times New Roman" w:hAnsi="Times New Roman"/>
                <w:color w:val="000000"/>
                <w:sz w:val="22"/>
              </w:rPr>
              <w:t> that if there is earlier vesting upon a Change in Control where there is no Replacement Award, the value of the vested PRSUs may be paid to you in cash;</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 xml:space="preserve">(g) a pro-rata portion of any Replacement Award will vest upon the your Termination of Service due to your Total and Permanent Disability or death at the end of the Performance Period (or, if earlier, upon a subsequent Change in Control), with such pro-rata portion calculated by multiplying the number of shares covered by the Replacement Award by a fraction, the numerator of which is the number of days that have elapsed from the beginning of the Performance Period through your Termination of Service and the denominator of which is the total number of days in the Performance Period; </w:t>
            </w:r>
          </w:p>
          <w:p>
            <w:pPr>
              <w:pStyle w:val="TableContents"/>
              <w:bidi w:val="0"/>
              <w:spacing w:before="0" w:after="240"/>
              <w:ind w:left="0" w:right="0" w:firstLine="346"/>
              <w:jc w:val="both"/>
              <w:rPr>
                <w:rFonts w:ascii="Times New Roman" w:hAnsi="Times New Roman"/>
                <w:sz w:val="22"/>
              </w:rPr>
            </w:pPr>
            <w:r>
              <w:rPr>
                <w:rFonts w:ascii="Times New Roman" w:hAnsi="Times New Roman"/>
                <w:color w:val="000000"/>
                <w:sz w:val="22"/>
              </w:rPr>
              <w:t xml:space="preserve">(h) if, before a Change in Control, you incur a Qualifying Separation from Service, you will vest at the end of the Performance Period (or the date of a Change in Control, if earlier, where there is no Replacement Award) in a pro-rata portion of the Target PRSUs, with such pro-rata portion calculated by multiplying (i) the number of Target PRSUs that are eligible to vest under this Agreement, if any, based on actual performance, determined at the end of the Performance Period (or the date of the Change in Control, if earlier) based on the level of achievement of the applicable performance measures for the Performance Period, as adjusted pursuant to clause (a) of this </w:t>
            </w:r>
            <w:r>
              <w:rPr>
                <w:rFonts w:ascii="Times New Roman" w:hAnsi="Times New Roman"/>
                <w:b/>
                <w:color w:val="000000"/>
                <w:sz w:val="22"/>
              </w:rPr>
              <w:t>Accelerated Payment Events for PRSUs</w:t>
            </w:r>
            <w:r>
              <w:rPr>
                <w:rFonts w:ascii="Times New Roman" w:hAnsi="Times New Roman"/>
                <w:color w:val="000000"/>
                <w:sz w:val="22"/>
              </w:rPr>
              <w:t xml:space="preserve">, by (ii) a fraction, the numerator of which is the number of days that have elapsed from the beginning of the Performance Period through your Qualifying Separation from Service and the denominator of which is the total number of days in the Performance Period (or, if a Change in Control occurs before the end of the Performance Period and there is no Replacement Award, the total number of days from the beginning of the Performance Period through the date of the Change in Control); </w:t>
            </w:r>
            <w:r>
              <w:rPr>
                <w:rFonts w:ascii="Times New Roman" w:hAnsi="Times New Roman"/>
                <w:color w:val="000000"/>
                <w:sz w:val="22"/>
                <w:u w:val="single"/>
              </w:rPr>
              <w:t>provided</w:t>
            </w:r>
            <w:r>
              <w:rPr>
                <w:rFonts w:ascii="Times New Roman" w:hAnsi="Times New Roman"/>
                <w:color w:val="000000"/>
                <w:sz w:val="22"/>
              </w:rPr>
              <w:t> that if there is earlier vesting upon a Change in Control where there is no Replacement Award, the value of the vested PRSUs may be paid to you in cash; and</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(i) notwithstanding the foregoing, upon a Qualifying Retirement, all outstanding PRSUs, including any PRSUs subject to a Replacement Award, shall accelerate and vest in full at the greater of (i) the Target PRSUs and (ii) the number of PRSUs earned based on actual performance through the date of such Qualifying Retirement, as determined by the Committee in its sole discretion.</w:t>
            </w:r>
          </w:p>
        </w:tc>
      </w:tr>
    </w:tbl>
    <w:p>
      <w:pPr>
        <w:pStyle w:val="TextBody"/>
        <w:bidi w:val="0"/>
        <w:jc w:val="center"/>
        <w:rPr>
          <w:rFonts w:ascii="Times New Roman" w:hAnsi="Times New Roman"/>
          <w:color w:val="000000"/>
          <w:sz w:val="22"/>
        </w:rPr>
      </w:pPr>
      <w:r>
        <w:rPr>
          <w:rFonts w:ascii="Times New Roman" w:hAnsi="Times New Roman"/>
          <w:color w:val="000000"/>
          <w:sz w:val="22"/>
        </w:rPr>
        <w:t>A-6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1004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For the avoidance of doubt, the Committee retains full discretion to determine performance for any partial-year periods resulting from the acceleration events described above.</w:t>
            </w:r>
          </w:p>
        </w:tc>
      </w:tr>
    </w:tbl>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LSB INDUSTRIES, INC.</w:t>
      </w:r>
    </w:p>
    <w:p>
      <w:pPr>
        <w:pStyle w:val="TextBody"/>
        <w:bidi w:val="0"/>
        <w:jc w:val="center"/>
        <w:rPr>
          <w:rFonts w:ascii="Times New Roman" w:hAnsi="Times New Roman"/>
          <w:b/>
          <w:color w:val="000000"/>
          <w:sz w:val="22"/>
        </w:rPr>
      </w:pPr>
      <w:r>
        <w:rPr>
          <w:rFonts w:ascii="Times New Roman" w:hAnsi="Times New Roman"/>
          <w:b/>
          <w:color w:val="000000"/>
          <w:sz w:val="22"/>
        </w:rPr>
        <w:t>2025 LONG-TERM INCENTIVE PLAN</w:t>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color w:val="000000"/>
          <w:sz w:val="24"/>
        </w:rPr>
        <w:t>The LSB Industries, Inc. 2025 Long-Term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was adopted by the Board of Directors of LSB Industries,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effective as of April 9, 2025 (the “</w:t>
      </w:r>
      <w:r>
        <w:rPr>
          <w:rFonts w:ascii="Times New Roman" w:hAnsi="Times New Roman"/>
          <w:b/>
          <w:i/>
          <w:color w:val="000000"/>
          <w:sz w:val="24"/>
        </w:rPr>
        <w:t>Board Approval Date</w:t>
      </w:r>
      <w:r>
        <w:rPr>
          <w:rFonts w:ascii="Times New Roman" w:hAnsi="Times New Roman"/>
          <w:color w:val="000000"/>
          <w:sz w:val="20"/>
        </w:rPr>
        <w:t>”</w:t>
      </w:r>
      <w:r>
        <w:rPr>
          <w:rFonts w:ascii="Times New Roman" w:hAnsi="Times New Roman"/>
          <w:color w:val="000000"/>
          <w:sz w:val="24"/>
        </w:rPr>
        <w:t>) to be effective as of the date the Plan is approved by the Company’s stockholders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purpose of the Plan is to attract and retain the services of key Employees, key Contractors, and Outside Directors of the Company and its Subsidiaries and to provide such persons with a proprietary interest in the Company through the granting of Incentive Stock Options, Nonqualified Stock Options, Stock Appreciation Rights, Restricted Stock, Restricted Stock Units, Performance Awards, Dividend Equivalent Rights, Other Awards, and Tandem Awards, whether granted singly, or in combination, or in tandem, that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increase the interest of such persons in the Company’s welfare;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furnish an incentive to such persons to continue their services for the Company or its Subsidiaries;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a means through which the Company may attract able persons as Employees, Contractors, and Outside Directors.</w:t>
      </w:r>
    </w:p>
    <w:p>
      <w:pPr>
        <w:pStyle w:val="TextBody"/>
        <w:bidi w:val="0"/>
        <w:spacing w:before="0" w:after="480"/>
        <w:jc w:val="both"/>
        <w:rPr>
          <w:rFonts w:ascii="Times New Roman" w:hAnsi="Times New Roman"/>
          <w:sz w:val="20"/>
        </w:rPr>
      </w:pPr>
      <w:r>
        <w:rPr>
          <w:rFonts w:ascii="Times New Roman" w:hAnsi="Times New Roman"/>
          <w:color w:val="000000"/>
          <w:sz w:val="24"/>
        </w:rPr>
        <w:t xml:space="preserve">With respect to Reporting Participants, the Plan and all transactions under the Plan are intended to comply with all applicable conditions of Rule 16b-3 promulgated under the Exchange Act. To the extent any provision of the Plan or action by the Committee fails to so comply, such provision or action shall be deemed null and void </w:t>
      </w:r>
      <w:r>
        <w:rPr>
          <w:rFonts w:ascii="Times New Roman" w:hAnsi="Times New Roman"/>
          <w:i/>
          <w:color w:val="000000"/>
          <w:sz w:val="24"/>
        </w:rPr>
        <w:t>ab initio</w:t>
      </w:r>
      <w:r>
        <w:rPr>
          <w:rFonts w:ascii="Times New Roman" w:hAnsi="Times New Roman"/>
          <w:color w:val="000000"/>
          <w:sz w:val="24"/>
        </w:rPr>
        <w:t>, to the extent permitted by law and deemed advisable by the Committee.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purpose of the Plan, unless the context requires otherwise, the following terms shall have the meanings indicated: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color w:val="000000"/>
        </w:rPr>
        <w:t>“</w:t>
      </w:r>
      <w:r>
        <w:rPr>
          <w:rFonts w:ascii="Times New Roman" w:hAnsi="Times New Roman"/>
          <w:b/>
          <w:i/>
          <w:color w:val="000000"/>
          <w:sz w:val="24"/>
        </w:rPr>
        <w:t>Applicable Law</w:t>
      </w:r>
      <w:r>
        <w:rPr>
          <w:color w:val="000000"/>
        </w:rPr>
        <w:t xml:space="preserve">” </w:t>
      </w:r>
      <w:r>
        <w:rPr>
          <w:rFonts w:ascii="Times New Roman" w:hAnsi="Times New Roman"/>
          <w:color w:val="000000"/>
          <w:sz w:val="24"/>
        </w:rPr>
        <w:t>means all legal requirements relating to the administration of equity incentive plans and the issuance and distribution of shares of Common Stock, if any, under applicable corporate laws, applicable securities laws, the rules of any exchange or inter-dealer quotation system upon which the Company’s securities are listed or quoted, the rules of any foreign jurisdiction applicable to Incentives granted to residents therein, and any other applicable law, rule or restriction.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color w:val="000000"/>
        </w:rPr>
        <w:t>“</w:t>
      </w:r>
      <w:r>
        <w:rPr>
          <w:rFonts w:ascii="Times New Roman" w:hAnsi="Times New Roman"/>
          <w:b/>
          <w:i/>
          <w:color w:val="000000"/>
          <w:sz w:val="24"/>
        </w:rPr>
        <w:t>Authorized Officer</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3.2(b)</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color w:val="000000"/>
        </w:rPr>
        <w:t>“</w:t>
      </w:r>
      <w:r>
        <w:rPr>
          <w:rFonts w:ascii="Times New Roman" w:hAnsi="Times New Roman"/>
          <w:b/>
          <w:i/>
          <w:color w:val="000000"/>
          <w:sz w:val="24"/>
        </w:rPr>
        <w:t>Award</w:t>
      </w:r>
      <w:r>
        <w:rPr>
          <w:color w:val="000000"/>
        </w:rPr>
        <w:t xml:space="preserve">” </w:t>
      </w:r>
      <w:r>
        <w:rPr>
          <w:rFonts w:ascii="Times New Roman" w:hAnsi="Times New Roman"/>
          <w:color w:val="000000"/>
          <w:sz w:val="24"/>
        </w:rPr>
        <w:t xml:space="preserve">means the grant of any Incentive Stock Option, Nonqualified Stock Option, Restricted Stock, SAR, Restricted Stock Unit, Performance Award, Dividend Equivalent Right or Other </w:t>
      </w:r>
    </w:p>
    <w:p>
      <w:pPr>
        <w:pStyle w:val="TextBody"/>
        <w:bidi w:val="0"/>
        <w:jc w:val="center"/>
        <w:rPr>
          <w:rFonts w:ascii="Times New Roman" w:hAnsi="Times New Roman"/>
          <w:color w:val="000000"/>
          <w:sz w:val="22"/>
        </w:rPr>
      </w:pPr>
      <w:r>
        <w:rPr>
          <w:rFonts w:ascii="Times New Roman" w:hAnsi="Times New Roman"/>
          <w:color w:val="000000"/>
          <w:sz w:val="22"/>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Award, whether granted singly or in combination or in tandem (each individually referred to herein as an “</w:t>
      </w:r>
      <w:r>
        <w:rPr>
          <w:rFonts w:ascii="Times New Roman" w:hAnsi="Times New Roman"/>
          <w:b/>
          <w:i/>
          <w:color w:val="000000"/>
          <w:sz w:val="24"/>
        </w:rPr>
        <w:t>Incentive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color w:val="000000"/>
        </w:rPr>
        <w:t>“</w:t>
      </w:r>
      <w:r>
        <w:rPr>
          <w:rFonts w:ascii="Times New Roman" w:hAnsi="Times New Roman"/>
          <w:b/>
          <w:i/>
          <w:color w:val="000000"/>
          <w:sz w:val="24"/>
        </w:rPr>
        <w:t>Award Agreement</w:t>
      </w:r>
      <w:r>
        <w:rPr>
          <w:color w:val="000000"/>
        </w:rPr>
        <w:t xml:space="preserve">” </w:t>
      </w:r>
      <w:r>
        <w:rPr>
          <w:rFonts w:ascii="Times New Roman" w:hAnsi="Times New Roman"/>
          <w:color w:val="000000"/>
          <w:sz w:val="24"/>
        </w:rPr>
        <w:t>means a written agreement between a Participant and the Company which sets out the terms of the grant of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color w:val="000000"/>
        </w:rPr>
        <w:t>“</w:t>
      </w:r>
      <w:r>
        <w:rPr>
          <w:rFonts w:ascii="Times New Roman" w:hAnsi="Times New Roman"/>
          <w:b/>
          <w:i/>
          <w:color w:val="000000"/>
          <w:sz w:val="24"/>
        </w:rPr>
        <w:t>Award Period</w:t>
      </w:r>
      <w:r>
        <w:rPr>
          <w:color w:val="000000"/>
        </w:rPr>
        <w:t xml:space="preserve">” </w:t>
      </w:r>
      <w:r>
        <w:rPr>
          <w:rFonts w:ascii="Times New Roman" w:hAnsi="Times New Roman"/>
          <w:color w:val="000000"/>
          <w:sz w:val="24"/>
        </w:rPr>
        <w:t>means the period set forth in the Award Agreement during which one or more Incentives granted under an Award may be exercised.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means the occurrence of an event set forth in any one of the following paragraphs, except as otherwise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Person, or more than one Person acting as a “group” (as defined in Section 13(d) of the Exchange Act) acquires (or has acquired during the 12-month period ending on the date of the most recent acquisition by such Person or Persons) and becomes the Beneficial Owner, directly or indirectly, of securities of the Company representing more than 50% of the combined voting power of the Company’s then outstanding securities, excluding any acquisition by an employee benefit plan (or related trust) sponsored or maintained by the Company or any entity controlled by the Company; provided, however, a Change in Control shall not occur if such Person or Persons acting as a group already own more than 50% of the Company’s securities and acquire additional Company securities;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w:t>
      </w:r>
      <w:r>
        <w:rPr>
          <w:color w:val="000000"/>
        </w:rPr>
        <w:t xml:space="preserve"> </w:t>
      </w:r>
      <w:r>
        <w:rPr>
          <w:rFonts w:ascii="Times New Roman" w:hAnsi="Times New Roman"/>
          <w:color w:val="000000"/>
          <w:sz w:val="24"/>
        </w:rPr>
        <w:t>was approved or recommended by a vote of at least the majority of the directors then still in office who either were directors on the Effective Date or whose appointment, election or nomination for election was previously so approved or recommended;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Person, or more than one Person acting as a “group” (as defined in Section 13(d) of the Exchange Act), acquires (or has acquired during the 12-month period ending on the date of the most recent acquisition by such Person or Persons) all or substantially all of the Company’s assets that have a total Gross Fair Market Value equal to more than 50% of the total Gross Fair Market Value of the Company’s assets immediately prior to such acquisition(s).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hereof:</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shall have the meaning set forth in Rule 12b-2 promulgated under Section 12 of the Exchange Act.</w:t>
      </w:r>
    </w:p>
    <w:p>
      <w:pPr>
        <w:pStyle w:val="TextBody"/>
        <w:bidi w:val="0"/>
        <w:spacing w:before="0" w:after="240"/>
        <w:jc w:val="both"/>
        <w:rPr/>
      </w:pPr>
      <w:r>
        <w:rPr>
          <w:color w:val="000000"/>
        </w:rPr>
        <w:t>“</w:t>
      </w:r>
      <w:r>
        <w:rPr>
          <w:rFonts w:ascii="Times New Roman" w:hAnsi="Times New Roman"/>
          <w:b/>
          <w:i/>
          <w:color w:val="000000"/>
          <w:sz w:val="24"/>
        </w:rPr>
        <w:t>Beneficial Owner</w:t>
      </w:r>
      <w:r>
        <w:rPr>
          <w:rFonts w:ascii="Times New Roman" w:hAnsi="Times New Roman"/>
          <w:color w:val="000000"/>
          <w:sz w:val="20"/>
        </w:rPr>
        <w:t xml:space="preserve">” </w:t>
      </w:r>
      <w:r>
        <w:rPr>
          <w:rFonts w:ascii="Times New Roman" w:hAnsi="Times New Roman"/>
          <w:color w:val="000000"/>
          <w:sz w:val="24"/>
        </w:rPr>
        <w:t>shall have the meaning set forth in Rule 13d-3 under the Exchange Act except that a Person shall be deemed to be the “Beneficial Owner” of all shares that any such Person has the right to acquire pursuant to any agreement or arrangement or upon exercise of conversion rights, warrants, options or otherwise, without regard to the 60-day period referred to in such rule).</w:t>
      </w:r>
    </w:p>
    <w:p>
      <w:pPr>
        <w:pStyle w:val="TextBody"/>
        <w:bidi w:val="0"/>
        <w:jc w:val="center"/>
        <w:rPr>
          <w:rFonts w:ascii="Times New Roman" w:hAnsi="Times New Roman"/>
          <w:color w:val="000000"/>
          <w:sz w:val="22"/>
        </w:rPr>
      </w:pPr>
      <w:r>
        <w:rPr>
          <w:rFonts w:ascii="Times New Roman" w:hAnsi="Times New Roman"/>
          <w:color w:val="000000"/>
          <w:sz w:val="22"/>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0"/>
        </w:rPr>
        <w:t xml:space="preserve">” </w:t>
      </w:r>
      <w:r>
        <w:rPr>
          <w:rFonts w:ascii="Times New Roman" w:hAnsi="Times New Roman"/>
          <w:color w:val="000000"/>
          <w:sz w:val="24"/>
        </w:rPr>
        <w:t xml:space="preserve">shall mean, unless as otherwise provided in an Award Agreement, (i) the Company, as defined in </w:t>
      </w:r>
      <w:r>
        <w:rPr>
          <w:rFonts w:ascii="Times New Roman" w:hAnsi="Times New Roman"/>
          <w:color w:val="000000"/>
          <w:sz w:val="24"/>
          <w:u w:val="single"/>
        </w:rPr>
        <w:t>Section 2.12;</w:t>
      </w:r>
      <w:r>
        <w:rPr>
          <w:rFonts w:ascii="Times New Roman" w:hAnsi="Times New Roman"/>
          <w:color w:val="000000"/>
          <w:sz w:val="20"/>
        </w:rPr>
        <w:t xml:space="preserve"> </w:t>
      </w:r>
      <w:r>
        <w:rPr>
          <w:rFonts w:ascii="Times New Roman" w:hAnsi="Times New Roman"/>
          <w:color w:val="000000"/>
          <w:sz w:val="24"/>
        </w:rPr>
        <w:t>(ii) the entity for whom a Participant performs services for which an Award is granted; and (iii) an entity that is a stockholder owning more than 50% of the total number of outstanding shares of Common Stock (or other equity interests) and total voting power (</w:t>
      </w:r>
      <w:r>
        <w:rPr>
          <w:rFonts w:ascii="Times New Roman" w:hAnsi="Times New Roman"/>
          <w:i/>
          <w:color w:val="000000"/>
          <w:sz w:val="24"/>
        </w:rPr>
        <w:t>i.e.</w:t>
      </w:r>
      <w:r>
        <w:rPr>
          <w:rFonts w:ascii="Times New Roman" w:hAnsi="Times New Roman"/>
          <w:color w:val="000000"/>
          <w:sz w:val="24"/>
        </w:rPr>
        <w:t>, a majority stockholder) of the Company or entity identified in (ii), or any entity in a chain of entities in which each entity is a majority stockholder of another entity in the chain, ending on the Company or the entity identified in (ii).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Gross Fair Market Value</w:t>
      </w:r>
      <w:r>
        <w:rPr>
          <w:rFonts w:ascii="Times New Roman" w:hAnsi="Times New Roman"/>
          <w:color w:val="000000"/>
          <w:sz w:val="20"/>
        </w:rPr>
        <w:t xml:space="preserve">” </w:t>
      </w:r>
      <w:r>
        <w:rPr>
          <w:rFonts w:ascii="Times New Roman" w:hAnsi="Times New Roman"/>
          <w:color w:val="000000"/>
          <w:sz w:val="24"/>
        </w:rPr>
        <w:t>shall mean the value of the Company’s assets or the value of the assets being disposed of, determined without regard to any liabilities associated with such assets.</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any person or entity of any nature whatsoever, specifically including an individual, a firm, a company, a corporation, a partnership, a limited liability company, a trust or other entity; a Person, together with that Person’s Affiliates and Associates (as those terms are defined in Rule 12b-2 under the Exchange Act, provided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no transaction or series of transactions shall be deemed to constitute a Change in Control unless and to the extent such transaction or transactions constitute a change in ownership or control under Section 409A of the Code. Additionally, for purposes of this </w:t>
      </w:r>
      <w:r>
        <w:rPr>
          <w:rFonts w:ascii="Times New Roman" w:hAnsi="Times New Roman"/>
          <w:color w:val="000000"/>
          <w:sz w:val="24"/>
          <w:u w:val="single"/>
        </w:rPr>
        <w:t>Section 2.7</w:t>
      </w:r>
      <w:r>
        <w:rPr>
          <w:rFonts w:ascii="Times New Roman" w:hAnsi="Times New Roman"/>
          <w:color w:val="000000"/>
          <w:sz w:val="24"/>
        </w:rPr>
        <w:t>, Section 318(a) of the Code, regarding constructive ownership, shall apply to determine stock ownership; provided, however, that any stock underlying unvested Nonqualified Stock Options or Incentive Stock Options shall not be treated as owned by such Participant who owns such Nonqualified Stock Option or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pPr>
      <w:r>
        <w:rPr>
          <w:color w:val="000000"/>
        </w:rPr>
        <w:t>“</w:t>
      </w:r>
      <w:r>
        <w:rPr>
          <w:rFonts w:ascii="Times New Roman" w:hAnsi="Times New Roman"/>
          <w:b/>
          <w:i/>
          <w:color w:val="000000"/>
          <w:sz w:val="24"/>
        </w:rPr>
        <w:t>Claim</w:t>
      </w:r>
      <w:r>
        <w:rPr>
          <w:color w:val="000000"/>
        </w:rPr>
        <w:t xml:space="preserve">” </w:t>
      </w:r>
      <w:r>
        <w:rPr>
          <w:rFonts w:ascii="Times New Roman" w:hAnsi="Times New Roman"/>
          <w:color w:val="000000"/>
          <w:sz w:val="24"/>
        </w:rPr>
        <w:t>means any claim, liability or obligation of any nature, arising out of or relating to this Plan or an alleged breach of this Plan or an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United States Internal Revenue Code of 1986,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2.10</w:t>
      </w:r>
    </w:p>
    <w:p>
      <w:pPr>
        <w:pStyle w:val="TextBody"/>
        <w:bidi w:val="0"/>
        <w:spacing w:before="0" w:after="24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 xml:space="preserve">means the committee appointed or designated by the Board to administer the Plan in accordance with </w:t>
      </w:r>
      <w:r>
        <w:rPr>
          <w:rFonts w:ascii="Times New Roman" w:hAnsi="Times New Roman"/>
          <w:color w:val="000000"/>
          <w:sz w:val="24"/>
          <w:u w:val="single"/>
        </w:rPr>
        <w:t>Article 3</w:t>
      </w:r>
      <w:r>
        <w:rPr>
          <w:color w:val="000000"/>
        </w:rPr>
        <w:t xml:space="preserve"> </w:t>
      </w:r>
      <w:r>
        <w:rPr>
          <w:rFonts w:ascii="Times New Roman" w:hAnsi="Times New Roman"/>
          <w:color w:val="000000"/>
          <w:sz w:val="24"/>
        </w:rPr>
        <w:t>of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2.11</w:t>
      </w:r>
    </w:p>
    <w:p>
      <w:pPr>
        <w:pStyle w:val="TextBody"/>
        <w:bidi w:val="0"/>
        <w:spacing w:before="0" w:after="240"/>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par value $0.10 per share, which the Company is currently authorized to issue or may in the future be authorized to issue, or any securities into which or for which the common stock of the Company may be converted or exchanged, as the case may be, pursuant to the terms of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2.12</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LSB Industries, Inc., a Delaware corporation, and any successor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2.13</w:t>
      </w:r>
    </w:p>
    <w:p>
      <w:pPr>
        <w:pStyle w:val="TextBody"/>
        <w:bidi w:val="0"/>
        <w:spacing w:before="0" w:after="240"/>
        <w:jc w:val="both"/>
        <w:rPr/>
      </w:pPr>
      <w:r>
        <w:rPr>
          <w:color w:val="000000"/>
        </w:rPr>
        <w:t>“</w:t>
      </w:r>
      <w:r>
        <w:rPr>
          <w:rFonts w:ascii="Times New Roman" w:hAnsi="Times New Roman"/>
          <w:b/>
          <w:i/>
          <w:color w:val="000000"/>
          <w:sz w:val="24"/>
        </w:rPr>
        <w:t>Contractor</w:t>
      </w:r>
      <w:r>
        <w:rPr>
          <w:color w:val="000000"/>
        </w:rPr>
        <w:t xml:space="preserve">” </w:t>
      </w:r>
      <w:r>
        <w:rPr>
          <w:rFonts w:ascii="Times New Roman" w:hAnsi="Times New Roman"/>
          <w:color w:val="000000"/>
          <w:sz w:val="24"/>
        </w:rPr>
        <w:t xml:space="preserve">means any natural person (or a wholly owned alter ego entity of the natural person providing such services of which such person is an employee, stockholder, or partner),, who is not an Employee, rendering </w:t>
      </w:r>
      <w:r>
        <w:rPr>
          <w:rFonts w:ascii="Times New Roman" w:hAnsi="Times New Roman"/>
          <w:i/>
          <w:color w:val="000000"/>
          <w:sz w:val="24"/>
        </w:rPr>
        <w:t>bona fide</w:t>
      </w:r>
      <w:r>
        <w:rPr>
          <w:color w:val="000000"/>
        </w:rPr>
        <w:t xml:space="preserve"> </w:t>
      </w:r>
      <w:r>
        <w:rPr>
          <w:rFonts w:ascii="Times New Roman" w:hAnsi="Times New Roman"/>
          <w:color w:val="000000"/>
          <w:sz w:val="24"/>
        </w:rPr>
        <w:t xml:space="preserve">services to the Company or a Subsidiary, with compensation, pursuant </w:t>
      </w:r>
    </w:p>
    <w:p>
      <w:pPr>
        <w:pStyle w:val="TextBody"/>
        <w:bidi w:val="0"/>
        <w:jc w:val="center"/>
        <w:rPr>
          <w:rFonts w:ascii="Times New Roman" w:hAnsi="Times New Roman"/>
          <w:color w:val="000000"/>
          <w:sz w:val="22"/>
        </w:rPr>
      </w:pPr>
      <w:r>
        <w:rPr>
          <w:rFonts w:ascii="Times New Roman" w:hAnsi="Times New Roman"/>
          <w:color w:val="000000"/>
          <w:sz w:val="22"/>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to a written independent contractor agreement between such person and the Company or a Subsidiary, </w:t>
      </w:r>
      <w:r>
        <w:rPr>
          <w:rFonts w:ascii="Times New Roman" w:hAnsi="Times New Roman"/>
          <w:i/>
          <w:color w:val="000000"/>
          <w:sz w:val="24"/>
        </w:rPr>
        <w:t>provided that</w:t>
      </w:r>
      <w:r>
        <w:rPr>
          <w:color w:val="000000"/>
        </w:rPr>
        <w:t xml:space="preserve"> </w:t>
      </w:r>
      <w:r>
        <w:rPr>
          <w:rFonts w:ascii="Times New Roman" w:hAnsi="Times New Roman"/>
          <w:color w:val="000000"/>
          <w:sz w:val="24"/>
        </w:rPr>
        <w:t>such services are not rendered in connection with the offer or sale of securities in a capital raising transaction and do not directly or indirectly promote or maintain a market for the Company’s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w:t>
      </w:r>
    </w:p>
    <w:p>
      <w:pPr>
        <w:pStyle w:val="TextBody"/>
        <w:bidi w:val="0"/>
        <w:spacing w:before="0" w:after="240"/>
        <w:jc w:val="both"/>
        <w:rPr/>
      </w:pPr>
      <w:r>
        <w:rPr>
          <w:color w:val="000000"/>
        </w:rPr>
        <w:t>“</w:t>
      </w:r>
      <w:r>
        <w:rPr>
          <w:rFonts w:ascii="Times New Roman" w:hAnsi="Times New Roman"/>
          <w:b/>
          <w:i/>
          <w:color w:val="000000"/>
          <w:sz w:val="24"/>
        </w:rPr>
        <w:t>Corporation</w:t>
      </w:r>
      <w:r>
        <w:rPr>
          <w:color w:val="000000"/>
        </w:rPr>
        <w:t xml:space="preserve">” </w:t>
      </w:r>
      <w:r>
        <w:rPr>
          <w:rFonts w:ascii="Times New Roman" w:hAnsi="Times New Roman"/>
          <w:color w:val="000000"/>
          <w:sz w:val="24"/>
        </w:rPr>
        <w:t>means any entity that (a) is defined as a corporation under Section 7701 of the Code and (b) is the Company or is in an unbroken chain of corporations (other than the Company) beginning with the Company, if each of the corporations other than the last corporation in the unbroken chain owns stock possessing a majority of the total combined voting power of all classes of stock in one of the other corporations in the chain. For purposes of clause (b) hereof, an entity shall be treated as a “corporation” if it satisfies the definition of a corporation under Section 7701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2.15</w:t>
      </w:r>
    </w:p>
    <w:p>
      <w:pPr>
        <w:pStyle w:val="TextBody"/>
        <w:bidi w:val="0"/>
        <w:spacing w:before="0" w:after="240"/>
        <w:jc w:val="both"/>
        <w:rPr/>
      </w:pPr>
      <w:r>
        <w:rPr>
          <w:color w:val="000000"/>
        </w:rPr>
        <w:t>“</w:t>
      </w:r>
      <w:r>
        <w:rPr>
          <w:rFonts w:ascii="Times New Roman" w:hAnsi="Times New Roman"/>
          <w:b/>
          <w:i/>
          <w:color w:val="000000"/>
          <w:sz w:val="24"/>
        </w:rPr>
        <w:t>Date of Grant</w:t>
      </w:r>
      <w:r>
        <w:rPr>
          <w:color w:val="000000"/>
        </w:rPr>
        <w:t xml:space="preserve">” </w:t>
      </w:r>
      <w:r>
        <w:rPr>
          <w:rFonts w:ascii="Times New Roman" w:hAnsi="Times New Roman"/>
          <w:color w:val="000000"/>
          <w:sz w:val="24"/>
        </w:rPr>
        <w:t xml:space="preserve">means the effective date on which an Award is made to a Participant as set forth in the applicable Award Agreement; </w:t>
      </w:r>
      <w:r>
        <w:rPr>
          <w:rFonts w:ascii="Times New Roman" w:hAnsi="Times New Roman"/>
          <w:i/>
          <w:color w:val="000000"/>
          <w:sz w:val="24"/>
        </w:rPr>
        <w:t>provided, however</w:t>
      </w:r>
      <w:r>
        <w:rPr>
          <w:rFonts w:ascii="Times New Roman" w:hAnsi="Times New Roman"/>
          <w:color w:val="000000"/>
          <w:sz w:val="24"/>
        </w:rPr>
        <w:t>, that solely for purposes of Section 16 of the Exchange Act and the rules and regulations promulgated thereunder, the Date of Grant of an Award shall be the date of stockholder approval of the Plan if such date is later than the effective date of such Award as set forth in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2.16</w:t>
      </w:r>
    </w:p>
    <w:p>
      <w:pPr>
        <w:pStyle w:val="TextBody"/>
        <w:bidi w:val="0"/>
        <w:spacing w:before="0" w:after="240"/>
        <w:jc w:val="both"/>
        <w:rPr/>
      </w:pPr>
      <w:r>
        <w:rPr>
          <w:color w:val="000000"/>
        </w:rPr>
        <w:t>“</w:t>
      </w:r>
      <w:r>
        <w:rPr>
          <w:rFonts w:ascii="Times New Roman" w:hAnsi="Times New Roman"/>
          <w:b/>
          <w:i/>
          <w:color w:val="000000"/>
          <w:sz w:val="24"/>
        </w:rPr>
        <w:t>Dividend Equivalent Right</w:t>
      </w:r>
      <w:r>
        <w:rPr>
          <w:color w:val="000000"/>
        </w:rPr>
        <w:t xml:space="preserve">” </w:t>
      </w:r>
      <w:r>
        <w:rPr>
          <w:rFonts w:ascii="Times New Roman" w:hAnsi="Times New Roman"/>
          <w:color w:val="000000"/>
          <w:sz w:val="24"/>
        </w:rPr>
        <w:t>means the right of the holder thereof to receive credits based on the cash dividends that would have been paid on the shares of Common Stock specified in the Award if such shares were held by the Participant to whom the Award is made.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2.17</w:t>
      </w:r>
    </w:p>
    <w:p>
      <w:pPr>
        <w:pStyle w:val="TextBody"/>
        <w:bidi w:val="0"/>
        <w:spacing w:before="0" w:after="0"/>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 common law employee (as defined in accordance with the Regulations and Revenue Rulings then applicable under Section 3401(c) of the Code) of the Company or any Subsidiary of the Company; provided, however, in the case of individuals whose employment status, by virtue of their employer or residence, is not determined under Section 3401(c) of the Code, “Employee” shall mean an individual treated as an employee for local payroll tax or employment purposes by the applicable employer under Applicable Law for the relevant period. An employee on leave of absence may be considered as still in the employ of the Company or its Subsidiaries for purposes of eligibility for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2.18</w:t>
      </w:r>
    </w:p>
    <w:p>
      <w:pPr>
        <w:pStyle w:val="TextBody"/>
        <w:bidi w:val="0"/>
        <w:spacing w:before="0" w:after="240"/>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United States Securities Exchange Act of 1934,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2.19</w:t>
      </w:r>
    </w:p>
    <w:p>
      <w:pPr>
        <w:pStyle w:val="TextBody"/>
        <w:bidi w:val="0"/>
        <w:spacing w:before="0" w:after="240"/>
        <w:jc w:val="both"/>
        <w:rPr/>
      </w:pPr>
      <w:r>
        <w:rPr>
          <w:color w:val="000000"/>
        </w:rPr>
        <w:t>“</w:t>
      </w:r>
      <w:r>
        <w:rPr>
          <w:rFonts w:ascii="Times New Roman" w:hAnsi="Times New Roman"/>
          <w:b/>
          <w:i/>
          <w:color w:val="000000"/>
          <w:sz w:val="24"/>
        </w:rPr>
        <w:t>Exercise Date</w:t>
      </w:r>
      <w:r>
        <w:rPr>
          <w:color w:val="000000"/>
        </w:rPr>
        <w:t xml:space="preserve">” </w:t>
      </w:r>
      <w:r>
        <w:rPr>
          <w:rFonts w:ascii="Times New Roman" w:hAnsi="Times New Roman"/>
          <w:color w:val="000000"/>
          <w:sz w:val="24"/>
        </w:rPr>
        <w:t>is the date (i) with respect to any Stock Option, that the Participant has delivered both the Exercise Notice and consideration to the Company with a value equal to the total Option Price of the shares to be purchased (plus any income and/or employment tax withholding or other tax payment due with respect to such Award); and (ii) with respect to any SAR, that the Participant has delivered both the Exercise Notice and consideration to the Company with a value equal to any income and/or employment tax withholding or other tax payment due with respect to such SAR.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2.20</w:t>
      </w:r>
    </w:p>
    <w:p>
      <w:pPr>
        <w:pStyle w:val="TextBody"/>
        <w:bidi w:val="0"/>
        <w:spacing w:before="0" w:after="240"/>
        <w:jc w:val="both"/>
        <w:rPr/>
      </w:pPr>
      <w:r>
        <w:rPr>
          <w:color w:val="000000"/>
        </w:rPr>
        <w:t>“</w:t>
      </w:r>
      <w:r>
        <w:rPr>
          <w:rFonts w:ascii="Times New Roman" w:hAnsi="Times New Roman"/>
          <w:b/>
          <w:i/>
          <w:color w:val="000000"/>
          <w:sz w:val="24"/>
        </w:rPr>
        <w:t>Exercise Notice</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8.3(b)</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 xml:space="preserve">means, as of a particular date, (a) if the shares of Common Stock are listed on any established national securities exchange, the closing sales price per share of Common Stock on the consolidated transaction reporting system for the principal securities exchange for the Common Stock on that date (as determined by the Committee, in its discretion), or, if there shall have been no such sale so reported on that date, on the last preceding date on which such a sale was so reported; (b) if the shares of Common Stock are not so listed, but are quoted on an automated quotation system, the closing sales price per share of Common Stock reported on the automated quotation system on that date, or, if there shall have been no such sale so reported on that date, on the last preceding date on which such a sale was so reported; (c) if the Common Stock is not so listed or quoted, the mean between the closing bid and </w:t>
      </w:r>
    </w:p>
    <w:p>
      <w:pPr>
        <w:pStyle w:val="TextBody"/>
        <w:bidi w:val="0"/>
        <w:jc w:val="center"/>
        <w:rPr>
          <w:rFonts w:ascii="Times New Roman" w:hAnsi="Times New Roman"/>
          <w:color w:val="000000"/>
          <w:sz w:val="22"/>
        </w:rPr>
      </w:pPr>
      <w:r>
        <w:rPr>
          <w:rFonts w:ascii="Times New Roman" w:hAnsi="Times New Roman"/>
          <w:color w:val="000000"/>
          <w:sz w:val="22"/>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asked price on that date, or, if there are no quotations available for such date, on the last preceding date on which such quotations shall be available, as reported by the OTCQX, OTCQB or OTC Pink (Pink Open Market); or (d) if none of the above is applicable, such amount as may be determined by the Committee (acting on the advice of an Independent Third Party, should the Committee elect in its sole discretion to utilize an Independent Third Party for this purpose), in good faith, to be the fair market value per share of Common Stock. The determination of Fair Market Value shall, where applicable, be in compliance with 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pPr>
      <w:r>
        <w:rPr>
          <w:color w:val="000000"/>
        </w:rPr>
        <w:t>“</w:t>
      </w:r>
      <w:r>
        <w:rPr>
          <w:rFonts w:ascii="Times New Roman" w:hAnsi="Times New Roman"/>
          <w:b/>
          <w:i/>
          <w:color w:val="000000"/>
          <w:sz w:val="24"/>
        </w:rPr>
        <w:t>Immediate Family Members</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15.8</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pPr>
      <w:r>
        <w:rPr>
          <w:color w:val="000000"/>
        </w:rPr>
        <w:t>“</w:t>
      </w:r>
      <w:r>
        <w:rPr>
          <w:rFonts w:ascii="Times New Roman" w:hAnsi="Times New Roman"/>
          <w:b/>
          <w:i/>
          <w:color w:val="000000"/>
          <w:sz w:val="24"/>
        </w:rPr>
        <w:t>Incentive</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2.3</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2.24</w:t>
      </w:r>
    </w:p>
    <w:p>
      <w:pPr>
        <w:pStyle w:val="TextBody"/>
        <w:bidi w:val="0"/>
        <w:spacing w:before="0" w:after="240"/>
        <w:jc w:val="both"/>
        <w:rPr/>
      </w:pPr>
      <w:r>
        <w:rPr>
          <w:color w:val="000000"/>
        </w:rPr>
        <w:t>“</w:t>
      </w: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means an incentive stock option within the meaning of Section 422 of the Code, granted pursuant to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2.25</w:t>
      </w:r>
    </w:p>
    <w:p>
      <w:pPr>
        <w:pStyle w:val="TextBody"/>
        <w:bidi w:val="0"/>
        <w:spacing w:before="0" w:after="240"/>
        <w:jc w:val="both"/>
        <w:rPr/>
      </w:pPr>
      <w:r>
        <w:rPr>
          <w:color w:val="000000"/>
        </w:rPr>
        <w:t>“</w:t>
      </w:r>
      <w:r>
        <w:rPr>
          <w:rFonts w:ascii="Times New Roman" w:hAnsi="Times New Roman"/>
          <w:b/>
          <w:i/>
          <w:color w:val="000000"/>
          <w:sz w:val="24"/>
        </w:rPr>
        <w:t>Independent Third Party</w:t>
      </w:r>
      <w:r>
        <w:rPr>
          <w:color w:val="000000"/>
        </w:rPr>
        <w:t xml:space="preserve">” </w:t>
      </w:r>
      <w:r>
        <w:rPr>
          <w:rFonts w:ascii="Times New Roman" w:hAnsi="Times New Roman"/>
          <w:color w:val="000000"/>
          <w:sz w:val="24"/>
        </w:rPr>
        <w:t>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2.26</w:t>
      </w:r>
    </w:p>
    <w:p>
      <w:pPr>
        <w:pStyle w:val="TextBody"/>
        <w:bidi w:val="0"/>
        <w:spacing w:before="0" w:after="240"/>
        <w:jc w:val="both"/>
        <w:rPr/>
      </w:pPr>
      <w:r>
        <w:rPr>
          <w:color w:val="000000"/>
        </w:rPr>
        <w:t>“</w:t>
      </w:r>
      <w:r>
        <w:rPr>
          <w:rFonts w:ascii="Times New Roman" w:hAnsi="Times New Roman"/>
          <w:b/>
          <w:i/>
          <w:color w:val="000000"/>
          <w:sz w:val="24"/>
        </w:rPr>
        <w:t>Nonqualified Stock Option</w:t>
      </w:r>
      <w:r>
        <w:rPr>
          <w:color w:val="000000"/>
        </w:rPr>
        <w:t xml:space="preserve">” </w:t>
      </w:r>
      <w:r>
        <w:rPr>
          <w:rFonts w:ascii="Times New Roman" w:hAnsi="Times New Roman"/>
          <w:color w:val="000000"/>
          <w:sz w:val="24"/>
        </w:rPr>
        <w:t>means a nonqualified stock option, granted pursuant to this Plan, which is not an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2.27</w:t>
      </w:r>
    </w:p>
    <w:p>
      <w:pPr>
        <w:pStyle w:val="TextBody"/>
        <w:bidi w:val="0"/>
        <w:spacing w:before="0" w:after="240"/>
        <w:jc w:val="both"/>
        <w:rPr/>
      </w:pPr>
      <w:r>
        <w:rPr>
          <w:color w:val="000000"/>
        </w:rPr>
        <w:t>“</w:t>
      </w:r>
      <w:r>
        <w:rPr>
          <w:rFonts w:ascii="Times New Roman" w:hAnsi="Times New Roman"/>
          <w:b/>
          <w:i/>
          <w:color w:val="000000"/>
          <w:sz w:val="24"/>
        </w:rPr>
        <w:t>Option Price</w:t>
      </w:r>
      <w:r>
        <w:rPr>
          <w:color w:val="000000"/>
        </w:rPr>
        <w:t xml:space="preserve">” </w:t>
      </w:r>
      <w:r>
        <w:rPr>
          <w:rFonts w:ascii="Times New Roman" w:hAnsi="Times New Roman"/>
          <w:color w:val="000000"/>
          <w:sz w:val="24"/>
        </w:rPr>
        <w:t>means the price which must be paid by a Participant upon exercise of a Stock Option to purchase a share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2.28</w:t>
      </w:r>
    </w:p>
    <w:p>
      <w:pPr>
        <w:pStyle w:val="TextBody"/>
        <w:bidi w:val="0"/>
        <w:spacing w:before="0" w:after="240"/>
        <w:jc w:val="both"/>
        <w:rPr/>
      </w:pPr>
      <w:r>
        <w:rPr>
          <w:color w:val="000000"/>
        </w:rPr>
        <w:t>“</w:t>
      </w:r>
      <w:r>
        <w:rPr>
          <w:rFonts w:ascii="Times New Roman" w:hAnsi="Times New Roman"/>
          <w:b/>
          <w:i/>
          <w:color w:val="000000"/>
          <w:sz w:val="24"/>
        </w:rPr>
        <w:t>Other Award</w:t>
      </w:r>
      <w:r>
        <w:rPr>
          <w:color w:val="000000"/>
        </w:rPr>
        <w:t xml:space="preserve">” </w:t>
      </w:r>
      <w:r>
        <w:rPr>
          <w:rFonts w:ascii="Times New Roman" w:hAnsi="Times New Roman"/>
          <w:color w:val="000000"/>
          <w:sz w:val="24"/>
        </w:rPr>
        <w:t xml:space="preserve">means an Award issued pursuant to </w:t>
      </w:r>
      <w:r>
        <w:rPr>
          <w:rFonts w:ascii="Times New Roman" w:hAnsi="Times New Roman"/>
          <w:color w:val="000000"/>
          <w:sz w:val="24"/>
          <w:u w:val="single"/>
        </w:rPr>
        <w:t>Section 6.9</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2.29</w:t>
      </w:r>
    </w:p>
    <w:p>
      <w:pPr>
        <w:pStyle w:val="TextBody"/>
        <w:bidi w:val="0"/>
        <w:spacing w:before="0" w:after="240"/>
        <w:jc w:val="both"/>
        <w:rPr/>
      </w:pPr>
      <w:r>
        <w:rPr>
          <w:color w:val="000000"/>
        </w:rPr>
        <w:t>“</w:t>
      </w:r>
      <w:r>
        <w:rPr>
          <w:rFonts w:ascii="Times New Roman" w:hAnsi="Times New Roman"/>
          <w:b/>
          <w:i/>
          <w:color w:val="000000"/>
          <w:sz w:val="24"/>
        </w:rPr>
        <w:t>Outside Director</w:t>
      </w:r>
      <w:r>
        <w:rPr>
          <w:color w:val="000000"/>
        </w:rPr>
        <w:t xml:space="preserve">” </w:t>
      </w:r>
      <w:r>
        <w:rPr>
          <w:rFonts w:ascii="Times New Roman" w:hAnsi="Times New Roman"/>
          <w:color w:val="000000"/>
          <w:sz w:val="24"/>
        </w:rPr>
        <w:t>means a director of the Company who is not an Employee or a Contractor.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2.30</w:t>
      </w:r>
    </w:p>
    <w:p>
      <w:pPr>
        <w:pStyle w:val="TextBody"/>
        <w:bidi w:val="0"/>
        <w:spacing w:before="0" w:after="240"/>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an Employee, Contractor or an Outside Director to whom an Award is granted under this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2.31</w:t>
      </w:r>
    </w:p>
    <w:p>
      <w:pPr>
        <w:pStyle w:val="TextBody"/>
        <w:bidi w:val="0"/>
        <w:spacing w:before="0" w:after="240"/>
        <w:jc w:val="both"/>
        <w:rPr/>
      </w:pPr>
      <w:r>
        <w:rPr>
          <w:color w:val="000000"/>
        </w:rPr>
        <w:t>“</w:t>
      </w:r>
      <w:r>
        <w:rPr>
          <w:rFonts w:ascii="Times New Roman" w:hAnsi="Times New Roman"/>
          <w:b/>
          <w:i/>
          <w:color w:val="000000"/>
          <w:sz w:val="24"/>
        </w:rPr>
        <w:t>Performance Award</w:t>
      </w:r>
      <w:r>
        <w:rPr>
          <w:color w:val="000000"/>
        </w:rPr>
        <w:t xml:space="preserve">” </w:t>
      </w:r>
      <w:r>
        <w:rPr>
          <w:rFonts w:ascii="Times New Roman" w:hAnsi="Times New Roman"/>
          <w:color w:val="000000"/>
          <w:sz w:val="24"/>
        </w:rPr>
        <w:t xml:space="preserve">means an Award hereunder of cash, shares of Common Stock, units or rights based upon, payable in, or otherwise related to, Common Stock pursuant to </w:t>
      </w:r>
      <w:r>
        <w:rPr>
          <w:rFonts w:ascii="Times New Roman" w:hAnsi="Times New Roman"/>
          <w:color w:val="000000"/>
          <w:sz w:val="24"/>
          <w:u w:val="single"/>
        </w:rPr>
        <w:t>Section 6.7</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2.32</w:t>
      </w:r>
    </w:p>
    <w:p>
      <w:pPr>
        <w:pStyle w:val="TextBody"/>
        <w:bidi w:val="0"/>
        <w:spacing w:before="0" w:after="240"/>
        <w:jc w:val="both"/>
        <w:rPr/>
      </w:pPr>
      <w:r>
        <w:rPr>
          <w:color w:val="000000"/>
        </w:rPr>
        <w:t>“</w:t>
      </w:r>
      <w:r>
        <w:rPr>
          <w:rFonts w:ascii="Times New Roman" w:hAnsi="Times New Roman"/>
          <w:b/>
          <w:i/>
          <w:color w:val="000000"/>
          <w:sz w:val="24"/>
        </w:rPr>
        <w:t>Performance Goal</w:t>
      </w:r>
      <w:r>
        <w:rPr>
          <w:color w:val="000000"/>
        </w:rPr>
        <w:t xml:space="preserve">” </w:t>
      </w:r>
      <w:r>
        <w:rPr>
          <w:rFonts w:ascii="Times New Roman" w:hAnsi="Times New Roman"/>
          <w:color w:val="000000"/>
          <w:sz w:val="24"/>
        </w:rPr>
        <w:t>means any of the performance goals relating to one or more business or individual performance criteria established by the Committee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2.33</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LSB Industries, Inc. 2025</w:t>
      </w:r>
      <w:r>
        <w:rPr>
          <w:color w:val="000000"/>
        </w:rPr>
        <w:t xml:space="preserve"> </w:t>
      </w:r>
      <w:r>
        <w:rPr>
          <w:rFonts w:ascii="Times New Roman" w:hAnsi="Times New Roman"/>
          <w:color w:val="000000"/>
          <w:sz w:val="24"/>
        </w:rPr>
        <w:t>Long-Term Incentive Plan, as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2.34</w:t>
      </w:r>
    </w:p>
    <w:p>
      <w:pPr>
        <w:pStyle w:val="TextBody"/>
        <w:bidi w:val="0"/>
        <w:spacing w:before="0" w:after="240"/>
        <w:jc w:val="both"/>
        <w:rPr/>
      </w:pPr>
      <w:r>
        <w:rPr>
          <w:color w:val="000000"/>
        </w:rPr>
        <w:t>“</w:t>
      </w:r>
      <w:r>
        <w:rPr>
          <w:rFonts w:ascii="Times New Roman" w:hAnsi="Times New Roman"/>
          <w:b/>
          <w:i/>
          <w:color w:val="000000"/>
          <w:sz w:val="24"/>
        </w:rPr>
        <w:t>Prior Plans</w:t>
      </w:r>
      <w:r>
        <w:rPr>
          <w:color w:val="000000"/>
        </w:rPr>
        <w:t xml:space="preserve">” </w:t>
      </w:r>
      <w:r>
        <w:rPr>
          <w:rFonts w:ascii="Times New Roman" w:hAnsi="Times New Roman"/>
          <w:color w:val="000000"/>
          <w:sz w:val="24"/>
        </w:rPr>
        <w:t>mean the LSB Industries, Inc. 2008 Incentive Stock Plan, as amended effective June 5, 2014 and LSB Industries, Inc. 2016 Long Term Incentive Plan, as amended and restated March 4, 2021.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2.35</w:t>
      </w:r>
    </w:p>
    <w:p>
      <w:pPr>
        <w:pStyle w:val="TextBody"/>
        <w:bidi w:val="0"/>
        <w:spacing w:before="0" w:after="240"/>
        <w:jc w:val="both"/>
        <w:rPr/>
      </w:pPr>
      <w:r>
        <w:rPr>
          <w:color w:val="000000"/>
        </w:rPr>
        <w:t>“</w:t>
      </w:r>
      <w:r>
        <w:rPr>
          <w:rFonts w:ascii="Times New Roman" w:hAnsi="Times New Roman"/>
          <w:b/>
          <w:i/>
          <w:color w:val="000000"/>
          <w:sz w:val="24"/>
        </w:rPr>
        <w:t>Prior Plan Awards</w:t>
      </w:r>
      <w:r>
        <w:rPr>
          <w:color w:val="000000"/>
        </w:rPr>
        <w:t xml:space="preserve">” </w:t>
      </w:r>
      <w:r>
        <w:rPr>
          <w:rFonts w:ascii="Times New Roman" w:hAnsi="Times New Roman"/>
          <w:color w:val="000000"/>
          <w:sz w:val="24"/>
        </w:rPr>
        <w:t xml:space="preserve">means any awards that are outstanding under any Prior Plan immediately prior to the Effective Date. </w:t>
      </w:r>
    </w:p>
    <w:p>
      <w:pPr>
        <w:pStyle w:val="TextBody"/>
        <w:bidi w:val="0"/>
        <w:jc w:val="center"/>
        <w:rPr>
          <w:rFonts w:ascii="Times New Roman" w:hAnsi="Times New Roman"/>
          <w:color w:val="000000"/>
          <w:sz w:val="22"/>
        </w:rPr>
      </w:pPr>
      <w:r>
        <w:rPr>
          <w:rFonts w:ascii="Times New Roman" w:hAnsi="Times New Roman"/>
          <w:color w:val="000000"/>
          <w:sz w:val="22"/>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2.36</w:t>
      </w:r>
    </w:p>
    <w:p>
      <w:pPr>
        <w:pStyle w:val="TextBody"/>
        <w:bidi w:val="0"/>
        <w:spacing w:before="0" w:after="240"/>
        <w:jc w:val="both"/>
        <w:rPr/>
      </w:pPr>
      <w:r>
        <w:rPr>
          <w:color w:val="000000"/>
        </w:rPr>
        <w:t>“</w:t>
      </w:r>
      <w:r>
        <w:rPr>
          <w:rFonts w:ascii="Times New Roman" w:hAnsi="Times New Roman"/>
          <w:b/>
          <w:i/>
          <w:color w:val="000000"/>
          <w:sz w:val="24"/>
        </w:rPr>
        <w:t>Reporting Participant</w:t>
      </w:r>
      <w:r>
        <w:rPr>
          <w:color w:val="000000"/>
        </w:rPr>
        <w:t xml:space="preserve">” </w:t>
      </w:r>
      <w:r>
        <w:rPr>
          <w:rFonts w:ascii="Times New Roman" w:hAnsi="Times New Roman"/>
          <w:color w:val="000000"/>
          <w:sz w:val="24"/>
        </w:rPr>
        <w:t>means a Participant who is subject to the reporting requirements of Section 16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2.37</w:t>
      </w:r>
    </w:p>
    <w:p>
      <w:pPr>
        <w:pStyle w:val="TextBody"/>
        <w:bidi w:val="0"/>
        <w:spacing w:before="0" w:after="240"/>
        <w:jc w:val="both"/>
        <w:rPr/>
      </w:pPr>
      <w:r>
        <w:rPr>
          <w:color w:val="000000"/>
        </w:rPr>
        <w:t>“</w:t>
      </w:r>
      <w:r>
        <w:rPr>
          <w:rFonts w:ascii="Times New Roman" w:hAnsi="Times New Roman"/>
          <w:b/>
          <w:i/>
          <w:color w:val="000000"/>
          <w:sz w:val="24"/>
        </w:rPr>
        <w:t>Restricted Stock</w:t>
      </w:r>
      <w:r>
        <w:rPr>
          <w:color w:val="000000"/>
        </w:rPr>
        <w:t xml:space="preserve">” </w:t>
      </w:r>
      <w:r>
        <w:rPr>
          <w:rFonts w:ascii="Times New Roman" w:hAnsi="Times New Roman"/>
          <w:color w:val="000000"/>
          <w:sz w:val="24"/>
        </w:rPr>
        <w:t xml:space="preserve">means shares of Common Stock issued or transferred to a Participant pursuant to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of this Plan which are subject to restrictions or limitations set forth in this Plan and in the related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2.38</w:t>
      </w:r>
    </w:p>
    <w:p>
      <w:pPr>
        <w:pStyle w:val="TextBody"/>
        <w:bidi w:val="0"/>
        <w:spacing w:before="0" w:after="240"/>
        <w:jc w:val="both"/>
        <w:rPr/>
      </w:pPr>
      <w:r>
        <w:rPr>
          <w:color w:val="000000"/>
        </w:rPr>
        <w:t>“</w:t>
      </w:r>
      <w:r>
        <w:rPr>
          <w:rFonts w:ascii="Times New Roman" w:hAnsi="Times New Roman"/>
          <w:b/>
          <w:i/>
          <w:color w:val="000000"/>
          <w:sz w:val="24"/>
        </w:rPr>
        <w:t>Restricted Stock Units</w:t>
      </w:r>
      <w:r>
        <w:rPr>
          <w:color w:val="000000"/>
        </w:rPr>
        <w:t xml:space="preserve">” </w:t>
      </w:r>
      <w:r>
        <w:rPr>
          <w:rFonts w:ascii="Times New Roman" w:hAnsi="Times New Roman"/>
          <w:color w:val="000000"/>
          <w:sz w:val="24"/>
        </w:rPr>
        <w:t xml:space="preserve">means units awarded to Participants pursuant to </w:t>
      </w:r>
      <w:r>
        <w:rPr>
          <w:rFonts w:ascii="Times New Roman" w:hAnsi="Times New Roman"/>
          <w:color w:val="000000"/>
          <w:sz w:val="24"/>
          <w:u w:val="single"/>
        </w:rPr>
        <w:t>Section 6.6</w:t>
      </w:r>
      <w:r>
        <w:rPr>
          <w:color w:val="000000"/>
        </w:rPr>
        <w:t xml:space="preserve"> </w:t>
      </w:r>
      <w:r>
        <w:rPr>
          <w:rFonts w:ascii="Times New Roman" w:hAnsi="Times New Roman"/>
          <w:color w:val="000000"/>
          <w:sz w:val="24"/>
        </w:rPr>
        <w:t>hereof, which are convertible into Common Stock at such time as such units are no longer subject to restrictions as established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2.39</w:t>
      </w:r>
    </w:p>
    <w:p>
      <w:pPr>
        <w:pStyle w:val="TextBody"/>
        <w:bidi w:val="0"/>
        <w:spacing w:before="0" w:after="240"/>
        <w:jc w:val="both"/>
        <w:rPr/>
      </w:pPr>
      <w:r>
        <w:rPr>
          <w:color w:val="000000"/>
        </w:rPr>
        <w:t>“</w:t>
      </w:r>
      <w:r>
        <w:rPr>
          <w:rFonts w:ascii="Times New Roman" w:hAnsi="Times New Roman"/>
          <w:b/>
          <w:i/>
          <w:color w:val="000000"/>
          <w:sz w:val="24"/>
        </w:rPr>
        <w:t>Restriction Period</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6.4(b)(i)</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2.40</w:t>
      </w:r>
    </w:p>
    <w:p>
      <w:pPr>
        <w:pStyle w:val="TextBody"/>
        <w:bidi w:val="0"/>
        <w:spacing w:before="0" w:after="240"/>
        <w:jc w:val="both"/>
        <w:rPr/>
      </w:pPr>
      <w:r>
        <w:rPr>
          <w:color w:val="000000"/>
        </w:rPr>
        <w:t>“</w:t>
      </w:r>
      <w:r>
        <w:rPr>
          <w:rFonts w:ascii="Times New Roman" w:hAnsi="Times New Roman"/>
          <w:b/>
          <w:i/>
          <w:color w:val="000000"/>
          <w:sz w:val="24"/>
        </w:rPr>
        <w:t>SAR</w:t>
      </w:r>
      <w:r>
        <w:rPr>
          <w:color w:val="000000"/>
        </w:rPr>
        <w:t xml:space="preserve">” </w:t>
      </w:r>
      <w:r>
        <w:rPr>
          <w:rFonts w:ascii="Times New Roman" w:hAnsi="Times New Roman"/>
          <w:color w:val="000000"/>
          <w:sz w:val="24"/>
        </w:rPr>
        <w:t>or “</w:t>
      </w:r>
      <w:r>
        <w:rPr>
          <w:rFonts w:ascii="Times New Roman" w:hAnsi="Times New Roman"/>
          <w:b/>
          <w:color w:val="000000"/>
          <w:sz w:val="24"/>
        </w:rPr>
        <w:t>S</w:t>
      </w:r>
      <w:r>
        <w:rPr>
          <w:rFonts w:ascii="Times New Roman" w:hAnsi="Times New Roman"/>
          <w:b/>
          <w:i/>
          <w:color w:val="000000"/>
          <w:sz w:val="24"/>
        </w:rPr>
        <w:t>tock Appreciation Right</w:t>
      </w:r>
      <w:r>
        <w:rPr>
          <w:color w:val="000000"/>
        </w:rPr>
        <w:t xml:space="preserve">” </w:t>
      </w:r>
      <w:r>
        <w:rPr>
          <w:rFonts w:ascii="Times New Roman" w:hAnsi="Times New Roman"/>
          <w:color w:val="000000"/>
          <w:sz w:val="24"/>
        </w:rPr>
        <w:t>means the right to receive an amount, in cash and/or Common Stock, equal to the excess of the Fair Market Value of a specified number of shares of Common Stock as of the date the SAR is exercised (or, as provided in the Award Agreement, converted) over the SAR Price for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2.41</w:t>
      </w:r>
    </w:p>
    <w:p>
      <w:pPr>
        <w:pStyle w:val="TextBody"/>
        <w:bidi w:val="0"/>
        <w:spacing w:before="0" w:after="240"/>
        <w:jc w:val="both"/>
        <w:rPr/>
      </w:pPr>
      <w:r>
        <w:rPr>
          <w:color w:val="000000"/>
        </w:rPr>
        <w:t>“</w:t>
      </w:r>
      <w:r>
        <w:rPr>
          <w:rFonts w:ascii="Times New Roman" w:hAnsi="Times New Roman"/>
          <w:b/>
          <w:i/>
          <w:color w:val="000000"/>
          <w:sz w:val="24"/>
        </w:rPr>
        <w:t>SAR Price</w:t>
      </w:r>
      <w:r>
        <w:rPr>
          <w:color w:val="000000"/>
        </w:rPr>
        <w:t xml:space="preserve">” </w:t>
      </w:r>
      <w:r>
        <w:rPr>
          <w:rFonts w:ascii="Times New Roman" w:hAnsi="Times New Roman"/>
          <w:color w:val="000000"/>
          <w:sz w:val="24"/>
        </w:rPr>
        <w:t>means the exercise price or conversion price of each share of Common Stock covered by a SAR, determined on the Date of Grant of the SAR.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2.42</w:t>
      </w:r>
    </w:p>
    <w:p>
      <w:pPr>
        <w:pStyle w:val="TextBody"/>
        <w:bidi w:val="0"/>
        <w:spacing w:before="0" w:after="240"/>
        <w:jc w:val="both"/>
        <w:rPr/>
      </w:pPr>
      <w:r>
        <w:rPr>
          <w:color w:val="000000"/>
        </w:rPr>
        <w:t>“</w:t>
      </w:r>
      <w:r>
        <w:rPr>
          <w:rFonts w:ascii="Times New Roman" w:hAnsi="Times New Roman"/>
          <w:b/>
          <w:i/>
          <w:color w:val="000000"/>
          <w:sz w:val="24"/>
        </w:rPr>
        <w:t>Spread</w:t>
      </w:r>
      <w:r>
        <w:rPr>
          <w:color w:val="000000"/>
        </w:rPr>
        <w:t xml:space="preserve">” </w:t>
      </w:r>
      <w:r>
        <w:rPr>
          <w:rFonts w:ascii="Times New Roman" w:hAnsi="Times New Roman"/>
          <w:color w:val="000000"/>
          <w:sz w:val="24"/>
        </w:rPr>
        <w:t xml:space="preserve">is defined in </w:t>
      </w:r>
      <w:r>
        <w:rPr>
          <w:rFonts w:ascii="Times New Roman" w:hAnsi="Times New Roman"/>
          <w:color w:val="000000"/>
          <w:sz w:val="24"/>
          <w:u w:val="single"/>
        </w:rPr>
        <w:t>Section 12.4(b)</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2.43</w:t>
      </w:r>
    </w:p>
    <w:p>
      <w:pPr>
        <w:pStyle w:val="TextBody"/>
        <w:bidi w:val="0"/>
        <w:spacing w:before="0" w:after="240"/>
        <w:jc w:val="both"/>
        <w:rPr/>
      </w:pPr>
      <w:r>
        <w:rPr>
          <w:color w:val="000000"/>
        </w:rPr>
        <w:t>“</w:t>
      </w:r>
      <w:r>
        <w:rPr>
          <w:rFonts w:ascii="Times New Roman" w:hAnsi="Times New Roman"/>
          <w:b/>
          <w:i/>
          <w:color w:val="000000"/>
          <w:sz w:val="24"/>
        </w:rPr>
        <w:t>Stock Option</w:t>
      </w:r>
      <w:r>
        <w:rPr>
          <w:color w:val="000000"/>
        </w:rPr>
        <w:t xml:space="preserve">” </w:t>
      </w:r>
      <w:r>
        <w:rPr>
          <w:rFonts w:ascii="Times New Roman" w:hAnsi="Times New Roman"/>
          <w:color w:val="000000"/>
          <w:sz w:val="24"/>
        </w:rPr>
        <w:t>means a Nonqualified Stock Option or an Incentive Stock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2.44</w:t>
      </w:r>
    </w:p>
    <w:p>
      <w:pPr>
        <w:pStyle w:val="TextBody"/>
        <w:bidi w:val="0"/>
        <w:spacing w:before="0" w:after="240"/>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means (a)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(b) any limited partnership, if the Company or any corporation described in item (a) above owns a majority of the general partnership interest and a majority of the limited partnership interests entitled to vote on the removal and replacement of the general partner, and (c) any partnership or limited liability company, if the partners or members thereof are composed only of the Company, any corporation listed in item (a) above or any limited partnership listed in item (b) above. “</w:t>
      </w:r>
      <w:r>
        <w:rPr>
          <w:rFonts w:ascii="Times New Roman" w:hAnsi="Times New Roman"/>
          <w:b/>
          <w:i/>
          <w:color w:val="000000"/>
          <w:sz w:val="24"/>
        </w:rPr>
        <w:t>Subsidiaries</w:t>
      </w:r>
      <w:r>
        <w:rPr>
          <w:color w:val="000000"/>
        </w:rPr>
        <w:t xml:space="preserve">” </w:t>
      </w:r>
      <w:r>
        <w:rPr>
          <w:rFonts w:ascii="Times New Roman" w:hAnsi="Times New Roman"/>
          <w:color w:val="000000"/>
          <w:sz w:val="24"/>
        </w:rPr>
        <w:t>means more than one of any such corporations, limited partnerships, partnerships or limited liability companies.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2.45</w:t>
      </w:r>
    </w:p>
    <w:p>
      <w:pPr>
        <w:pStyle w:val="TextBody"/>
        <w:bidi w:val="0"/>
        <w:spacing w:before="0" w:after="240"/>
        <w:jc w:val="both"/>
        <w:rPr/>
      </w:pPr>
      <w:r>
        <w:rPr>
          <w:color w:val="000000"/>
        </w:rPr>
        <w:t>“</w:t>
      </w:r>
      <w:r>
        <w:rPr>
          <w:rFonts w:ascii="Times New Roman" w:hAnsi="Times New Roman"/>
          <w:b/>
          <w:i/>
          <w:color w:val="000000"/>
          <w:sz w:val="24"/>
        </w:rPr>
        <w:t>Termination of Service</w:t>
      </w:r>
      <w:r>
        <w:rPr>
          <w:color w:val="000000"/>
        </w:rPr>
        <w:t xml:space="preserve">” </w:t>
      </w:r>
      <w:r>
        <w:rPr>
          <w:rFonts w:ascii="Times New Roman" w:hAnsi="Times New Roman"/>
          <w:color w:val="000000"/>
          <w:sz w:val="24"/>
        </w:rPr>
        <w:t xml:space="preserve">occurs when a Participant who is (a) an Employee of the Company or any Subsidiary ceases to serve as an Employee of the Company and its Subsidiaries, for any reason; (b) an Outside Director of the Company or a Subsidiary ceases to serve as a director of the Company and its Subsidiaries for any reason; or (c) a Contractor of the Company or a Subsidiary ceases to serve as a Contractor of the Company and its Subsidiaries for any reason. Except as may be necessary or desirable to comply with applicable federal or state law or as otherwise may be provided by a Participant’s Award Agreement, a “Termination of Service” shall not be deemed to have occurred when a Participant who is an Employee becomes an Outside Director or Contractor or vice versa. If, however, a Participant who is an Employee and who has an Incentive Stock Option ceases to be an Employee but does not suffer a Termination of Service, and if that Participant does not exercise the Incentive Stock Option within the time required under Section 422 of the Code upon ceasing to be an Employee, the Incentive Stock Option shall thereafter become a Nonqualified Stock Option. Notwithstanding the foregoing provisions of this </w:t>
      </w:r>
      <w:r>
        <w:rPr>
          <w:rFonts w:ascii="Times New Roman" w:hAnsi="Times New Roman"/>
          <w:color w:val="000000"/>
          <w:sz w:val="24"/>
          <w:u w:val="single"/>
        </w:rPr>
        <w:t>Section 2.45</w:t>
      </w:r>
      <w:r>
        <w:rPr>
          <w:rFonts w:ascii="Times New Roman" w:hAnsi="Times New Roman"/>
          <w:color w:val="000000"/>
          <w:sz w:val="24"/>
        </w:rPr>
        <w:t xml:space="preserve">, in the event an Award issued under the Plan is subject to Section 409A of the Code, then, in lieu of the foregoing definition and to the extent necessary to comply with the </w:t>
      </w:r>
    </w:p>
    <w:p>
      <w:pPr>
        <w:pStyle w:val="TextBody"/>
        <w:bidi w:val="0"/>
        <w:jc w:val="center"/>
        <w:rPr>
          <w:rFonts w:ascii="Times New Roman" w:hAnsi="Times New Roman"/>
          <w:color w:val="000000"/>
          <w:sz w:val="22"/>
        </w:rPr>
      </w:pPr>
      <w:r>
        <w:rPr>
          <w:rFonts w:ascii="Times New Roman" w:hAnsi="Times New Roman"/>
          <w:color w:val="000000"/>
          <w:sz w:val="22"/>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requirements of Section 409A of the Code, the definition of “Termination of Service” for purposes of such Award shall be the definition of “separation from service” provided for under Section 409A of the Code and the regulations or other guidance issued thereunder.</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2.46</w:t>
      </w:r>
    </w:p>
    <w:p>
      <w:pPr>
        <w:pStyle w:val="TextBody"/>
        <w:bidi w:val="0"/>
        <w:spacing w:before="0" w:after="480"/>
        <w:jc w:val="both"/>
        <w:rPr/>
      </w:pPr>
      <w:r>
        <w:rPr>
          <w:color w:val="000000"/>
        </w:rPr>
        <w:t>“</w:t>
      </w:r>
      <w:r>
        <w:rPr>
          <w:rFonts w:ascii="Times New Roman" w:hAnsi="Times New Roman"/>
          <w:b/>
          <w:i/>
          <w:color w:val="000000"/>
          <w:sz w:val="24"/>
        </w:rPr>
        <w:t>Total and Permanent Disability</w:t>
      </w:r>
      <w:r>
        <w:rPr>
          <w:color w:val="000000"/>
        </w:rPr>
        <w:t xml:space="preserve">” </w:t>
      </w:r>
      <w:r>
        <w:rPr>
          <w:rFonts w:ascii="Times New Roman" w:hAnsi="Times New Roman"/>
          <w:color w:val="000000"/>
          <w:sz w:val="24"/>
        </w:rPr>
        <w:t xml:space="preserve">means a Participant is qualified for long-term disability benefits under the Company’s or Subsidiary’s disability plan or insurance policy or under any applicable non-U.S. law; or, if no such plan or policy is then in existence or if the Participant is not eligible to participate in such plan or policy, that the Participant, because of a physical or mental condition resulting from bodily injury, disease, or mental disorder, is unable to perform the Participant’s duties of employment for a period of six continuous months, as determined in good faith by the Committee, based upon medical reports or other evidence satisfactory to the Committee; </w:t>
      </w:r>
      <w:r>
        <w:rPr>
          <w:rFonts w:ascii="Times New Roman" w:hAnsi="Times New Roman"/>
          <w:color w:val="000000"/>
          <w:sz w:val="24"/>
          <w:u w:val="single"/>
        </w:rPr>
        <w:t>provided</w:t>
      </w:r>
      <w:r>
        <w:rPr>
          <w:color w:val="000000"/>
        </w:rPr>
        <w:t xml:space="preserve"> </w:t>
      </w:r>
      <w:r>
        <w:rPr>
          <w:rFonts w:ascii="Times New Roman" w:hAnsi="Times New Roman"/>
          <w:color w:val="000000"/>
          <w:sz w:val="24"/>
          <w:u w:val="single"/>
        </w:rPr>
        <w:t>that</w:t>
      </w:r>
      <w:r>
        <w:rPr>
          <w:rFonts w:ascii="Times New Roman" w:hAnsi="Times New Roman"/>
          <w:color w:val="000000"/>
          <w:sz w:val="24"/>
        </w:rPr>
        <w:t xml:space="preserve">, with respect to any Incentive Stock Option, Total and Permanent Disability shall have the meaning given it under the rules governing Incentive Stock Options under the Code. Notwithstanding the foregoing provisions of this </w:t>
      </w:r>
      <w:r>
        <w:rPr>
          <w:rFonts w:ascii="Times New Roman" w:hAnsi="Times New Roman"/>
          <w:color w:val="000000"/>
          <w:sz w:val="24"/>
          <w:u w:val="single"/>
        </w:rPr>
        <w:t>Section 2.46</w:t>
      </w:r>
      <w:r>
        <w:rPr>
          <w:rFonts w:ascii="Times New Roman" w:hAnsi="Times New Roman"/>
          <w:color w:val="000000"/>
          <w:sz w:val="24"/>
        </w:rPr>
        <w:t>, in the event an Award issued under the Plan is subject to Section 409A of the Code, then, in lieu of the foregoing definition and to the extent necessary to comply with the requirements of Section 409A of the Code, the definition of “Total and Permanent Disability” for purposes of such Award shall be the definition of “disability” provided for under Section 409A of the Code and the regulations or other guidance issued thereunder.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ADMINISTRATION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b/>
          <w:color w:val="000000"/>
          <w:sz w:val="22"/>
        </w:rPr>
        <w:t>General Administration; Establishment of Committee.</w:t>
      </w:r>
      <w:r>
        <w:rPr>
          <w:color w:val="000000"/>
        </w:rPr>
        <w:t xml:space="preserve"> </w:t>
      </w:r>
      <w:r>
        <w:rPr>
          <w:rFonts w:ascii="Times New Roman" w:hAnsi="Times New Roman"/>
          <w:color w:val="000000"/>
          <w:sz w:val="22"/>
        </w:rPr>
        <w:t xml:space="preserve">Subject to the terms of this </w:t>
      </w:r>
      <w:r>
        <w:rPr>
          <w:rFonts w:ascii="Times New Roman" w:hAnsi="Times New Roman"/>
          <w:color w:val="000000"/>
          <w:sz w:val="22"/>
          <w:u w:val="single"/>
        </w:rPr>
        <w:t>Article 3</w:t>
      </w:r>
      <w:r>
        <w:rPr>
          <w:rFonts w:ascii="Times New Roman" w:hAnsi="Times New Roman"/>
          <w:color w:val="000000"/>
          <w:sz w:val="22"/>
        </w:rPr>
        <w:t>, the Plan shall be administered by the Board or the Committee, if a Committee is designated by the Board to administer the Plan. The Committee shall consist of not fewer than two persons, unless there are not two members of the Board who meet the qualification requirements set forth herein to administer the Plan, in which case, the Committee may consist of one person. Any member of the Committee may be removed at any time, with or without cause, by resolution of the Board. Any vacancy occurring in the membership of the Committee may be filled by appointment by the Board. At any time there is no Committee to administer the Plan, any references in this Plan to the Committee shall be deemed to refer to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Membership on the Committee shall be limited to those members of the Board who are “non-employee directors” as defined in Rule 16b-3 promulgated under the Exchange Act. The Committee shall select one of its members to act as its Chairman. A majority of the Committee shall constitute a quorum, and the act of a majority of the members of the Committee present at a meeting at which a quorum is present shall be the act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Designation of Participants and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or the Board shall determine and designate from time to time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Plan. The Committee shall determine whether an Award shall include one type of Incentive or two or more Incentives granted in combination or two or more Incentives granted in tandem (that is, a joint grant where exercise of one Incentive results in cancellation of all or a portion of the other Incentive). Although the members of the Committee shall be eligible to receive Awards, all decisions with respect to any Award, and the terms and conditions thereof, to be granted under the Plan to any member of the Committee shall be made solely and exclusively </w:t>
      </w:r>
    </w:p>
    <w:p>
      <w:pPr>
        <w:pStyle w:val="TextBody"/>
        <w:bidi w:val="0"/>
        <w:jc w:val="center"/>
        <w:rPr>
          <w:rFonts w:ascii="Times New Roman" w:hAnsi="Times New Roman"/>
          <w:color w:val="000000"/>
          <w:sz w:val="22"/>
        </w:rPr>
      </w:pPr>
      <w:r>
        <w:rPr>
          <w:rFonts w:ascii="Times New Roman" w:hAnsi="Times New Roman"/>
          <w:color w:val="000000"/>
          <w:sz w:val="22"/>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the other members of the Committee, or if such member is the only member of the Committee, by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Notwithstanding </w:t>
      </w:r>
      <w:r>
        <w:rPr>
          <w:rFonts w:ascii="Times New Roman" w:hAnsi="Times New Roman"/>
          <w:color w:val="000000"/>
          <w:sz w:val="24"/>
          <w:u w:val="single"/>
        </w:rPr>
        <w:t>Section 3.2(a)</w:t>
      </w:r>
      <w:r>
        <w:rPr>
          <w:rFonts w:ascii="Times New Roman" w:hAnsi="Times New Roman"/>
          <w:color w:val="000000"/>
          <w:sz w:val="24"/>
        </w:rPr>
        <w:t>, to the extent permitted by Applicable Law, the Board may, in its discretion and by a resolution adopted by the Board, authorize one or more officers of the Company (an “</w:t>
      </w:r>
      <w:r>
        <w:rPr>
          <w:rFonts w:ascii="Times New Roman" w:hAnsi="Times New Roman"/>
          <w:b/>
          <w:i/>
          <w:color w:val="000000"/>
          <w:sz w:val="24"/>
        </w:rPr>
        <w:t>Authorized Officer</w:t>
      </w:r>
      <w:r>
        <w:rPr>
          <w:color w:val="000000"/>
        </w:rPr>
        <w:t>”</w:t>
      </w:r>
      <w:r>
        <w:rPr>
          <w:rFonts w:ascii="Times New Roman" w:hAnsi="Times New Roman"/>
          <w:color w:val="000000"/>
          <w:sz w:val="24"/>
        </w:rPr>
        <w:t xml:space="preserve">) to (i) designate one or more Employees as eligible persons to whom Awards will be granted under the Plan, and (ii) determine the number of shares of Common Stock that will be subject to such Awards;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resolution of the Board granting such authority shall (x) specify the total number of shares of Common Stock that may be made subject to the Awards, (y) set forth the price or prices (or a formula by which such price or prices may be determined) to be paid for the purchase of the Common Stock subject to such Awards, and (z) not authorize an officer to designate such officer as a recipient of any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b/>
          <w:color w:val="000000"/>
          <w:sz w:val="22"/>
        </w:rPr>
        <w:t>Authority of the Committee.</w:t>
      </w:r>
      <w:r>
        <w:rPr>
          <w:color w:val="000000"/>
        </w:rPr>
        <w:t xml:space="preserve"> </w:t>
      </w:r>
      <w:r>
        <w:rPr>
          <w:rFonts w:ascii="Times New Roman" w:hAnsi="Times New Roman"/>
          <w:color w:val="000000"/>
          <w:sz w:val="22"/>
        </w:rPr>
        <w:t>The Committee, in its discretion, shall (a) interpret the Plan and Award Agreements, (b) prescribe, amend, and rescind any rules and regulations, and sub-plans (including sub-plans for Awards made to Participants who are not residents in the United States) as necessary or appropriate for the administration of the Plan, to obtain favorable tax treatment for the Awards or to ensure compliance with securities law, (c) establish performance goals for an Award and certify the extent of their achievement, and (d) make such other determinations or certifications and take such other action as it deems necessary or advisable in the administration of the Plan. Any interpretation, determination, or other action made or taken by the Committee shall be final, binding, and conclusive on all interested parties. The Committee’s discretion set forth herein shall not be limited by any provision of the Plan, including any provision which by its terms is applicable notwithstanding any other provision of the Plan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Committee may delegate to officers of the Company, pursuant to a written delegation, the authority to perform specified functions under the Plan. Any actions taken by any officers of the Company pursuant to such written delegation of authority shall be deemed to have been taken by the Committee.</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With respect to restrictions in the Plan that are based on the requirements of Rule 16b</w:t>
        <w:noBreakHyphen/>
        <w:t>3 promulgated under the Exchange Act, Section 422 of the Code, the rules of any exchange or inter-dealer quotation system upon which the Company’s securities are listed or quoted, or any other Applicable Law, to the extent that any such restrictions are no longer required by Applicable Law, the Committee shall have the sole discretion and authority to grant Awards that are not subject to such formerly mandated restrictions and/or to waive any such formerly mandated restrictions with respect to outstanding Awards.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480"/>
        <w:jc w:val="both"/>
        <w:rPr>
          <w:rFonts w:ascii="Times New Roman" w:hAnsi="Times New Roman"/>
          <w:sz w:val="20"/>
        </w:rPr>
      </w:pPr>
      <w:r>
        <w:rPr>
          <w:rFonts w:ascii="Times New Roman" w:hAnsi="Times New Roman"/>
          <w:color w:val="000000"/>
          <w:sz w:val="24"/>
        </w:rPr>
        <w:t>Any Employee (including an Employee who is also a director or an officer), Contractor or Outside Director of the Company whose judgment, initiative, and efforts contributed or may be expected to contribute to the successful performance of the Company is eligible to participate in the Plan; provided that only Employees of a Corporation shall be eligible to receive Incentive Stock Options. The Committee, upon its own action, may grant, but shall not be required to grant, an Award to any Employee, Contractor or Outside Director. Awards may be granted by the Committee at any time and from time to time to new Participants, or to then Participants, or to a greater or lesser number of Participants, and may include or exclude previous Participants, as the Committee shall determine. Except as required by this Plan, Awards need not contain similar provisions. The Committee’s determinations under the Plan (including without limitation determinations of which Employees, Contractors or Outside Directors, if any, are to receive Awards, the form, amount and timing of such Awards, the terms and provisions of such Awards and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agreements evidencing same) need not be uniform and may be made by it selectively among Participants who receive, or are eligible to receive, Awards under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SHARES SUBJECT TO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b/>
          <w:color w:val="000000"/>
          <w:sz w:val="22"/>
        </w:rPr>
        <w:t>Number Available for Awards.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Subject to adjustment as provided in </w:t>
      </w:r>
      <w:r>
        <w:rPr>
          <w:rFonts w:ascii="Times New Roman" w:hAnsi="Times New Roman"/>
          <w:color w:val="000000"/>
          <w:sz w:val="22"/>
          <w:u w:val="single"/>
        </w:rPr>
        <w:t>Articles 11 and 12</w:t>
      </w:r>
      <w:r>
        <w:rPr>
          <w:rFonts w:ascii="Times New Roman" w:hAnsi="Times New Roman"/>
          <w:color w:val="000000"/>
          <w:sz w:val="22"/>
        </w:rPr>
        <w:t>,</w:t>
      </w:r>
      <w:r>
        <w:rPr>
          <w:color w:val="000000"/>
        </w:rPr>
        <w:t xml:space="preserve"> </w:t>
      </w:r>
      <w:r>
        <w:rPr>
          <w:rFonts w:ascii="Times New Roman" w:hAnsi="Times New Roman"/>
          <w:color w:val="000000"/>
          <w:sz w:val="22"/>
        </w:rPr>
        <w:t>the maximum number of shares of Common Stock that may be delivered pursuant to Awards granted under the Plan is four million (4,000,000) shares, of which one hundred percent (100%)</w:t>
      </w:r>
      <w:r>
        <w:rPr>
          <w:color w:val="000000"/>
        </w:rPr>
        <w:t xml:space="preserve"> </w:t>
      </w:r>
      <w:r>
        <w:rPr>
          <w:rFonts w:ascii="Times New Roman" w:hAnsi="Times New Roman"/>
          <w:color w:val="000000"/>
          <w:sz w:val="22"/>
        </w:rPr>
        <w:t xml:space="preserve">may be delivered pursuant to Incentive Stock Options.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Plan Awards shall remain outstanding following the Effective Date in accordance with their terms. With respect to Prior Plan Awards, if such a Prior Plan Award, on or after the Effective Date, lapses, expires, terminates or is canceled prior to the issuance of shares thereunder or if shares of Common Stock are issued under the Prior Plan to a Participant and thereafter are reacquired by the Company, the shares subject to such Prior Plan Awards and the reacquired shares shall again be available for issuance under this Plan. In addition, the following shares of Common Stock shall not be treated as having been issued under the Prior Plan and shall again be available for issuance under this Plan: (i) shares tendered by a Participant or retained by the Company as full or partial payment to the Company for the purchase price of a Prior Plan Award or to satisfy tax withholding obligations in connection with a Prior Plan Award, (ii) shares covered by a Prior Plan Award that is settled in cash, or (iii) the number of shares subject to a Prior Plan Award that is a stock appreciation right in excess of the number of shares that are delivered to the Participant upon exercise of such Prior Plan Award.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b/>
          <w:color w:val="000000"/>
          <w:sz w:val="22"/>
        </w:rPr>
        <w:t>Reuse of Shares.</w:t>
      </w:r>
      <w:r>
        <w:rPr>
          <w:color w:val="000000"/>
        </w:rPr>
        <w:t xml:space="preserve"> </w:t>
      </w:r>
      <w:r>
        <w:rPr>
          <w:rFonts w:ascii="Times New Roman" w:hAnsi="Times New Roman"/>
          <w:color w:val="000000"/>
          <w:sz w:val="22"/>
        </w:rPr>
        <w:t xml:space="preserve">To the extent that any Award under this Plan shall be forfeited, shall expire or be canceled, in whole or in part, then the number of shares of Common Stock covered by the Award so forfeited, expired or canceled may again be awarded pursuant to the provisions of this Plan. Notwithstanding the foregoing, (i) the number of shares of Common Stock tendered or withheld in payment of any Option Price or SAR Price of an Award or taxes relating to an Award, (ii) shares of Common Stock that were subject to a Stock Option or a SAR but were not issued or delivered as a result of the net settlement or net exercise of such Stock Option or SAR and (iii) shares of Common Stock repurchased on the open market with the proceeds of a Stock Option’s Option Price, will not, in each case, be available for Awards under this Plan. Awards that may be satisfied either by the issuance of shares of Common Stock or by cash or other consideration shall be counted against the maximum number of shares of Common Stock that may be issued under this Plan only during the period that the Award is outstanding or to the extent the Award is ultimately satisfied by the issuance of shares of Common Stock. Awards will not reduce the number of shares of Common Stock that may be issued pursuant to this Plan if the settlement of the Award will not require the issuance of shares of Common Stock, as, for example, a SAR that can be satisfied only by the payment of cash. Notwithstanding any provisions of the Plan to the contrary, shares forfeited back to the Company and shares canceled on account of termination, expiration or lapse of an Award shall again be available for grant of Incentive Stock Options under the Plan, but shall not increase the maximum number of shares described in </w:t>
      </w:r>
      <w:r>
        <w:rPr>
          <w:rFonts w:ascii="Times New Roman" w:hAnsi="Times New Roman"/>
          <w:color w:val="000000"/>
          <w:sz w:val="22"/>
          <w:u w:val="single"/>
        </w:rPr>
        <w:t>Section 5.1</w:t>
      </w:r>
      <w:r>
        <w:rPr>
          <w:color w:val="000000"/>
        </w:rPr>
        <w:t xml:space="preserve"> </w:t>
      </w:r>
      <w:r>
        <w:rPr>
          <w:rFonts w:ascii="Times New Roman" w:hAnsi="Times New Roman"/>
          <w:color w:val="000000"/>
          <w:sz w:val="22"/>
        </w:rPr>
        <w:t>above as the maximum number of shares of Common Stock that may be delivered pursuant to Incentive Stock Options.</w:t>
      </w:r>
    </w:p>
    <w:p>
      <w:pPr>
        <w:pStyle w:val="TextBody"/>
        <w:bidi w:val="0"/>
        <w:jc w:val="center"/>
        <w:rPr>
          <w:rFonts w:ascii="Times New Roman" w:hAnsi="Times New Roman"/>
          <w:color w:val="000000"/>
          <w:sz w:val="22"/>
        </w:rPr>
      </w:pPr>
      <w:r>
        <w:rPr>
          <w:rFonts w:ascii="Times New Roman" w:hAnsi="Times New Roman"/>
          <w:color w:val="000000"/>
          <w:sz w:val="22"/>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b/>
          <w:color w:val="000000"/>
          <w:sz w:val="22"/>
        </w:rPr>
        <w:t>Limitation on Outside Director Awards</w:t>
      </w:r>
      <w:r>
        <w:rPr>
          <w:rFonts w:ascii="Times New Roman" w:hAnsi="Times New Roman"/>
          <w:color w:val="000000"/>
          <w:sz w:val="22"/>
        </w:rPr>
        <w:t>. No Outside Director may be granted any Award or Awards denominated in shares that exceed in the aggregate $500,000 in Fair Market Value (such Fair Market Value computed as of the Date of Grant) in any calendar year period that, plus an additional $500,000 in Fair Market Value (determined as of the Date of Grant) for one-time awards to a newly appointed or elected Outside Director.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GRANT OF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grant of an Award shall be authorized by the Committee and shall be evidenced by an Award Agreement setting forth the Incentive or Incentives being granted, the total number of shares of Common Stock subject to the Incentive(s), the Option Price (if applicable), the Award Period, the Date of Grant, and such other terms, provisions, limitations, and performance objectives, as are approved by the Committee, but (i) not inconsistent with the Plan and (ii) to the extent an Award issued under the Plan is subject to Section 409A of the Code, in compliance with the applicable requirements of Section 409A of the Code and the regulations or other guidance issued thereunder. The Company shall execute an Award Agreement with a Participant after the Committee approves the issuance of an Award. Any Award granted pursuant to this Plan must be granted within 10 years of Board Approval Date. The Plan shall be submitted to the Company’s stockholder</w:t>
      </w:r>
      <w:r>
        <w:rPr>
          <w:rFonts w:ascii="Times New Roman" w:hAnsi="Times New Roman"/>
          <w:b/>
          <w:color w:val="000000"/>
          <w:sz w:val="24"/>
        </w:rPr>
        <w:t xml:space="preserve">s </w:t>
      </w:r>
      <w:r>
        <w:rPr>
          <w:rFonts w:ascii="Times New Roman" w:hAnsi="Times New Roman"/>
          <w:color w:val="000000"/>
          <w:sz w:val="24"/>
        </w:rPr>
        <w:t>for approval at the first stockholder meeting after the Board Approval Date; however, the Committee may grant Awards under the Plan prior to the time of stockholder</w:t>
      </w:r>
      <w:r>
        <w:rPr>
          <w:color w:val="000000"/>
        </w:rPr>
        <w:t xml:space="preserve"> </w:t>
      </w:r>
      <w:r>
        <w:rPr>
          <w:rFonts w:ascii="Times New Roman" w:hAnsi="Times New Roman"/>
          <w:color w:val="000000"/>
          <w:sz w:val="24"/>
        </w:rPr>
        <w:t>approval. Any such Award granted prior to such stockholder</w:t>
      </w:r>
      <w:r>
        <w:rPr>
          <w:color w:val="000000"/>
        </w:rPr>
        <w:t xml:space="preserve"> </w:t>
      </w:r>
      <w:r>
        <w:rPr>
          <w:rFonts w:ascii="Times New Roman" w:hAnsi="Times New Roman"/>
          <w:color w:val="000000"/>
          <w:sz w:val="24"/>
        </w:rPr>
        <w:t>approval shall be made subject to the attainment of such stockholder</w:t>
      </w:r>
      <w:r>
        <w:rPr>
          <w:color w:val="000000"/>
        </w:rPr>
        <w:t xml:space="preserve"> </w:t>
      </w:r>
      <w:r>
        <w:rPr>
          <w:rFonts w:ascii="Times New Roman" w:hAnsi="Times New Roman"/>
          <w:color w:val="000000"/>
          <w:sz w:val="24"/>
        </w:rPr>
        <w:t>approval. The grant of an Award to a Participant shall not be deemed either to entitle the Participant to, or to disqualify the Participant from, receipt of any other Award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Committee establishes a purchase price for an Award, the Participant must accept such Award within a period of 30 days (or such shorter period as the Committee may specify) after the Date of Grant by executing the applicable Award Agreement and paying such purchase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Award under this Plan that is settled in whole or in part in cash on a deferred basis may provide for interest equivalents to be credited with respect to such cash payment. Interest equivalents may be compounded and shall be paid upon such terms and conditions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b/>
          <w:color w:val="000000"/>
          <w:sz w:val="22"/>
        </w:rPr>
        <w:t>Option Price.</w:t>
      </w:r>
      <w:r>
        <w:rPr>
          <w:color w:val="000000"/>
        </w:rPr>
        <w:t xml:space="preserve"> </w:t>
      </w:r>
      <w:r>
        <w:rPr>
          <w:rFonts w:ascii="Times New Roman" w:hAnsi="Times New Roman"/>
          <w:color w:val="000000"/>
          <w:sz w:val="22"/>
        </w:rPr>
        <w:t xml:space="preserve">The Option Price for any share of Common Stock which may be purchased under a Nonqualified Stock Option for any share of Common Stock must be equal to or greater than the Fair Market Value of the share on the Date of Grant. The Option Price for any share of Common Stock which may be purchased under an Incentive Stock Option must be at least equal to the Fair Market Value of the share on the Date of Grant; if an Incentive Stock Option is granted to an Employee who owns or is deemed to own (by reason of the attribution rules of Section 424(d) of the Code) more than 10% of the combined voting power of all classes of stock of the Company (or any parent or Subsidiary), the Option Price shall be at least 110% of the Fair Market Value of the Common Stock on the Date of Grant.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b/>
          <w:color w:val="000000"/>
          <w:sz w:val="22"/>
        </w:rPr>
        <w:t>Maximum ISO Grants.</w:t>
      </w:r>
      <w:r>
        <w:rPr>
          <w:color w:val="000000"/>
        </w:rPr>
        <w:t xml:space="preserve"> </w:t>
      </w:r>
      <w:r>
        <w:rPr>
          <w:rFonts w:ascii="Times New Roman" w:hAnsi="Times New Roman"/>
          <w:color w:val="000000"/>
          <w:sz w:val="22"/>
        </w:rPr>
        <w:t xml:space="preserve">The Committee may not grant Incentive Stock Options under the Plan to any Employee which would permit the aggregate Fair Market Value (determined on the Date of Grant) of the Common Stock with respect to which Incentive Stock Options (under this and any other plan of the Company and its Subsidiaries) are exercisable for the first time by such Employee during any calendar year to exceed $100,000. To the extent any Stock Option granted under this Plan which is designated as an Incentive Stock Option exceeds this limit or otherwise fails to qualify as an Incentive Stock Option, such Stock Option (or any such portion thereof) </w:t>
      </w:r>
    </w:p>
    <w:p>
      <w:pPr>
        <w:pStyle w:val="TextBody"/>
        <w:bidi w:val="0"/>
        <w:jc w:val="center"/>
        <w:rPr>
          <w:rFonts w:ascii="Times New Roman" w:hAnsi="Times New Roman"/>
          <w:color w:val="000000"/>
          <w:sz w:val="22"/>
        </w:rPr>
      </w:pPr>
      <w:r>
        <w:rPr>
          <w:rFonts w:ascii="Times New Roman" w:hAnsi="Times New Roman"/>
          <w:color w:val="000000"/>
          <w:sz w:val="22"/>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be a Nonqualified Stock Option. In such case, the Committee shall designate which stock will be treated as Incentive Stock Option stock by causing the electronic registration of a share (or, if applicable, the issuance of a separate stock certificate) and identifying such stock as Incentive Stock Option stock on the Company’s stock transfer records.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b/>
          <w:color w:val="000000"/>
          <w:sz w:val="22"/>
        </w:rPr>
        <w:t>Restricted Stock.</w:t>
      </w:r>
      <w:r>
        <w:rPr>
          <w:color w:val="000000"/>
        </w:rPr>
        <w:t xml:space="preserve"> </w:t>
      </w:r>
      <w:r>
        <w:rPr>
          <w:rFonts w:ascii="Times New Roman" w:hAnsi="Times New Roman"/>
          <w:color w:val="000000"/>
          <w:sz w:val="22"/>
        </w:rPr>
        <w:t>If Restricted Stock is granted to or received by a Participant under an Award (including a Stock Option), the Committee shall set forth in the related Award Agreement, as applicable: (a) the number of shares of Common Stock awarded, (b) the price, if any, to be paid by the Participant for such Restricted Stock and the method of payment of the price, (c) the time or times within which such Award may be subject to forfeiture, (d) specified Performance Goals of the Company, a Subsidiary, any division thereof or any group of Employees of the Company, or other criteria, which the Committee determines must be met in order to remove any restrictions (including vesting) on such Award, and (e) all other terms, limitations, restrictions, and conditions of the Restricted Stock, which shall be consistent with this Plan, to the extent applicable and, to the extent Restricted Stock granted under the Plan is subject to Section 409A of the Code, in compliance with the applicable requirements of Section 409A of the Code and the regulations or other guidance issued thereunder. The provisions of Restricted Stock need not be the same with respect to each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Legend on Shares</w:t>
      </w:r>
      <w:r>
        <w:rPr>
          <w:rFonts w:ascii="Times New Roman" w:hAnsi="Times New Roman"/>
          <w:color w:val="000000"/>
          <w:sz w:val="24"/>
        </w:rPr>
        <w:t xml:space="preserve">. The Company shall electronically register Restricted Stock awarded to a Participant in the Participant’s name, which shall bear an appropriate legend referring to the terms, conditions, and restrictions applicable to such Restricted Stock. No stock certificate or certificates shall be issued with respect to such shares of Common Stock, unless, following the expiration of the Restriction Period (as defined in </w:t>
      </w:r>
      <w:r>
        <w:rPr>
          <w:rFonts w:ascii="Times New Roman" w:hAnsi="Times New Roman"/>
          <w:color w:val="000000"/>
          <w:sz w:val="24"/>
          <w:u w:val="single"/>
        </w:rPr>
        <w:t>Section 6.4(b)(i)</w:t>
      </w:r>
      <w:r>
        <w:rPr>
          <w:rFonts w:ascii="Times New Roman" w:hAnsi="Times New Roman"/>
          <w:color w:val="000000"/>
          <w:sz w:val="24"/>
        </w:rPr>
        <w:t>) without forfeiture in respect of such shares of Common Stock, the Participant requests delivery of the certificate or certificates by submitting a written request to the Committee (or such party designated by the Company) requesting delivery of the certificates. The Company shall deliver the certificates requested by the Participant to the Participant as soon as administratively practicable following the Company’s receipt of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Restrictions and Conditions.</w:t>
      </w:r>
      <w:r>
        <w:rPr>
          <w:color w:val="000000"/>
        </w:rPr>
        <w:t xml:space="preserve"> </w:t>
      </w:r>
      <w:r>
        <w:rPr>
          <w:rFonts w:ascii="Times New Roman" w:hAnsi="Times New Roman"/>
          <w:color w:val="000000"/>
          <w:sz w:val="24"/>
        </w:rPr>
        <w:t>Shares of Restricted Stock shall be subject to the following restrictions and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Subject to the other provisions of this Plan and the terms of the particular Award Agreements, during such period as may be determined by the Committee commencing on the Date of Grant or the date of exercise of an Award (the “</w:t>
      </w:r>
      <w:r>
        <w:rPr>
          <w:rFonts w:ascii="Times New Roman" w:hAnsi="Times New Roman"/>
          <w:b/>
          <w:i/>
          <w:color w:val="000000"/>
          <w:sz w:val="24"/>
        </w:rPr>
        <w:t>Restriction Period</w:t>
      </w:r>
      <w:r>
        <w:rPr>
          <w:color w:val="000000"/>
        </w:rPr>
        <w:t>”</w:t>
      </w:r>
      <w:r>
        <w:rPr>
          <w:rFonts w:ascii="Times New Roman" w:hAnsi="Times New Roman"/>
          <w:color w:val="000000"/>
          <w:sz w:val="24"/>
        </w:rPr>
        <w:t>), the Participant shall not be permitted to sell, transfer, pledge or assign shares of Restricted Stock. Except for these limitations, the Committee may in its sole discretion, remove any or all of the restrictions on such Restricted Stock whenever it may determine that, by reason of changes in Applicable Laws or other changes in circumstances arising after the date of the Award, such action is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provided in sub-paragraph (a) above or in the applicable Award Agreement, the Participant shall have, with respect to the Participant’s Restricted Stock, all of the rights of a stockholder of the Company, including the right to vote the shares, and the right to receive any dividends thereon. Shares of Common Stock free of restriction under this Plan shall be electronically registered in the Participant’s name (or, if certificates are issued shall be delivered to the Participant) promptly after, and only after, the Restriction Period shall expire without forfeiture in respect of such shares of Common Stock or after any other restrictions imposed on such shares of Common Stock by the applicable Award Agreement or other agreement have expired. Common Stock forfeited under the provisions of the Plan and the applicable Award Agreement shall be promptly returned to the Company by the forfeiting Participant (including, if applicable, any </w:t>
      </w:r>
    </w:p>
    <w:p>
      <w:pPr>
        <w:pStyle w:val="TextBody"/>
        <w:bidi w:val="0"/>
        <w:jc w:val="center"/>
        <w:rPr>
          <w:rFonts w:ascii="Times New Roman" w:hAnsi="Times New Roman"/>
          <w:color w:val="000000"/>
          <w:sz w:val="22"/>
        </w:rPr>
      </w:pPr>
      <w:r>
        <w:rPr>
          <w:rFonts w:ascii="Times New Roman" w:hAnsi="Times New Roman"/>
          <w:color w:val="000000"/>
          <w:sz w:val="22"/>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certificates for such shares). Each Award Agreement shall require that: each Participant, in connection with the issuance of a certificate for Restricted Stock, shall endorse such certificate in blank or execute a stock power in form satisfactory to the Company in blank and deliver such certificate and executed stock power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The Restriction Period, subject to </w:t>
      </w:r>
      <w:r>
        <w:rPr>
          <w:rFonts w:ascii="Times New Roman" w:hAnsi="Times New Roman"/>
          <w:color w:val="000000"/>
          <w:sz w:val="24"/>
          <w:u w:val="single"/>
        </w:rPr>
        <w:t>Article 12</w:t>
      </w:r>
      <w:r>
        <w:rPr>
          <w:color w:val="000000"/>
        </w:rPr>
        <w:t xml:space="preserve"> </w:t>
      </w:r>
      <w:r>
        <w:rPr>
          <w:rFonts w:ascii="Times New Roman" w:hAnsi="Times New Roman"/>
          <w:color w:val="000000"/>
          <w:sz w:val="24"/>
        </w:rPr>
        <w:t>of the Plan, unless otherwise established by the Committee in the Award Agreement setting forth the terms of the Restricted Stock, shall expire upon satisfaction of the conditions set forth in the Award Agreement; such conditions may provide for vesting based on length of continuous service or such Performance Goals, as may be determined by the Committee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in the particular Award Agreement, upon Termination of Service for any reason during the Restriction Period, the nonvested shares of Restricted Stock shall be forfeited by the Participant. In the event a Participant has paid any consideration to the Company for such forfeited Restricted Stock, the Committee shall specify in the Award Agreement that either (1) the Company shall be obligated to, or (2) the Company may, in its sole discretion, elect to, pay to the Participant, as soon as practicable after the event causing forfeiture, in cash, an amount equal to the lesser of the total consideration paid by the Participant for such forfeited shares or the Fair Market Value of such forfeited shares as of the date of Termination of Service, as the Committee, in its sole discretion shall select. Upon any forfeiture, all rights of a Participant with respect to the forfeited shares of the Restricted Stock shall cease and terminate, without any further obligation on the part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The Committee may grant SARs to any Participant, either as a separate Award or in connection with a Stock Option. SARs shall be subject to such terms and conditions as the Committee shall impose, provided that such terms and conditions are (a) not inconsistent with the Plan, and (b) to the extent a SAR issued under the Plan is subject to Section 409A of the Code, in compliance with the applicable requirements of Section 409A of the Code and the regulations or other guidance issued thereunder. The grant of the SAR may provide that the holder may be paid for the value of the SAR either in cash or in shares of Common Stock, or a combination thereof. In the event of the exercise of a SAR payable in shares of Common Stock, the holder of the SAR shall receive that number of whole shares of Common Stock having an aggregate Fair Market Value on the date of exercise equal to the value obtained by multiplying (a) the difference between the Fair Market Value of a share of Common Stock on the date of exercise over the SAR Price as set forth in such SAR (or other value specified in the Award Agreement granting the SAR), by (b) the number of shares of Common Stock as to which the SAR is exercised, with a cash settlement to be made for any fractional shares of Common Stock. The SAR Price for any share of Common Stock subject to a SAR may be equal to or greater than the Fair Market Value of the share on the Date of Grant. The Committee, in its sole discretion, may place a ceiling on the amount payable upon exercise of a SAR, but any such limitation shall be specified at the time that the SAR is granted.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b/>
          <w:color w:val="000000"/>
          <w:sz w:val="22"/>
        </w:rPr>
        <w:t>Restricted Stock Units.</w:t>
      </w:r>
      <w:r>
        <w:rPr>
          <w:color w:val="000000"/>
        </w:rPr>
        <w:t xml:space="preserve"> </w:t>
      </w:r>
      <w:r>
        <w:rPr>
          <w:rFonts w:ascii="Times New Roman" w:hAnsi="Times New Roman"/>
          <w:color w:val="000000"/>
          <w:sz w:val="22"/>
        </w:rPr>
        <w:t xml:space="preserve">Restricted Stock Units may be awarded or sold to any Participant under such terms and conditions as shall be established by the Committee, provided, however, that such terms and conditions are (a) not inconsistent with the Plan, and (b) to the extent a Restricted Stock Unit issued under the Plan is subject to Section 409A of the Code, in compliance with the applicable requirements of Section 409A of the Code and the regulations or other guidance issued thereunder. Restricted Stock Units shall be subject to such restrictions as the Committee determines, including, without limitation, (a) a prohibition against sale, assignment, transfer, pledge, hypothecation or other encumbrance for a specified period; or (b) a requirement that the holder forfeit (or in the case of shares of Common Stock or units sold to the Participant, resell to the Company at cost) such shares or units in the event of Termination of Service during the period of restriction. The value of Restricted Stock Units may be paid in Common Stock, cash, or a combination of both, as determined by the Committee, in its sole discretion, and set forth in the Award Agreement. </w:t>
      </w:r>
    </w:p>
    <w:p>
      <w:pPr>
        <w:pStyle w:val="TextBody"/>
        <w:bidi w:val="0"/>
        <w:jc w:val="center"/>
        <w:rPr>
          <w:rFonts w:ascii="Times New Roman" w:hAnsi="Times New Roman"/>
          <w:color w:val="000000"/>
          <w:sz w:val="22"/>
        </w:rPr>
      </w:pPr>
      <w:r>
        <w:rPr>
          <w:rFonts w:ascii="Times New Roman" w:hAnsi="Times New Roman"/>
          <w:color w:val="000000"/>
          <w:sz w:val="22"/>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b/>
          <w:color w:val="000000"/>
          <w:sz w:val="22"/>
        </w:rPr>
        <w:t>Performance Awards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Committee may grant Performance Awards to one or more Participants. The terms and conditions of Performance Awards shall be specified at the time of the grant and may include provisions establishing the performance period, the Performance Goals to be achieved during a performance period, and the maximum or minimum settlement values, provided that such terms and conditions are (i) not inconsistent with the Plan and (ii) to the extent a Performance Award issued under the Plan is subject to Section 409A of the Code, in compliance with the applicable requirements of Section 409A of the Code and the regulations or other guidance issued thereunder. If the Performance Award is to be in shares of Common Stock, the Performance Awards may provide for the issuance of the shares of Common Stock at the time of the grant of the Performance Award or at the time of the certification by the Committee that the Performance Goals for the performance period have been met;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if shares of Common Stock are issued at the time of the grant of the Performance Award and if, at the end of the performance period, the Performance Goals are not certified by the Committee to have been fully satisfied, then, notwithstanding any other provisions of this Plan to the contrary, the Common Stock shall be forfeited in accordance with the terms of the grant to the extent the Committee determines that the Performance Goals were not met. The forfeiture of shares of Common Stock issued at the time of the grant of the Performance Award due to failure to achieve the established Performance Goals shall be separate from and in addition to any other restrictions provided for in this Plan that may be applicable to such shares of Common Stock. Each Performance Award granted to one or more Participants shall have its own terms and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Committee determines, in its sole discretion, that the established performance measures or objectives are no longer suitable because of a change in the Company’s business, operations, corporate structure, or for other reasons that the Committee deemed satisfactory, the Committee may modify the performance measures or objectives and/or the performance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Performance Awards may be valued by reference to the Fair Market Value of a share of Common Stock or according to any formula or method deemed appropriate by the Committee, in its sole discretion, including, but not limited to, achievement of Performance Goals or other specific financial, production, sales or cost performance objectives that the Committee believes to be relevant to the Company’s business and/or remaining in the employ of the Company or a Subsidiary for a specified period of time. Performance Awards may be paid in cash, shares of Common Stock, or other consideration, or any combination thereof. If payable in shares of Common Stock, the consideration for the issuance of such shares may be the achievement of the performance objective established at the time of the grant of the Performance Award. Performance Awards may be payable in a single payment or in installments and may be payable at a specified date or dates or upon attaining the performance objective. The extent to which any applicable performance objective has been achieved shall be conclusively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b/>
          <w:color w:val="000000"/>
          <w:sz w:val="22"/>
        </w:rPr>
        <w:t xml:space="preserve">Dividend Equivalent Rights. </w:t>
      </w:r>
      <w:r>
        <w:rPr>
          <w:rFonts w:ascii="Times New Roman" w:hAnsi="Times New Roman"/>
          <w:color w:val="000000"/>
          <w:sz w:val="22"/>
        </w:rPr>
        <w:t>The Committee may grant a Dividend Equivalent Right to any Participant, either as a component of another Award or as a separate Award. The terms and conditions of the Dividend Equivalent Right shall be specified by the grant. Dividend equivalents credited to the holder of a Dividend Equivalent Right may be paid currently or may be deemed to be reinvested in additional shares of Common Stock (which may thereafter accrue additional dividend equivalents). Any such reinvestment shall be at the Fair Market Value at the time thereof. Dividend Equivalent Rights may be settled in cash or shares of Common Stock, or a combination thereof, in a single payment or in installments. A Dividend Equivalent Right granted as a component of another Award may provide that such Dividend Equivalent Right shall be settled upon exercise, settlement, or payment of, or lapse of restrictions on, such other Award, and that such Dividend Equivalent Right granted as a component of another Award may also contain terms and conditions different from such other Award.</w:t>
      </w:r>
    </w:p>
    <w:p>
      <w:pPr>
        <w:pStyle w:val="TextBody"/>
        <w:bidi w:val="0"/>
        <w:jc w:val="center"/>
        <w:rPr>
          <w:rFonts w:ascii="Times New Roman" w:hAnsi="Times New Roman"/>
          <w:color w:val="000000"/>
          <w:sz w:val="22"/>
        </w:rPr>
      </w:pPr>
      <w:r>
        <w:rPr>
          <w:rFonts w:ascii="Times New Roman" w:hAnsi="Times New Roman"/>
          <w:color w:val="000000"/>
          <w:sz w:val="22"/>
        </w:rPr>
        <w:t>B-13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b/>
          <w:color w:val="000000"/>
          <w:sz w:val="22"/>
        </w:rPr>
        <w:t>Other Awards.</w:t>
      </w:r>
      <w:r>
        <w:rPr>
          <w:color w:val="000000"/>
        </w:rPr>
        <w:t xml:space="preserve"> </w:t>
      </w:r>
      <w:r>
        <w:rPr>
          <w:rFonts w:ascii="Times New Roman" w:hAnsi="Times New Roman"/>
          <w:color w:val="000000"/>
          <w:sz w:val="22"/>
        </w:rPr>
        <w:t>The Committee may grant to any Participant other forms of Awards, based upon, payable in, or otherwise related to, in whole or in part, shares of Common Stock, if the Committee determines that such other form of Award is consistent with the purpose and restrictions of this Plan. The terms and conditions of such other form of Award shall be specified by the grant. Such Other Awards may be granted for no cash consideration, for such minimum consideration as may be required by Applicable Law, or for such other consideration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b/>
          <w:color w:val="000000"/>
          <w:sz w:val="22"/>
        </w:rPr>
        <w:t xml:space="preserve">Performance Goals. </w:t>
      </w:r>
      <w:r>
        <w:rPr>
          <w:rFonts w:ascii="Times New Roman" w:hAnsi="Times New Roman"/>
          <w:color w:val="000000"/>
          <w:sz w:val="22"/>
        </w:rPr>
        <w:t>Awards (whether relating to cash or shares of Common Stock) under the Plan may be made subject to the attainment of Performance Goals. Any Performance Goal may be used to measure the performance of the Company as a whole or any business unit of the Company and may be measured relative to a peer group or index. Any Performance Goal may include or exclude (a) events that are of an unusual nature or indicate infrequency of occurrence, (b) gains or losses on the disposition of a business, (c) changes in tax or accounting regulations or laws, (d) the effect of a merger or acquisition, as identified in the Company’s quarterly and annual earnings releases, or (e) other similar occurrences. In all other respects, Performance Goals shall be calculated in accordance with the Company’s financial statements, under generally accepted accounting principles, or under a methodology established by the Committee prior to the issuance of an Award which is consistently applied and identified in the audited financial statements, including footnotes, or the Compensation Discussion and Analysis section of the Company’s annual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pPr>
      <w:r>
        <w:rPr>
          <w:rFonts w:ascii="Times New Roman" w:hAnsi="Times New Roman"/>
          <w:b/>
          <w:color w:val="000000"/>
          <w:sz w:val="22"/>
        </w:rPr>
        <w:t>Tandem Awards.</w:t>
      </w:r>
      <w:r>
        <w:rPr>
          <w:color w:val="000000"/>
        </w:rPr>
        <w:t xml:space="preserve"> </w:t>
      </w:r>
      <w:r>
        <w:rPr>
          <w:rFonts w:ascii="Times New Roman" w:hAnsi="Times New Roman"/>
          <w:color w:val="000000"/>
          <w:sz w:val="22"/>
        </w:rPr>
        <w:t>The Committee may grant two or more Incentives in one Award in the form of a “Tandem Award,” so that the right of the Participant to exercise one Incentive shall be canceled if, and to the extent, the other Incentive is exercised. For example, if a Stock Option and a SAR are issued in a Tandem Award, and the Participant exercises the SAR with respect to one hundred (100) shares of Common Stock, the right of the Participant to exercise the related Stock Option shall be canceled to the extent of 100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pPr>
      <w:r>
        <w:rPr>
          <w:rFonts w:ascii="Times New Roman" w:hAnsi="Times New Roman"/>
          <w:b/>
          <w:color w:val="000000"/>
          <w:sz w:val="22"/>
        </w:rPr>
        <w:t>No Repricing of Stock Options or SARs.</w:t>
      </w:r>
      <w:r>
        <w:rPr>
          <w:color w:val="000000"/>
        </w:rPr>
        <w:t xml:space="preserve"> </w:t>
      </w:r>
      <w:r>
        <w:rPr>
          <w:rFonts w:ascii="Times New Roman" w:hAnsi="Times New Roman"/>
          <w:color w:val="000000"/>
          <w:sz w:val="22"/>
        </w:rPr>
        <w:t xml:space="preserve">The Committee may not “reprice” any Stock Option or SAR without stockholder approval. For purposes of this </w:t>
      </w:r>
      <w:r>
        <w:rPr>
          <w:rFonts w:ascii="Times New Roman" w:hAnsi="Times New Roman"/>
          <w:color w:val="000000"/>
          <w:sz w:val="22"/>
          <w:u w:val="single"/>
        </w:rPr>
        <w:t>Section 6.12</w:t>
      </w:r>
      <w:r>
        <w:rPr>
          <w:rFonts w:ascii="Times New Roman" w:hAnsi="Times New Roman"/>
          <w:color w:val="000000"/>
          <w:sz w:val="22"/>
        </w:rPr>
        <w:t xml:space="preserve">, “reprice” means any of the following or any other action that has the same effect: (a) amending a Stock Option or SAR to reduce its exercise price or base price, (b) canceling a Stock Option or SAR at a time when its exercise price or base price exceeds the Fair Market Value of a share of Common Stock in exchange for cash or a Stock Option, SAR, award of Restricted Stock or other equity award, or (c) taking any other action that is treated as a repricing under generally accepted accounting principles, provided that nothing in this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 xml:space="preserve">shall prevent the Committee from making adjustments pursuant to </w:t>
      </w:r>
      <w:r>
        <w:rPr>
          <w:rFonts w:ascii="Times New Roman" w:hAnsi="Times New Roman"/>
          <w:color w:val="000000"/>
          <w:sz w:val="22"/>
          <w:u w:val="single"/>
        </w:rPr>
        <w:t>Article 11</w:t>
      </w:r>
      <w:r>
        <w:rPr>
          <w:rFonts w:ascii="Times New Roman" w:hAnsi="Times New Roman"/>
          <w:color w:val="000000"/>
          <w:sz w:val="22"/>
        </w:rPr>
        <w:t xml:space="preserve">, from exchanging or cancelling Incentives pursuant to </w:t>
      </w:r>
      <w:r>
        <w:rPr>
          <w:rFonts w:ascii="Times New Roman" w:hAnsi="Times New Roman"/>
          <w:color w:val="000000"/>
          <w:sz w:val="22"/>
          <w:u w:val="single"/>
        </w:rPr>
        <w:t>Article 12</w:t>
      </w:r>
      <w:r>
        <w:rPr>
          <w:rFonts w:ascii="Times New Roman" w:hAnsi="Times New Roman"/>
          <w:color w:val="000000"/>
          <w:sz w:val="22"/>
        </w:rPr>
        <w:t xml:space="preserve">, or substituting Incentives in accordance with </w:t>
      </w:r>
      <w:r>
        <w:rPr>
          <w:rFonts w:ascii="Times New Roman" w:hAnsi="Times New Roman"/>
          <w:color w:val="000000"/>
          <w:sz w:val="22"/>
          <w:u w:val="single"/>
        </w:rPr>
        <w:t>Article 14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pPr>
      <w:r>
        <w:rPr>
          <w:rFonts w:ascii="Times New Roman" w:hAnsi="Times New Roman"/>
          <w:b/>
          <w:color w:val="000000"/>
          <w:sz w:val="22"/>
        </w:rPr>
        <w:t xml:space="preserve">Recoupment for Restatements. </w:t>
      </w:r>
      <w:r>
        <w:rPr>
          <w:rFonts w:ascii="Times New Roman" w:hAnsi="Times New Roman"/>
          <w:color w:val="000000"/>
          <w:sz w:val="22"/>
        </w:rPr>
        <w:t>This Plan is subject to any written clawback policies that the Company, with the approval of the Board, may adopt. Any such policy may subject a Participant’s Awards and 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AWARD PERIOD; VESTING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b/>
          <w:color w:val="000000"/>
          <w:sz w:val="22"/>
        </w:rPr>
        <w:t xml:space="preserve">Award Period. </w:t>
      </w:r>
      <w:r>
        <w:rPr>
          <w:rFonts w:ascii="Times New Roman" w:hAnsi="Times New Roman"/>
          <w:color w:val="000000"/>
          <w:sz w:val="22"/>
        </w:rPr>
        <w:t xml:space="preserve">Subject to the other provisions of this Plan, the Committee may, in its discretion, provide that an Incentive may not be exercised in whole or in part for any period or periods of time or beyond any date specified in the Award Agreement. Except as provided in the Award Agreement, an Incentive may be exercised in whole or in part at any time during its term. The Award Period for an Incentive shall be reduced or terminated upon Termination of Service. No Incentive granted under the Plan may be exercised at any time after the end of its Award Period. No portion of any Incentive may be exercised after the expiration of 10 years from its Date of Grant. However, if an Employee owns or is deemed to own (by reason of the attribution rules of Section 424(d) of the </w:t>
      </w:r>
    </w:p>
    <w:p>
      <w:pPr>
        <w:pStyle w:val="TextBody"/>
        <w:bidi w:val="0"/>
        <w:jc w:val="center"/>
        <w:rPr>
          <w:rFonts w:ascii="Times New Roman" w:hAnsi="Times New Roman"/>
          <w:color w:val="000000"/>
          <w:sz w:val="22"/>
        </w:rPr>
      </w:pPr>
      <w:r>
        <w:rPr>
          <w:rFonts w:ascii="Times New Roman" w:hAnsi="Times New Roman"/>
          <w:color w:val="000000"/>
          <w:sz w:val="22"/>
        </w:rPr>
        <w:t>B-14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Code) more than 10% of the combined voting power of all classes of stock of the Company (or any parent or Subsidiary) and an Incentive Stock Option is granted to such Employee, the term of such Incentive Stock Option (to the extent required by the Code at the time of grant) shall be no more than five years from the Date of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b/>
          <w:color w:val="000000"/>
          <w:sz w:val="22"/>
        </w:rPr>
        <w:t>Vesting.</w:t>
      </w:r>
      <w:r>
        <w:rPr>
          <w:color w:val="000000"/>
        </w:rPr>
        <w:t xml:space="preserve"> </w:t>
      </w:r>
      <w:r>
        <w:rPr>
          <w:rFonts w:ascii="Times New Roman" w:hAnsi="Times New Roman"/>
          <w:color w:val="000000"/>
          <w:sz w:val="22"/>
        </w:rPr>
        <w:t>The Committee, in its sole discretion, may determine that an Incentive will be immediately vested in whole or in part, or that all or any portion may not be vested until a date, or dates, subsequent to its Date of Grant, or until the occurrence of one or more specified events, subject in any case to the terms of the Plan. If the Committee imposes conditions upon vesting, then, subsequent to the Date of Grant, the Committee may, in its sole discretion, accelerate the date on which all or any portion of the Incentive may be vested.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EXERCISE OR CONVERSION OF INCENTIVE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 A vested Incentive may be exercised or converted, during its Award Period, subject to limitations and restrictions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b/>
          <w:color w:val="000000"/>
          <w:sz w:val="22"/>
        </w:rPr>
        <w:t>Securities Law and Exchange Restrictions.</w:t>
      </w:r>
      <w:r>
        <w:rPr>
          <w:color w:val="000000"/>
        </w:rPr>
        <w:t xml:space="preserve"> </w:t>
      </w:r>
      <w:r>
        <w:rPr>
          <w:rFonts w:ascii="Times New Roman" w:hAnsi="Times New Roman"/>
          <w:color w:val="000000"/>
          <w:sz w:val="22"/>
        </w:rPr>
        <w:t>In no event may an Incentive be exercised or shares of Common Stock be issued pursuant to an Award if a necessary listing or quotation of the shares of Common Stock on a stock exchange or inter-dealer quotation system or any registration under state or federal securities laws required under the circumstances has not been accomplished.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b/>
          <w:color w:val="000000"/>
          <w:sz w:val="22"/>
        </w:rPr>
        <w:t>Exercise of Stock Option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In General.</w:t>
      </w:r>
      <w:r>
        <w:rPr>
          <w:color w:val="000000"/>
        </w:rPr>
        <w:t xml:space="preserve"> </w:t>
      </w:r>
      <w:r>
        <w:rPr>
          <w:rFonts w:ascii="Times New Roman" w:hAnsi="Times New Roman"/>
          <w:color w:val="000000"/>
          <w:sz w:val="24"/>
        </w:rPr>
        <w:t>If a Stock Option is exercisable prior to the time it is vested, the Common Stock obtained on the exercise of the Stock Option shall be Restricted Stock which is subject to the applicable provisions of the Plan and the Award Agreement. If the Committee imposes conditions upon exercise, then subsequent to the Date of Grant, the Committee may, in its sole discretion, accelerate the date on which all or any portion of the Stock Option may be exercised. No Stock Option may be exercised for a fractional share of Common Stock. The granting of a Stock Option shall impose no obligation upon the Participant to exercise that Stock Option. Each Award Agreement with respect to a Stock Option shall include provisions governing exercise of the Stock Option on or following the Participant’s Termination of Service, which shall be established by the Committee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Notice and Payment.</w:t>
      </w:r>
      <w:r>
        <w:rPr>
          <w:color w:val="000000"/>
        </w:rPr>
        <w:t xml:space="preserve"> </w:t>
      </w:r>
      <w:r>
        <w:rPr>
          <w:rFonts w:ascii="Times New Roman" w:hAnsi="Times New Roman"/>
          <w:color w:val="000000"/>
          <w:sz w:val="24"/>
        </w:rPr>
        <w:t>Subject to such administrative regulations as the Committee may from time to time adopt, a Stock Option may be exercised by the delivery of written notice to the Company (in accordance with the notice provisions in the Participant’s Award Agreement) setting forth the number of shares of Common Stock with respect to which the Stock Option is to be exercised (the “</w:t>
      </w:r>
      <w:r>
        <w:rPr>
          <w:rFonts w:ascii="Times New Roman" w:hAnsi="Times New Roman"/>
          <w:b/>
          <w:i/>
          <w:color w:val="000000"/>
          <w:sz w:val="24"/>
        </w:rPr>
        <w:t>Exercise Notice</w:t>
      </w:r>
      <w:r>
        <w:rPr>
          <w:color w:val="000000"/>
        </w:rPr>
        <w:t>”</w:t>
      </w:r>
      <w:r>
        <w:rPr>
          <w:rFonts w:ascii="Times New Roman" w:hAnsi="Times New Roman"/>
          <w:color w:val="000000"/>
          <w:sz w:val="24"/>
        </w:rPr>
        <w:t xml:space="preserve">) and the Exercise Date with respect to any Stock Option shall be the date that the Participant has delivered both the Exercise Notice and consideration to the Company with a value equal to the total Option Price of the shares to be purchased (plus any employment tax withholding or other tax payment due with respect to such Award), payable as provided in the Award Agreement, which may provide for payment in any one or more of the following ways: (i) cash or check, bank draft, or money order payable to the order of the Company, (ii) Common Stock (including Restricted Stock) owned by the Participant on the Exercise Date, valued at its Fair Market Value on the Exercise Date, (iii) by delivery (including by FAX or electronic transmission) to the Company or its designated agent of an executed irrevocable option exercise form (or, to the extent permitted by the Company, exercise instructions, which may be communicated in writing, telephonically, or electronically) together with irrevocable instructions from the Participant to a broker or dealer, reasonably acceptable to the Company, to sell certain of the shares of Common Stock purchased upon exercise of the Stock Option and promptly deliver </w:t>
      </w:r>
    </w:p>
    <w:p>
      <w:pPr>
        <w:pStyle w:val="TextBody"/>
        <w:bidi w:val="0"/>
        <w:jc w:val="center"/>
        <w:rPr>
          <w:rFonts w:ascii="Times New Roman" w:hAnsi="Times New Roman"/>
          <w:color w:val="000000"/>
          <w:sz w:val="22"/>
        </w:rPr>
      </w:pPr>
      <w:r>
        <w:rPr>
          <w:rFonts w:ascii="Times New Roman" w:hAnsi="Times New Roman"/>
          <w:color w:val="000000"/>
          <w:sz w:val="22"/>
        </w:rPr>
        <w:t>B-15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the Company the amount of sale proceeds necessary to pay such purchase price, (iv) by requesting the Company to withhold the number of shares otherwise deliverable upon exercise of the Stock Option by the number of shares of Common Stock having an aggregate Fair Market Value equal to the aggregate Option Price at the time of exercise (</w:t>
      </w:r>
      <w:r>
        <w:rPr>
          <w:rFonts w:ascii="Times New Roman" w:hAnsi="Times New Roman"/>
          <w:i/>
          <w:color w:val="000000"/>
          <w:sz w:val="24"/>
        </w:rPr>
        <w:t xml:space="preserve">i.e., </w:t>
      </w:r>
      <w:r>
        <w:rPr>
          <w:rFonts w:ascii="Times New Roman" w:hAnsi="Times New Roman"/>
          <w:color w:val="000000"/>
          <w:sz w:val="24"/>
        </w:rPr>
        <w:t>a cashless net exercise), and/or (v) in any other form of valid consideration that is acceptable to the Committee in its sole discretion. In the event that shares of Restricted Stock are tendered as consideration for the exercise of a Stock Option, a number of shares of Common Stock issued upon the exercise of the Stock Option equal to the number of shares of Restricted Stock used as consideration therefor shall be subject to the same restrictions and provisions as the Restricted Stock so tendered.</w:t>
      </w:r>
      <w:r>
        <w:rPr>
          <w:color w:val="000000"/>
        </w:rPr>
        <w:t xml:space="preserve"> </w:t>
      </w:r>
      <w:r>
        <w:rPr>
          <w:rFonts w:ascii="Times New Roman" w:hAnsi="Times New Roman"/>
          <w:color w:val="000000"/>
          <w:sz w:val="24"/>
        </w:rPr>
        <w:t xml:space="preserve">If the Participant fails to deliver the consideration described in this </w:t>
      </w:r>
      <w:r>
        <w:rPr>
          <w:rFonts w:ascii="Times New Roman" w:hAnsi="Times New Roman"/>
          <w:color w:val="000000"/>
          <w:sz w:val="24"/>
          <w:u w:val="single"/>
        </w:rPr>
        <w:t>Section 8.3(b)</w:t>
      </w:r>
      <w:r>
        <w:rPr>
          <w:color w:val="000000"/>
        </w:rPr>
        <w:t xml:space="preserve"> </w:t>
      </w:r>
      <w:r>
        <w:rPr>
          <w:rFonts w:ascii="Times New Roman" w:hAnsi="Times New Roman"/>
          <w:color w:val="000000"/>
          <w:sz w:val="24"/>
        </w:rPr>
        <w:t>within three business days of the date of the Exercise Notice, then the Exercise Notice shall be null and void and the Company will have no obligation to deliver any shares of Common Stock to the Participant in connection with such Exercise Notice.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Issuance of Certificate.</w:t>
      </w:r>
      <w:r>
        <w:rPr>
          <w:color w:val="000000"/>
        </w:rPr>
        <w:t xml:space="preserve"> </w:t>
      </w:r>
      <w:r>
        <w:rPr>
          <w:rFonts w:ascii="Times New Roman" w:hAnsi="Times New Roman"/>
          <w:color w:val="000000"/>
          <w:sz w:val="24"/>
        </w:rPr>
        <w:t xml:space="preserve">Except as otherwise provided in </w:t>
      </w:r>
      <w:r>
        <w:rPr>
          <w:rFonts w:ascii="Times New Roman" w:hAnsi="Times New Roman"/>
          <w:color w:val="000000"/>
          <w:sz w:val="24"/>
          <w:u w:val="single"/>
        </w:rPr>
        <w:t>Section 6.4</w:t>
      </w:r>
      <w:r>
        <w:rPr>
          <w:color w:val="000000"/>
        </w:rPr>
        <w:t xml:space="preserve"> </w:t>
      </w:r>
      <w:r>
        <w:rPr>
          <w:rFonts w:ascii="Times New Roman" w:hAnsi="Times New Roman"/>
          <w:color w:val="000000"/>
          <w:sz w:val="24"/>
        </w:rPr>
        <w:t>hereof (with respect to shares of Restricted Stock) or in the applicable Award Agreement, upon payment of all amounts due from the Participant, the Company shall cause the Common Stock then being purchased to be registered in the Participant’s name (or the person exercising the Participant’s Stock Option in the event of the Participant’s death), but shall not issue certificates for the Common Stock unless the Participant or such other person requests delivery of the certificates for the Common Stock, in writing in accordance with the procedures established by the Committee. The Company shall deliver certificates to the Participant (or the person exercising the Participant’s Stock Option in the event of the Participant’s death) as soon as administratively practicable following the Company’s receipt of a written request from the Participant or such other person for delivery of the certificates. Notwithstanding the forgoing, if the Participant has exercised an Incentive Stock Option, the Company may at its option place a transfer restriction on any electronically registered shares (or if a physical certificate is issued to the Participant, retain physical possession of the certificate evidencing the shares acquired upon exercise) until the expiration of the holding periods described in Section 422(a)(1) of the Code. Any obligation of the Company to deliver shares of Common Stock shall, however, be subject to the condition that, if at any time the Committee shall determine in its discretion that the listing, registration, or qualification of the Stock Option or the Common Stock upon any securities exchange or inter-dealer quotation system or under any state or federal law, or the consent or approval of any governmental regulatory body, is necessary as a condition of, or in connection with, the Stock Option or the issuance or purchase of shares of Common Stock thereunder, the Stock Option may not be exercised in whole or in part unless such listing, registration, qualification, consent, or approval shall have been effected or obtained free of any conditions not reasonably acceptable to the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Failure to Pay.</w:t>
      </w:r>
      <w:r>
        <w:rPr>
          <w:color w:val="000000"/>
        </w:rPr>
        <w:t xml:space="preserve"> </w:t>
      </w:r>
      <w:r>
        <w:rPr>
          <w:rFonts w:ascii="Times New Roman" w:hAnsi="Times New Roman"/>
          <w:color w:val="000000"/>
          <w:sz w:val="24"/>
        </w:rPr>
        <w:t>Except as may otherwise be provided in an Award Agreement, if the Participant fails to pay for any of the Common Stock specified in such notice or fails to accept delivery thereof, that portion of the Participant’s Stock Option and right to purchase such Common Stock may be forfeited by the Participant, in the Committee’s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 xml:space="preserve">Subject to the conditions of this </w:t>
      </w:r>
      <w:r>
        <w:rPr>
          <w:rFonts w:ascii="Times New Roman" w:hAnsi="Times New Roman"/>
          <w:color w:val="000000"/>
          <w:sz w:val="22"/>
          <w:u w:val="single"/>
        </w:rPr>
        <w:t>Section 8.4</w:t>
      </w:r>
      <w:r>
        <w:rPr>
          <w:color w:val="000000"/>
        </w:rPr>
        <w:t xml:space="preserve"> </w:t>
      </w:r>
      <w:r>
        <w:rPr>
          <w:rFonts w:ascii="Times New Roman" w:hAnsi="Times New Roman"/>
          <w:color w:val="000000"/>
          <w:sz w:val="22"/>
        </w:rPr>
        <w:t xml:space="preserve">and such administrative regulations as the Committee may from time to time adopt, a SAR may be exercised by the delivery (including by FAX) of an Exercise Notice to the Committee setting forth the number of shares of Common Stock with respect to which the SAR is to be exercised and the Exercise Date thereof. Subject to the terms of the Award Agreement and only if permissible under Section 409A of the Code and the regulations or other guidance issued thereunder (or, if not so permissible, at such time as permitted by Section 409A of the Code and the regulations or other guidance issued thereunder), the </w:t>
      </w:r>
    </w:p>
    <w:p>
      <w:pPr>
        <w:pStyle w:val="TextBody"/>
        <w:bidi w:val="0"/>
        <w:jc w:val="center"/>
        <w:rPr>
          <w:rFonts w:ascii="Times New Roman" w:hAnsi="Times New Roman"/>
          <w:color w:val="000000"/>
          <w:sz w:val="22"/>
        </w:rPr>
      </w:pPr>
      <w:r>
        <w:rPr>
          <w:rFonts w:ascii="Times New Roman" w:hAnsi="Times New Roman"/>
          <w:color w:val="000000"/>
          <w:sz w:val="22"/>
        </w:rPr>
        <w:t>B-16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shall receive from the Company in exchange therefor in the discretion of the Committee, and subject to the terms of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cash in an amount equal to the excess (if any) of the Fair Market Value (as of the Exercise Date, or if provided in the Award Agreement, conversion, of the SAR) per share of Common Stock over the SAR Price per share specified in such SAR, multiplied by the total number of shares of Common Stock of the SAR being surrendered;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number of shares of Common Stock having an aggregate Fair Market Value (as of the Exercise Date, or if provided in the Award Agreement, conversion, of the SAR) equal to the amount of cash otherwise payable to the Participant, with a cash settlement to be made for any fractional share interests;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settle such obligation in part with shares of Common Stock and in part with cash.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distribution of any cash or Common Stock pursuant to the foregoing sentence shall be made at such time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b/>
          <w:color w:val="000000"/>
          <w:sz w:val="22"/>
        </w:rPr>
        <w:t>Disqualifying Disposition of Incentive Stock Option.</w:t>
      </w:r>
      <w:r>
        <w:rPr>
          <w:color w:val="000000"/>
        </w:rPr>
        <w:t xml:space="preserve"> </w:t>
      </w:r>
      <w:r>
        <w:rPr>
          <w:rFonts w:ascii="Times New Roman" w:hAnsi="Times New Roman"/>
          <w:color w:val="000000"/>
          <w:sz w:val="22"/>
        </w:rPr>
        <w:t>If shares of Common Stock acquired upon exercise of an Incentive Stock Option are disposed of by a Participant prior to the expiration of either two years from the Date of Grant of such Stock Option or one year from the transfer of shares of Common Stock to the Participant pursuant to the exercise of such Stock Option, or in any other disqualifying disposition within the meaning of Section 422 of the Code, such Participant shall notify the Company in writing of the date and terms of such disposition. A disqualifying disposition by a Participant shall not affect the status of any other Stock Option granted under the Plan as an Incentive Stock Option within the meaning of Section 422 of the Code.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AMENDMENT OR DISCONTINUANCE</w:t>
      </w:r>
    </w:p>
    <w:p>
      <w:pPr>
        <w:pStyle w:val="TextBody"/>
        <w:bidi w:val="0"/>
        <w:spacing w:before="0" w:after="480"/>
        <w:jc w:val="both"/>
        <w:rPr>
          <w:rFonts w:ascii="Times New Roman" w:hAnsi="Times New Roman"/>
          <w:sz w:val="20"/>
        </w:rPr>
      </w:pPr>
      <w:r>
        <w:rPr>
          <w:rFonts w:ascii="Times New Roman" w:hAnsi="Times New Roman"/>
          <w:color w:val="000000"/>
          <w:sz w:val="24"/>
        </w:rPr>
        <w:t xml:space="preserve">Subject to the limitations set forth in this </w:t>
      </w:r>
      <w:r>
        <w:rPr>
          <w:rFonts w:ascii="Times New Roman" w:hAnsi="Times New Roman"/>
          <w:color w:val="000000"/>
          <w:sz w:val="24"/>
          <w:u w:val="single"/>
        </w:rPr>
        <w:t>Article 9</w:t>
      </w:r>
      <w:r>
        <w:rPr>
          <w:rFonts w:ascii="Times New Roman" w:hAnsi="Times New Roman"/>
          <w:color w:val="000000"/>
          <w:sz w:val="24"/>
        </w:rPr>
        <w:t>, the Board may at any time and from time to time, without the consent of the Participants, alter, amend, revise, suspend, or discontinue the Plan in whole or in part; provided, however, that no amendment for which stockholder approval is required either (a) by any securities exchange or inter-dealer quotation system on which the Common Stock is listed or traded or (b) in order for the Plan and Incentives awarded under the Plan to continue to comply with Sections 421 and 422 of the Code, including any successors to such Sections, or other Applicable Law, shall be effective unless such amendment shall be approved by the requisite vote of the stockholder</w:t>
      </w:r>
      <w:r>
        <w:rPr>
          <w:rFonts w:ascii="Times New Roman" w:hAnsi="Times New Roman"/>
          <w:b/>
          <w:color w:val="000000"/>
          <w:sz w:val="24"/>
        </w:rPr>
        <w:t xml:space="preserve">s </w:t>
      </w:r>
      <w:r>
        <w:rPr>
          <w:rFonts w:ascii="Times New Roman" w:hAnsi="Times New Roman"/>
          <w:color w:val="000000"/>
          <w:sz w:val="24"/>
        </w:rPr>
        <w:t xml:space="preserve">of the Company entitled to vote thereon. Any such amendment shall, to the extent deemed necessary or advisable by the Committee, be applicable to any outstanding Incentives theretofore granted under the Plan, notwithstanding any contrary provisions contained in any Award Agreement. In the event of any such amendment to the Plan, the holder of any Incentive outstanding under the Plan shall, upon request of the Committee and as a condition to the exercisability thereof, execute a conforming amendment in the form prescribed by the Committee to any Award Agreement relating thereto. Notwithstanding anything contained in this Plan to the contrary, unless required by law, no action contemplated or permitted by this </w:t>
      </w:r>
      <w:r>
        <w:rPr>
          <w:rFonts w:ascii="Times New Roman" w:hAnsi="Times New Roman"/>
          <w:color w:val="000000"/>
          <w:sz w:val="24"/>
          <w:u w:val="single"/>
        </w:rPr>
        <w:t>Article 9</w:t>
      </w:r>
      <w:r>
        <w:rPr>
          <w:rFonts w:ascii="Times New Roman" w:hAnsi="Times New Roman"/>
          <w:color w:val="000000"/>
          <w:sz w:val="20"/>
        </w:rPr>
        <w:t xml:space="preserve"> </w:t>
      </w:r>
      <w:r>
        <w:rPr>
          <w:rFonts w:ascii="Times New Roman" w:hAnsi="Times New Roman"/>
          <w:color w:val="000000"/>
          <w:sz w:val="24"/>
        </w:rPr>
        <w:t>shall adversely affect any rights of Participants or obligations of the Company to Participants with respect to any Incentive theretofore granted under the Plan without the consent of the affected Participant. For purposes of clarity, any amendment to an existing Award resulting in a less favorable tax consequence to a Participant under the Award shall not be considered to adversely affect the rights of the Participant.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w:t>
      </w:r>
    </w:p>
    <w:p>
      <w:pPr>
        <w:pStyle w:val="TextBody"/>
        <w:bidi w:val="0"/>
        <w:spacing w:before="0" w:after="480"/>
        <w:jc w:val="both"/>
        <w:rPr>
          <w:rFonts w:ascii="Times New Roman" w:hAnsi="Times New Roman"/>
          <w:sz w:val="20"/>
        </w:rPr>
      </w:pPr>
      <w:r>
        <w:rPr>
          <w:rFonts w:ascii="Times New Roman" w:hAnsi="Times New Roman"/>
          <w:color w:val="000000"/>
          <w:sz w:val="24"/>
        </w:rPr>
        <w:t>The Plan shall be effective as of the Effective Date and unless sooner terminated by action of the Board, the Plan will terminate on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anniversary of the Effective Date, but Incentives granted before that date will continue to be effective in accordance with their terms and conditions.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CAPITAL ADJUSTMENTS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any dividend or other distribution (whether in the form of cash, Common Stock, other securities, or other property), recapitalization, stock split, reverse stock split, rights offering, reorganization, merger, consolidation, split-up, spin-off, split-off, combination, subdivision, repurchase, or exchange of Common Stock or other securities of the Company, issuance of warrants or other rights to purchase Common Stock or other securities of the Company, or other similar corporate transaction or event affects the fair value of an Award, then the Committee shall adjust any or all of the following so that the fair value of the Award immediately after the transaction or event is equal to the fair value of the Award immediately prior to the transaction or event (a) the number of shares and type of Common Stock (or the securities or property) which thereafter may be made the subject of Awards, (b) the number of shares and type of Common Stock (or other securities or property) subject to outstanding Awards, (c) the Option Price of each outstanding Award, (d) the amount, if any, the Company pays for forfeited shares of Common Stock in accordance with </w:t>
      </w:r>
      <w:r>
        <w:rPr>
          <w:rFonts w:ascii="Times New Roman" w:hAnsi="Times New Roman"/>
          <w:color w:val="000000"/>
          <w:sz w:val="24"/>
          <w:u w:val="single"/>
        </w:rPr>
        <w:t>Section 6.4</w:t>
      </w:r>
      <w:r>
        <w:rPr>
          <w:rFonts w:ascii="Times New Roman" w:hAnsi="Times New Roman"/>
          <w:color w:val="000000"/>
          <w:sz w:val="24"/>
        </w:rPr>
        <w:t>, and (e) the number of or SAR Price of shares of Common Stock then subject to outstanding SARs previously granted and unexercised under the Plan, to the end that the same proportion of the Company’s issued and outstanding shares of Common Stock in each instance shall remain subject to exercise at the same aggregate SAR Price; provided, however, that the number of shares of Common Stock (or other securities or property) subject to any Award shall always be a whole number. Notwithstanding the foregoing, no such adjustment shall be made or authorized to the extent that such adjustment would cause the Plan or any Stock Option to violate Section 422 of the Code or Section 409A of the Code. Such adjustments shall be made in accordance with the rules of any securities exchange, stock market, or stock quotation system to which the Company is subject.</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The computation of any adjustment under this Article 11 shall be conclusive and shall be binding upon each affected Participant and upon the occurrence of any such adjustment, the Company shall provide notice to each affected Participant of its computation of such adjustment.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RECAPITALIZATION, MERGER AND CONSOLIDATION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40"/>
        <w:jc w:val="both"/>
        <w:rPr/>
      </w:pPr>
      <w:r>
        <w:rPr>
          <w:rFonts w:ascii="Times New Roman" w:hAnsi="Times New Roman"/>
          <w:b/>
          <w:color w:val="000000"/>
          <w:sz w:val="22"/>
        </w:rPr>
        <w:t>No Effect on Company’s Authority.</w:t>
      </w:r>
      <w:r>
        <w:rPr>
          <w:color w:val="000000"/>
        </w:rPr>
        <w:t xml:space="preserve"> </w:t>
      </w:r>
      <w:r>
        <w:rPr>
          <w:rFonts w:ascii="Times New Roman" w:hAnsi="Times New Roman"/>
          <w:color w:val="000000"/>
          <w:sz w:val="22"/>
        </w:rPr>
        <w:t>The existence of this Plan and Incentives granted hereunder shall not affect in any way the right or power of the Company or its stockholder</w:t>
      </w:r>
      <w:r>
        <w:rPr>
          <w:rFonts w:ascii="Times New Roman" w:hAnsi="Times New Roman"/>
          <w:b/>
          <w:color w:val="000000"/>
          <w:sz w:val="22"/>
        </w:rPr>
        <w:t>s</w:t>
      </w:r>
      <w:r>
        <w:rPr>
          <w:color w:val="000000"/>
        </w:rPr>
        <w:t xml:space="preserve"> </w:t>
      </w:r>
      <w:r>
        <w:rPr>
          <w:rFonts w:ascii="Times New Roman" w:hAnsi="Times New Roman"/>
          <w:color w:val="000000"/>
          <w:sz w:val="22"/>
        </w:rPr>
        <w:t>to make or authorize any or all adjustments, recapitalizations, reorganizations, or other changes in the Company’s capital structure and its business, or any Change in Control, or any merger or consolidation of the Company, or any issuance of bonds, debentures, preferred or preference stocks ranking prior to or otherwise affecting the Common Stock or the rights thereof (or any rights, options, or warrants to purchase same),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40"/>
        <w:jc w:val="both"/>
        <w:rPr/>
      </w:pPr>
      <w:r>
        <w:rPr>
          <w:rFonts w:ascii="Times New Roman" w:hAnsi="Times New Roman"/>
          <w:b/>
          <w:color w:val="000000"/>
          <w:sz w:val="22"/>
        </w:rPr>
        <w:t>Conversion of Incentives Where Company Survives.</w:t>
      </w:r>
      <w:r>
        <w:rPr>
          <w:color w:val="000000"/>
        </w:rPr>
        <w:t xml:space="preserve"> </w:t>
      </w:r>
      <w:r>
        <w:rPr>
          <w:rFonts w:ascii="Times New Roman" w:hAnsi="Times New Roman"/>
          <w:color w:val="000000"/>
          <w:sz w:val="22"/>
        </w:rPr>
        <w:t>Subject to any required action by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 xml:space="preserve">and 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 xml:space="preserve">hereof or as may be required to comply with Section 409A of the Code and the regulations or other guidance issued thereunder, if the Company shall be the surviving or </w:t>
      </w:r>
    </w:p>
    <w:p>
      <w:pPr>
        <w:pStyle w:val="TextBody"/>
        <w:bidi w:val="0"/>
        <w:jc w:val="center"/>
        <w:rPr>
          <w:rFonts w:ascii="Times New Roman" w:hAnsi="Times New Roman"/>
          <w:color w:val="000000"/>
          <w:sz w:val="22"/>
        </w:rPr>
      </w:pPr>
      <w:r>
        <w:rPr>
          <w:rFonts w:ascii="Times New Roman" w:hAnsi="Times New Roman"/>
          <w:color w:val="000000"/>
          <w:sz w:val="22"/>
        </w:rPr>
        <w:t>B-18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resulting corporation in any merger, consolidation or share exchange, any Incentive granted hereunder shall pertain to and apply to the securities or rights (including cash, property, or assets) to which a holder of the number of shares of Common Stock subject to the Incentive would have been entitled.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40"/>
        <w:jc w:val="both"/>
        <w:rPr/>
      </w:pPr>
      <w:r>
        <w:rPr>
          <w:rFonts w:ascii="Times New Roman" w:hAnsi="Times New Roman"/>
          <w:b/>
          <w:color w:val="000000"/>
          <w:sz w:val="22"/>
        </w:rPr>
        <w:t xml:space="preserve">Exchange or Cancellation of Incentives Where Company Does Not Survive. </w:t>
      </w:r>
      <w:r>
        <w:rPr>
          <w:rFonts w:ascii="Times New Roman" w:hAnsi="Times New Roman"/>
          <w:color w:val="000000"/>
          <w:sz w:val="22"/>
        </w:rPr>
        <w:t xml:space="preserve">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in the event of any merger, consolidation or share exchange pursuant to which the Company is not the surviving or resulting corporation, there shall be substituted for each share of Common Stock subject to the unexercised portions of outstanding Incentives, that number of shares of each class of stock or other securities or that amount of cash, property, or assets of the surviving, resulting or consolidated company which were distributed or distributable to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of the Company in respect to each share of Common Stock held by them, such outstanding Incentives to be thereafter exercisable for such stock, securities, cash, or property in accordance with their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40"/>
        <w:jc w:val="both"/>
        <w:rPr/>
      </w:pPr>
      <w:r>
        <w:rPr>
          <w:rFonts w:ascii="Times New Roman" w:hAnsi="Times New Roman"/>
          <w:b/>
          <w:color w:val="000000"/>
          <w:sz w:val="22"/>
        </w:rPr>
        <w:t xml:space="preserve">Cancellation of Incentives. </w:t>
      </w:r>
      <w:r>
        <w:rPr>
          <w:rFonts w:ascii="Times New Roman" w:hAnsi="Times New Roman"/>
          <w:color w:val="000000"/>
          <w:sz w:val="22"/>
        </w:rPr>
        <w:t xml:space="preserve">Notwithstanding the provisions of </w:t>
      </w:r>
      <w:r>
        <w:rPr>
          <w:rFonts w:ascii="Times New Roman" w:hAnsi="Times New Roman"/>
          <w:color w:val="000000"/>
          <w:sz w:val="22"/>
          <w:u w:val="single"/>
        </w:rPr>
        <w:t xml:space="preserve">Sections 12.2 and 12.3 </w:t>
      </w:r>
      <w:r>
        <w:rPr>
          <w:rFonts w:ascii="Times New Roman" w:hAnsi="Times New Roman"/>
          <w:color w:val="000000"/>
          <w:sz w:val="22"/>
        </w:rPr>
        <w:t>hereof, and except as may be required to comply with Section 409A of the Code and the regulations or other guidance issued thereunder, all Incentives granted hereunder may be canceled by the Company, in its sole discretion, as of the effective date of any Change in Control, merger, consolidation or share exchange, or any issuance of bonds, debentures, preferred or preference stocks ranking prior to or otherwise affecting the Common Stock or the rights thereof (or any rights, options, or warrants to purchase same), or of any proposed sale of all or substantially all of the assets of the Company, or of any dissolution or liquidation of the Company, by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giving notice to each holder thereof or such holder’s personal representative of its intention to cancel those Incentives for which the issuance of shares of Common Stock involved payment by the Participant for such shares, and permitting the purchase during the 30 day period next preceding such effective date of any or all of the shares of Common Stock subject to such outstanding Incentives, including in the Board’s discretion some or all of the shares as to which such Incentives would not otherwise be vested and exercisable;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in the case of Incentives that are either (i) settled only in shares of Common Stock, or (ii) at the election of the Participant, settled in shares of Common Stock, paying the holder thereof an amount equal to a reasonable estimate of the difference between the net amount per share payable in such transaction or as a result of such transaction, and the price per share of such Incentive to be paid by the Participant (hereinafter the “</w:t>
      </w:r>
      <w:r>
        <w:rPr>
          <w:rFonts w:ascii="Times New Roman" w:hAnsi="Times New Roman"/>
          <w:b/>
          <w:i/>
          <w:color w:val="000000"/>
          <w:sz w:val="24"/>
        </w:rPr>
        <w:t>Spread</w:t>
      </w:r>
      <w:r>
        <w:rPr>
          <w:color w:val="000000"/>
        </w:rPr>
        <w:t>”</w:t>
      </w:r>
      <w:r>
        <w:rPr>
          <w:rFonts w:ascii="Times New Roman" w:hAnsi="Times New Roman"/>
          <w:color w:val="000000"/>
          <w:sz w:val="24"/>
        </w:rPr>
        <w:t>), multiplied by the number of shares subject to the Incentive. In cases where the shares constitute, or would after exercise, constitute Restricted Stock, the Company, in its discretion, may include some or all of those shares in the calculation of the amount payable hereunder. In estimating the Spread, appropriate adjustments to give effect to the existence of the Incentives shall be made, such as deeming the Incentives to have been exercised, with the Company receiving the exercise price payable thereunder, and treating the shares receivable upon exercise of the Incentives as being outstanding in determining the net amount per share. In cases where the proposed transaction consists of the acquisition of assets of the Company, the net amount per share shall be calculated on the basis of the net amount receivable with respect to shares of Common Stock upon a distribution and liquidation by the Company after giving effect to expenses and charges, including but not limited to taxes, payable by the Company before such liquidation could be completed.</w:t>
      </w:r>
    </w:p>
    <w:p>
      <w:pPr>
        <w:pStyle w:val="TextBody"/>
        <w:bidi w:val="0"/>
        <w:spacing w:before="0" w:after="480"/>
        <w:jc w:val="left"/>
        <w:rPr>
          <w:rFonts w:ascii="Times New Roman" w:hAnsi="Times New Roman"/>
          <w:sz w:val="20"/>
        </w:rPr>
      </w:pPr>
      <w:r>
        <w:rPr>
          <w:rFonts w:ascii="Times New Roman" w:hAnsi="Times New Roman"/>
          <w:color w:val="000000"/>
          <w:sz w:val="24"/>
        </w:rPr>
        <w:t xml:space="preserve">An Award that by its terms would be fully vested or exercisable upon a Change in Control will be considered vested or exercisable for purposes of </w:t>
      </w:r>
      <w:r>
        <w:rPr>
          <w:rFonts w:ascii="Times New Roman" w:hAnsi="Times New Roman"/>
          <w:color w:val="000000"/>
          <w:sz w:val="24"/>
          <w:u w:val="single"/>
        </w:rPr>
        <w:t>Section 12.4(a)</w:t>
      </w:r>
      <w:r>
        <w:rPr>
          <w:rFonts w:ascii="Times New Roman" w:hAnsi="Times New Roman"/>
          <w:color w:val="000000"/>
          <w:sz w:val="20"/>
        </w:rPr>
        <w:t xml:space="preserve"> </w:t>
      </w:r>
      <w:r>
        <w:rPr>
          <w:rFonts w:ascii="Times New Roman" w:hAnsi="Times New Roman"/>
          <w:color w:val="000000"/>
          <w:sz w:val="24"/>
        </w:rPr>
        <w:t>hereof.</w:t>
      </w:r>
    </w:p>
    <w:p>
      <w:pPr>
        <w:pStyle w:val="TextBody"/>
        <w:bidi w:val="0"/>
        <w:jc w:val="center"/>
        <w:rPr>
          <w:rFonts w:ascii="Times New Roman" w:hAnsi="Times New Roman"/>
          <w:color w:val="000000"/>
          <w:sz w:val="22"/>
        </w:rPr>
      </w:pPr>
      <w:r>
        <w:rPr>
          <w:rFonts w:ascii="Times New Roman" w:hAnsi="Times New Roman"/>
          <w:color w:val="000000"/>
          <w:sz w:val="22"/>
        </w:rPr>
        <w:t>B-19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LIQUIDATION OR DISSOLUTION</w:t>
      </w:r>
    </w:p>
    <w:p>
      <w:pPr>
        <w:pStyle w:val="TextBody"/>
        <w:bidi w:val="0"/>
        <w:spacing w:before="0" w:after="480"/>
        <w:jc w:val="both"/>
        <w:rPr>
          <w:rFonts w:ascii="Times New Roman" w:hAnsi="Times New Roman"/>
          <w:sz w:val="20"/>
        </w:rPr>
      </w:pPr>
      <w:r>
        <w:rPr>
          <w:rFonts w:ascii="Times New Roman" w:hAnsi="Times New Roman"/>
          <w:color w:val="000000"/>
          <w:sz w:val="24"/>
        </w:rPr>
        <w:t xml:space="preserve">Subject to </w:t>
      </w:r>
      <w:r>
        <w:rPr>
          <w:rFonts w:ascii="Times New Roman" w:hAnsi="Times New Roman"/>
          <w:color w:val="000000"/>
          <w:sz w:val="24"/>
          <w:u w:val="single"/>
        </w:rPr>
        <w:t>Section 12.4</w:t>
      </w:r>
      <w:r>
        <w:rPr>
          <w:rFonts w:ascii="Times New Roman" w:hAnsi="Times New Roman"/>
          <w:color w:val="000000"/>
          <w:sz w:val="20"/>
        </w:rPr>
        <w:t xml:space="preserve"> </w:t>
      </w:r>
      <w:r>
        <w:rPr>
          <w:rFonts w:ascii="Times New Roman" w:hAnsi="Times New Roman"/>
          <w:color w:val="000000"/>
          <w:sz w:val="24"/>
        </w:rPr>
        <w:t xml:space="preserve">hereof, in case the Company shall, at any time while any Incentive under this Plan shall be in force and remain unexpired, (a) sell all or substantially all of its property, or (b) dissolve, liquidate, or wind up its affairs, then each Participant shall be entitled to receive, in lieu of each share of Common Stock of the Company which such Participant would have been entitled to receive under the Incentive, the same kind and amount of any securities or assets as may be issuable, distributable, or payable upon any such sale, dissolution, liquidation, or winding up with respect to each share of Common Stock of the Company. If the Company shall, at any time prior to the expiration of any Incentive, make any partial distribution of its assets, in the nature of a partial liquidation, whether payable in cash or in kind (but excluding the distribution of a cash dividend payable out of earned surplus and designated as such) and an adjustment is determined by the Committee to be appropriate to prevent the dilution of the benefits or potential benefits intended to be made available under the Plan, then the Committee shall, in such manner as it may deem equitable, make such adjustment in accordance with the provisions of </w:t>
      </w:r>
      <w:r>
        <w:rPr>
          <w:rFonts w:ascii="Times New Roman" w:hAnsi="Times New Roman"/>
          <w:color w:val="000000"/>
          <w:sz w:val="24"/>
          <w:u w:val="single"/>
        </w:rPr>
        <w:t>Article 11</w:t>
      </w:r>
      <w:r>
        <w:rPr>
          <w:rFonts w:ascii="Times New Roman" w:hAnsi="Times New Roman"/>
          <w:color w:val="000000"/>
          <w:sz w:val="20"/>
        </w:rPr>
        <w:t xml:space="preserve"> </w:t>
      </w:r>
      <w:r>
        <w:rPr>
          <w:rFonts w:ascii="Times New Roman" w:hAnsi="Times New Roman"/>
          <w:color w:val="000000"/>
          <w:sz w:val="24"/>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INCENTIVES IN SUBSTITUTION FOR</w:t>
        <w:br/>
        <w:t>INCENTIVES GRANTED BY OTHER ENTITIES</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Incentives may be granted under the Plan from time to time in substitution for similar instruments held by employees, independent contractors or directors of a corporation, partnership, or limited liability company who become or are about to become Employees, Contractors or Outside Directors of the Company or any Subsidiary as a result of a merger or consolidation of the employing corporation with the Company, the acquisition by the Company of equity of the employing entity, or any other similar transaction pursuant to which the Company becomes the successor employer. The terms and conditions of the substitute Incentives so granted may vary from the terms and conditions set forth in this Plan to such extent as the Committee at the time of grant may deem appropriate to conform, in whole or in part, to the provisions of the incentives in substitution for which they are granted.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240"/>
        <w:jc w:val="both"/>
        <w:rPr/>
      </w:pPr>
      <w:r>
        <w:rPr>
          <w:rFonts w:ascii="Times New Roman" w:hAnsi="Times New Roman"/>
          <w:b/>
          <w:color w:val="000000"/>
          <w:sz w:val="22"/>
        </w:rPr>
        <w:t>Investment Intent.</w:t>
      </w:r>
      <w:r>
        <w:rPr>
          <w:color w:val="000000"/>
        </w:rPr>
        <w:t xml:space="preserve"> </w:t>
      </w:r>
      <w:r>
        <w:rPr>
          <w:rFonts w:ascii="Times New Roman" w:hAnsi="Times New Roman"/>
          <w:color w:val="000000"/>
          <w:sz w:val="22"/>
        </w:rPr>
        <w:t>The Company may require that there be presented to and filed with it by any Participant under the Plan, such evidence as it may deem necessary to establish that the Incentives granted or the shares of Common Stock to be purchased or transferred are being acquired for investment and not with a view to their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24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Neither the Plan nor any Incentive granted under the Plan shall confer upon any Participant any right with respect to continuance of employment by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15.3</w:t>
      </w:r>
    </w:p>
    <w:p>
      <w:pPr>
        <w:pStyle w:val="TextBody"/>
        <w:bidi w:val="0"/>
        <w:spacing w:before="0" w:after="240"/>
        <w:jc w:val="both"/>
        <w:rPr/>
      </w:pPr>
      <w:r>
        <w:rPr>
          <w:rFonts w:ascii="Times New Roman" w:hAnsi="Times New Roman"/>
          <w:b/>
          <w:color w:val="000000"/>
          <w:sz w:val="22"/>
        </w:rPr>
        <w:t>Indemnification of Board and Committee.</w:t>
      </w:r>
      <w:r>
        <w:rPr>
          <w:color w:val="000000"/>
        </w:rPr>
        <w:t xml:space="preserve"> </w:t>
      </w:r>
      <w:r>
        <w:rPr>
          <w:rFonts w:ascii="Times New Roman" w:hAnsi="Times New Roman"/>
          <w:color w:val="000000"/>
          <w:sz w:val="22"/>
        </w:rPr>
        <w:t xml:space="preserve">No member of the Board or the Committee, nor any officer or Employee of the Company acting on behalf of the Board or the Committee, shall be personally liable for any action, determination, or interpretation taken or made in good faith with respect to the Plan, and all members of the Board and the Committee, each officer of the Company, and each Employee of the Company acting on behalf of the Board or the Committee shall, to the extent permitted by law, be fully indemnified and protected by the Company in respect of any such action, determination, or interpretation to the fullest extent provided by law. Except to the extent required by any unwaivable requirement under Applicable Law, no member of the Board or the </w:t>
      </w:r>
    </w:p>
    <w:p>
      <w:pPr>
        <w:pStyle w:val="TextBody"/>
        <w:bidi w:val="0"/>
        <w:jc w:val="center"/>
        <w:rPr>
          <w:rFonts w:ascii="Times New Roman" w:hAnsi="Times New Roman"/>
          <w:color w:val="000000"/>
          <w:sz w:val="22"/>
        </w:rPr>
      </w:pPr>
      <w:r>
        <w:rPr>
          <w:rFonts w:ascii="Times New Roman" w:hAnsi="Times New Roman"/>
          <w:color w:val="000000"/>
          <w:sz w:val="22"/>
        </w:rPr>
        <w:t>B-20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Committee (and no Subsidiary of the Company) shall have any duties or liabilities, including without limitation any fiduciary duties, to any Participant (or any Person claiming by and through any Participant) as a result of this Plan, any Award Agreement or any Claim arising hereunder and, to the fullest extent permitted under Applicable Law, each Participant (as consideration for receiving and accepting an Award Agreement) irrevocably waives and releases any right or opportunity such Participant might have to assert (or participate or cooperate in) any Claim against any member of the Board or the Committee and any Subsidiary of the Company arising out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w:t>
      </w:r>
    </w:p>
    <w:p>
      <w:pPr>
        <w:pStyle w:val="TextBody"/>
        <w:bidi w:val="0"/>
        <w:spacing w:before="0" w:after="240"/>
        <w:jc w:val="both"/>
        <w:rPr/>
      </w:pPr>
      <w:r>
        <w:rPr>
          <w:rFonts w:ascii="Times New Roman" w:hAnsi="Times New Roman"/>
          <w:b/>
          <w:color w:val="000000"/>
          <w:sz w:val="22"/>
        </w:rPr>
        <w:t>Effect of the Plan.</w:t>
      </w:r>
      <w:r>
        <w:rPr>
          <w:color w:val="000000"/>
        </w:rPr>
        <w:t xml:space="preserve"> </w:t>
      </w:r>
      <w:r>
        <w:rPr>
          <w:rFonts w:ascii="Times New Roman" w:hAnsi="Times New Roman"/>
          <w:color w:val="000000"/>
          <w:sz w:val="22"/>
        </w:rPr>
        <w:t>Neither the adoption of this Plan nor any action of the Board or the Committee shall be deemed to give any person any right to be granted an Award or any other rights except as may be evidenced by an Award Agreement, or any amendment thereto, duly authorized by the Committee and executed on behalf of the Company, and then only to the extent and upon the terms and conditions expressly set forth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15.5</w:t>
      </w:r>
    </w:p>
    <w:p>
      <w:pPr>
        <w:pStyle w:val="TextBody"/>
        <w:bidi w:val="0"/>
        <w:spacing w:before="0" w:after="240"/>
        <w:jc w:val="both"/>
        <w:rPr/>
      </w:pPr>
      <w:r>
        <w:rPr>
          <w:rFonts w:ascii="Times New Roman" w:hAnsi="Times New Roman"/>
          <w:b/>
          <w:color w:val="000000"/>
          <w:sz w:val="22"/>
        </w:rPr>
        <w:t>Compliance with Other Laws and Regulations.</w:t>
      </w:r>
      <w:r>
        <w:rPr>
          <w:color w:val="000000"/>
        </w:rPr>
        <w:t xml:space="preserve"> </w:t>
      </w:r>
      <w:r>
        <w:rPr>
          <w:rFonts w:ascii="Times New Roman" w:hAnsi="Times New Roman"/>
          <w:color w:val="000000"/>
          <w:sz w:val="22"/>
        </w:rPr>
        <w:t>Notwithstanding anything contained herein to the contrary, the Company shall not be required to sell or issue shares of Common Stock under any Incentive if the issuance thereof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and, as a condition of any sale or issuance of shares of Common Stock under an Incentive, the Committee may require such agreements or undertakings, if any, as the Committee may deem necessary or advisable to assure compliance with any such law or regulation. The Plan, the grant and exercise of Incentives hereunder, and the obligation of the Company to sell and deliver shares of Common Stock, shall be subject to all applicable federal and state laws, rules and regulations and to such approvals by any government or regulatory agency as may be required.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15.6</w:t>
      </w:r>
    </w:p>
    <w:p>
      <w:pPr>
        <w:pStyle w:val="TextBody"/>
        <w:bidi w:val="0"/>
        <w:spacing w:before="0" w:after="240"/>
        <w:jc w:val="both"/>
        <w:rPr/>
      </w:pPr>
      <w:r>
        <w:rPr>
          <w:rFonts w:ascii="Times New Roman" w:hAnsi="Times New Roman"/>
          <w:b/>
          <w:color w:val="000000"/>
          <w:sz w:val="22"/>
        </w:rPr>
        <w:t>Foreign Participation.</w:t>
      </w:r>
      <w:r>
        <w:rPr>
          <w:color w:val="000000"/>
        </w:rPr>
        <w:t xml:space="preserve"> </w:t>
      </w:r>
      <w:r>
        <w:rPr>
          <w:rFonts w:ascii="Times New Roman" w:hAnsi="Times New Roman"/>
          <w:color w:val="000000"/>
          <w:sz w:val="22"/>
        </w:rPr>
        <w:t>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this Plan as it determines is necessary or appropriate for such purposes. Any such amendment, restatement or alternative versions that the Committee approves for purposes of using this Plan in a foreign country will not affect the terms of this Plan for any other country.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15.7</w:t>
      </w:r>
    </w:p>
    <w:p>
      <w:pPr>
        <w:pStyle w:val="TextBody"/>
        <w:bidi w:val="0"/>
        <w:spacing w:before="0" w:after="240"/>
        <w:jc w:val="both"/>
        <w:rPr/>
      </w:pPr>
      <w:r>
        <w:rPr>
          <w:rFonts w:ascii="Times New Roman" w:hAnsi="Times New Roman"/>
          <w:b/>
          <w:color w:val="000000"/>
          <w:sz w:val="22"/>
        </w:rPr>
        <w:t>Tax Requirements.</w:t>
      </w:r>
      <w:r>
        <w:rPr>
          <w:color w:val="000000"/>
        </w:rPr>
        <w:t xml:space="preserve"> </w:t>
      </w:r>
      <w:r>
        <w:rPr>
          <w:rFonts w:ascii="Times New Roman" w:hAnsi="Times New Roman"/>
          <w:color w:val="000000"/>
          <w:sz w:val="22"/>
        </w:rPr>
        <w:t xml:space="preserve">The Company or, if applicable, any Subsidiary (for purposes of this </w:t>
      </w:r>
      <w:r>
        <w:rPr>
          <w:rFonts w:ascii="Times New Roman" w:hAnsi="Times New Roman"/>
          <w:color w:val="000000"/>
          <w:sz w:val="22"/>
          <w:u w:val="single"/>
        </w:rPr>
        <w:t>Section 15.7</w:t>
      </w:r>
      <w:r>
        <w:rPr>
          <w:rFonts w:ascii="Times New Roman" w:hAnsi="Times New Roman"/>
          <w:color w:val="000000"/>
          <w:sz w:val="22"/>
        </w:rPr>
        <w:t>, the term “</w:t>
      </w:r>
      <w:r>
        <w:rPr>
          <w:rFonts w:ascii="Times New Roman" w:hAnsi="Times New Roman"/>
          <w:b/>
          <w:i/>
          <w:color w:val="000000"/>
          <w:sz w:val="22"/>
        </w:rPr>
        <w:t>Company</w:t>
      </w:r>
      <w:r>
        <w:rPr>
          <w:color w:val="000000"/>
        </w:rPr>
        <w:t xml:space="preserve">” </w:t>
      </w:r>
      <w:r>
        <w:rPr>
          <w:rFonts w:ascii="Times New Roman" w:hAnsi="Times New Roman"/>
          <w:color w:val="000000"/>
          <w:sz w:val="22"/>
        </w:rPr>
        <w:t>shall be deemed to include any applicable Subsidiary), shall have the right to deduct from all amounts paid in cash or other form in connection with the Plan, any federal, state, local, or other taxes required by law to be withheld in connection with an Award granted under this Plan. The Company may, in its sole discretion, also require the Participant receiving shares of Common Stock issued under the Plan to pay the Company the amount of any taxes that the Company is required to withhold in connection with the Participant’s income arising with respect to the Award. Such payments shall be required to be made when requested by the Company and may be required to be made prior to the registration of shares or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exercising Participant to the Company of shares of Common Stock,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or exercise of the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 The Committee may in the Award Agreement impose any additional tax, social insurance, or fringe benefit requirements or provisions that the Committee deems necessary or desirable.</w:t>
      </w:r>
    </w:p>
    <w:p>
      <w:pPr>
        <w:pStyle w:val="TextBody"/>
        <w:bidi w:val="0"/>
        <w:jc w:val="center"/>
        <w:rPr>
          <w:rFonts w:ascii="Times New Roman" w:hAnsi="Times New Roman"/>
          <w:color w:val="000000"/>
          <w:sz w:val="22"/>
        </w:rPr>
      </w:pPr>
      <w:r>
        <w:rPr>
          <w:rFonts w:ascii="Times New Roman" w:hAnsi="Times New Roman"/>
          <w:color w:val="000000"/>
          <w:sz w:val="22"/>
        </w:rPr>
        <w:t>B-21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15.8</w:t>
      </w:r>
    </w:p>
    <w:p>
      <w:pPr>
        <w:pStyle w:val="TextBody"/>
        <w:bidi w:val="0"/>
        <w:spacing w:before="0" w:after="240"/>
        <w:jc w:val="both"/>
        <w:rPr/>
      </w:pPr>
      <w:r>
        <w:rPr>
          <w:rFonts w:ascii="Times New Roman" w:hAnsi="Times New Roman"/>
          <w:b/>
          <w:color w:val="000000"/>
          <w:sz w:val="22"/>
        </w:rPr>
        <w:t>Assignability.</w:t>
      </w:r>
      <w:r>
        <w:rPr>
          <w:color w:val="000000"/>
        </w:rPr>
        <w:t xml:space="preserve"> </w:t>
      </w:r>
      <w:r>
        <w:rPr>
          <w:rFonts w:ascii="Times New Roman" w:hAnsi="Times New Roman"/>
          <w:color w:val="000000"/>
          <w:sz w:val="22"/>
        </w:rPr>
        <w:t xml:space="preserve">Incentive Stock Options may not be transferred, assigned, pledged, hypothecated or otherwise conveyed or encumbered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The designation by a Participant of a beneficiary will not constitute a transfer of the Stock Option. The Committee may waive or modify any limitation contained in the preceding sentences of this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that is not required for compliance with Section 422 of the Code.</w:t>
      </w:r>
    </w:p>
    <w:p>
      <w:pPr>
        <w:pStyle w:val="TextBody"/>
        <w:bidi w:val="0"/>
        <w:spacing w:before="0" w:after="240"/>
        <w:jc w:val="both"/>
        <w:rPr>
          <w:rFonts w:ascii="Times New Roman" w:hAnsi="Times New Roman"/>
          <w:sz w:val="20"/>
        </w:rPr>
      </w:pPr>
      <w:r>
        <w:rPr>
          <w:rFonts w:ascii="Times New Roman" w:hAnsi="Times New Roman"/>
          <w:color w:val="000000"/>
          <w:sz w:val="24"/>
        </w:rPr>
        <w:t>Except as otherwise provided herein, Awards may not be transferred, assigned, pledged, hypothecated or otherwise conveyed or encumbered other than by will or the laws of descent and distribution. Notwithstanding the foregoing, the Committee may, in its discretion, authorize all or a portion of an Award to be granted to a Participant on terms which permit transfer by such Participant to (a) the spouse (or former spouse), children or grandchildren of the Participant (“</w:t>
      </w:r>
      <w:r>
        <w:rPr>
          <w:rFonts w:ascii="Times New Roman" w:hAnsi="Times New Roman"/>
          <w:b/>
          <w:i/>
          <w:color w:val="000000"/>
          <w:sz w:val="24"/>
        </w:rPr>
        <w:t>Immediate Family Members</w:t>
      </w:r>
      <w:r>
        <w:rPr>
          <w:rFonts w:ascii="Times New Roman" w:hAnsi="Times New Roman"/>
          <w:color w:val="000000"/>
          <w:sz w:val="20"/>
        </w:rPr>
        <w:t>”</w:t>
      </w:r>
      <w:r>
        <w:rPr>
          <w:rFonts w:ascii="Times New Roman" w:hAnsi="Times New Roman"/>
          <w:color w:val="000000"/>
          <w:sz w:val="24"/>
        </w:rPr>
        <w:t xml:space="preserve">), (b) a trust or trusts for the exclusive benefit of such Immediate Family Members, (c) a partnership in which the only partners are (1) such Immediate Family Members and/or (2) entities which are controlled by the Participant and/or Immediate Family Members, (d) an entity exempt from federal income tax pursuant to Section 501(c)(3) of the Code or any successor provision, or (e) a split interest trust or pooled income fund described in Section 2522(c)(2) of the Code or any successor provision, </w:t>
      </w: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(x) there shall be no consideration for any such transfer, (y) the Award Agreement pursuant to which such Award is granted must be approved by the Committee and must expressly provide for transferability in a manner consistent with this Section, and (z) subsequent transfers of transferred Award shall be prohibited except those by will or the laws of descent and distribution.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Following any transfer, any such Award shall continue to be subject to the same terms and conditions as were applicable immediately prior to transfer, provided that for purposes of </w:t>
      </w:r>
      <w:r>
        <w:rPr>
          <w:rFonts w:ascii="Times New Roman" w:hAnsi="Times New Roman"/>
          <w:color w:val="000000"/>
          <w:sz w:val="24"/>
          <w:u w:val="single"/>
        </w:rPr>
        <w:t>Articles 8, 9, 11, 13 and 15</w:t>
      </w:r>
      <w:r>
        <w:rPr>
          <w:rFonts w:ascii="Times New Roman" w:hAnsi="Times New Roman"/>
          <w:color w:val="000000"/>
          <w:sz w:val="20"/>
        </w:rPr>
        <w:t xml:space="preserve"> </w:t>
      </w:r>
      <w:r>
        <w:rPr>
          <w:rFonts w:ascii="Times New Roman" w:hAnsi="Times New Roman"/>
          <w:color w:val="000000"/>
          <w:sz w:val="24"/>
        </w:rPr>
        <w:t>hereof the term “</w:t>
      </w:r>
      <w:r>
        <w:rPr>
          <w:rFonts w:ascii="Times New Roman" w:hAnsi="Times New Roman"/>
          <w:b/>
          <w:i/>
          <w:color w:val="000000"/>
          <w:sz w:val="24"/>
        </w:rPr>
        <w:t>Participant</w:t>
      </w:r>
      <w:r>
        <w:rPr>
          <w:rFonts w:ascii="Times New Roman" w:hAnsi="Times New Roman"/>
          <w:color w:val="000000"/>
          <w:sz w:val="20"/>
        </w:rPr>
        <w:t xml:space="preserve">” </w:t>
      </w:r>
      <w:r>
        <w:rPr>
          <w:rFonts w:ascii="Times New Roman" w:hAnsi="Times New Roman"/>
          <w:color w:val="000000"/>
          <w:sz w:val="24"/>
        </w:rPr>
        <w:t xml:space="preserve">shall be deemed to include the transferee. The events of Termination of Service shall continue to be applied with respect to the original Participant, following which the Award shall be transferable, exercisable or convertible by the transferee only to the extent and for the periods specified in the Award Agreement. The Committee and the Company shall have no obligation to inform any transferee of an Award of any expiration, termination, lapse or acceleration of such Award. The Company shall have no obligation to register with any federal or state securities commission or agency any Common Stock issuable or issued under an Award that has been transferred by a Participant under this </w:t>
      </w:r>
      <w:r>
        <w:rPr>
          <w:rFonts w:ascii="Times New Roman" w:hAnsi="Times New Roman"/>
          <w:color w:val="000000"/>
          <w:sz w:val="24"/>
          <w:u w:val="single"/>
        </w:rPr>
        <w:t>Section 15.8</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15.9</w:t>
      </w:r>
    </w:p>
    <w:p>
      <w:pPr>
        <w:pStyle w:val="TextBody"/>
        <w:bidi w:val="0"/>
        <w:spacing w:before="0" w:after="240"/>
        <w:jc w:val="both"/>
        <w:rPr/>
      </w:pPr>
      <w:r>
        <w:rPr>
          <w:rFonts w:ascii="Times New Roman" w:hAnsi="Times New Roman"/>
          <w:b/>
          <w:color w:val="000000"/>
          <w:sz w:val="22"/>
        </w:rPr>
        <w:t>Use of Proceeds.</w:t>
      </w:r>
      <w:r>
        <w:rPr>
          <w:color w:val="000000"/>
        </w:rPr>
        <w:t xml:space="preserve"> </w:t>
      </w:r>
      <w:r>
        <w:rPr>
          <w:rFonts w:ascii="Times New Roman" w:hAnsi="Times New Roman"/>
          <w:color w:val="000000"/>
          <w:sz w:val="22"/>
        </w:rPr>
        <w:t>Proceeds from the sale of shares of Common Stock pursuant to Incentives granted under this Plan shall constitute general funds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15.10</w:t>
      </w:r>
    </w:p>
    <w:p>
      <w:pPr>
        <w:pStyle w:val="TextBody"/>
        <w:bidi w:val="0"/>
        <w:spacing w:before="0" w:after="240"/>
        <w:jc w:val="both"/>
        <w:rPr/>
      </w:pPr>
      <w:r>
        <w:rPr>
          <w:rFonts w:ascii="Times New Roman" w:hAnsi="Times New Roman"/>
          <w:b/>
          <w:color w:val="000000"/>
          <w:sz w:val="22"/>
        </w:rPr>
        <w:t>Legend.</w:t>
      </w:r>
      <w:r>
        <w:rPr>
          <w:color w:val="000000"/>
        </w:rPr>
        <w:t xml:space="preserve"> </w:t>
      </w:r>
      <w:r>
        <w:rPr>
          <w:rFonts w:ascii="Times New Roman" w:hAnsi="Times New Roman"/>
          <w:color w:val="000000"/>
          <w:sz w:val="22"/>
        </w:rPr>
        <w:t xml:space="preserve">The shares of Common Stock or other securities of the Company delivered pursuant to an Award shall be subject to such stop transfer orders and other restrictions as the Committee may deem advisable under the Plan or the rules, regulations, and other requirements of the Securities and Exchange Commission, any stock exchange upon which such Common Stock or other securities are then listed, and any applicable federal, state or other laws, and the Committee may cause a legend or legends to be inscribed on any such certificates to make appropriate reference to such restrictions.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15.11</w:t>
      </w:r>
    </w:p>
    <w:p>
      <w:pPr>
        <w:pStyle w:val="TextBody"/>
        <w:bidi w:val="0"/>
        <w:spacing w:before="0" w:after="240"/>
        <w:jc w:val="both"/>
        <w:rPr/>
      </w:pPr>
      <w:r>
        <w:rPr>
          <w:rFonts w:ascii="Times New Roman" w:hAnsi="Times New Roman"/>
          <w:b/>
          <w:color w:val="000000"/>
          <w:sz w:val="22"/>
        </w:rPr>
        <w:t>Governing Law.</w:t>
      </w:r>
      <w:r>
        <w:rPr>
          <w:color w:val="000000"/>
        </w:rPr>
        <w:t xml:space="preserve"> </w:t>
      </w:r>
      <w:r>
        <w:rPr>
          <w:rFonts w:ascii="Times New Roman" w:hAnsi="Times New Roman"/>
          <w:color w:val="000000"/>
          <w:sz w:val="22"/>
        </w:rPr>
        <w:t xml:space="preserve">The Plan shall be governed by, construed, and enforced in accordance with the laws of the State of Delaware (excluding any conflict of laws, rule or principle of Delaware law that might refer the governance, construction, or interpretation of this Plan to the laws of another state). A Participant’s sole remedy for any Claim shall be against the Company, and no Participant shall have any claim or right of any nature against any Subsidiary of the Company or any stockholder or existing or former director, officer or Employee of the Company or any Subsidiary of the Company. The individuals and entities described above in this </w:t>
      </w:r>
      <w:r>
        <w:rPr>
          <w:rFonts w:ascii="Times New Roman" w:hAnsi="Times New Roman"/>
          <w:color w:val="000000"/>
          <w:sz w:val="22"/>
          <w:u w:val="single"/>
        </w:rPr>
        <w:t>Section 15.11</w:t>
      </w:r>
      <w:r>
        <w:rPr>
          <w:color w:val="000000"/>
        </w:rPr>
        <w:t xml:space="preserve"> </w:t>
      </w:r>
      <w:r>
        <w:rPr>
          <w:rFonts w:ascii="Times New Roman" w:hAnsi="Times New Roman"/>
          <w:color w:val="000000"/>
          <w:sz w:val="22"/>
        </w:rPr>
        <w:t xml:space="preserve">(other than the Company) shall be third-party beneficiaries of this Plan for purposes of enforcing the terms of this </w:t>
      </w:r>
      <w:r>
        <w:rPr>
          <w:rFonts w:ascii="Times New Roman" w:hAnsi="Times New Roman"/>
          <w:color w:val="000000"/>
          <w:sz w:val="22"/>
          <w:u w:val="single"/>
        </w:rPr>
        <w:t>Section 15.11</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B-22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left"/>
        <w:rPr>
          <w:rFonts w:ascii="Times New Roman" w:hAnsi="Times New Roman"/>
          <w:sz w:val="20"/>
        </w:rPr>
      </w:pPr>
      <w:r>
        <w:rPr>
          <w:rFonts w:ascii="Times New Roman" w:hAnsi="Times New Roman"/>
          <w:color w:val="000000"/>
          <w:sz w:val="24"/>
        </w:rPr>
        <w:t>A copy of this Plan shall be kept on file in the principal office of the Company in Dallas, Texas</w:t>
      </w:r>
      <w:r>
        <w:rPr>
          <w:rFonts w:ascii="Times New Roman" w:hAnsi="Times New Roman"/>
          <w:b/>
          <w:color w:val="000000"/>
          <w:sz w:val="24"/>
        </w:rPr>
        <w:t>.</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B-23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IN WITNESS WHEREOF, the Company has caused this instrument to be executed as of April 9, 2025, by its Chief Executive Officer pursuant to prior action taken by the Board.</w:t>
      </w:r>
    </w:p>
    <w:p>
      <w:pPr>
        <w:pStyle w:val="TextBody"/>
        <w:bidi w:val="0"/>
        <w:spacing w:before="0" w:after="720"/>
        <w:jc w:val="left"/>
        <w:rPr>
          <w:rFonts w:ascii="Times New Roman" w:hAnsi="Times New Roman"/>
          <w:sz w:val="20"/>
        </w:rPr>
      </w:pPr>
      <w:r>
        <w:rPr>
          <w:rFonts w:ascii="Times New Roman" w:hAnsi="Times New Roman"/>
          <w:b/>
          <w:caps/>
          <w:color w:val="000000"/>
          <w:sz w:val="24"/>
        </w:rPr>
        <w:t>LSB INDUSTRIES, INC.</w:t>
      </w:r>
      <w:r>
        <w:rPr>
          <w:rFonts w:ascii="Times New Roman" w:hAnsi="Times New Roman"/>
          <w:caps/>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 Mark T. Behrman</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1</w:t>
      </w:r>
    </w:p>
    <w:p>
      <w:pPr>
        <w:pStyle w:val="TextBody"/>
        <w:bidi w:val="0"/>
        <w:jc w:val="center"/>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Calculation of Return on Net Assets (RONA)</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calculation of RONA for the first Covered Year shall be determined by reference to the ratio (expressed as a percentage) of the Company’s Adjusted EBITDA for fiscal year 2025 divided by its Average Net Operational Assets, in each case as calculated in a manner consistent with the Company’s financial reporting practices and as determined by the Committee in good faith, with authority to make reasonable, non-substantive adjustments to reflect changes in accounting standards, reporting conventions, or extraordinary or non-recurring events, provided that such adjustments do not materially alter the intent of the performance metric.</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 xml:space="preserve">RONA = </w:t>
      </w:r>
      <w:r>
        <w:rPr>
          <w:rFonts w:ascii="Times New Roman" w:hAnsi="Times New Roman"/>
          <w:i/>
          <w:color w:val="000000"/>
          <w:sz w:val="22"/>
          <w:u w:val="single"/>
        </w:rPr>
        <w:t>Adjusted EBITDA</w:t>
      </w:r>
    </w:p>
    <w:p>
      <w:pPr>
        <w:pStyle w:val="TextBody"/>
        <w:bidi w:val="0"/>
        <w:jc w:val="both"/>
        <w:rPr>
          <w:rFonts w:ascii="Times New Roman" w:hAnsi="Times New Roman"/>
          <w:i/>
          <w:color w:val="000000"/>
          <w:sz w:val="22"/>
        </w:rPr>
      </w:pPr>
      <w:r>
        <w:rPr>
          <w:rFonts w:ascii="Times New Roman" w:hAnsi="Times New Roman"/>
          <w:i/>
          <w:color w:val="000000"/>
          <w:sz w:val="22"/>
        </w:rPr>
        <w:t>Average Net Operating Assets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EBITDA</w:t>
      </w:r>
      <w:r>
        <w:rPr>
          <w:rFonts w:ascii="Times New Roman" w:hAnsi="Times New Roman"/>
          <w:color w:val="000000"/>
          <w:sz w:val="20"/>
        </w:rPr>
        <w:t xml:space="preserve"> </w:t>
      </w:r>
      <w:r>
        <w:rPr>
          <w:rFonts w:ascii="Times New Roman" w:hAnsi="Times New Roman"/>
          <w:color w:val="000000"/>
          <w:sz w:val="22"/>
        </w:rPr>
        <w:t xml:space="preserve">is computed as the </w:t>
      </w:r>
      <w:r>
        <w:rPr>
          <w:rFonts w:ascii="Times New Roman" w:hAnsi="Times New Roman"/>
          <w:i/>
          <w:color w:val="000000"/>
          <w:sz w:val="22"/>
        </w:rPr>
        <w:t>sum</w:t>
      </w:r>
      <w:r>
        <w:rPr>
          <w:rFonts w:ascii="Times New Roman" w:hAnsi="Times New Roman"/>
          <w:color w:val="000000"/>
          <w:sz w:val="20"/>
        </w:rPr>
        <w:t xml:space="preserve"> </w:t>
      </w:r>
      <w:r>
        <w:rPr>
          <w:rFonts w:ascii="Times New Roman" w:hAnsi="Times New Roman"/>
          <w:color w:val="000000"/>
          <w:sz w:val="22"/>
        </w:rPr>
        <w:t>of:</w:t>
      </w:r>
    </w:p>
    <w:p>
      <w:pPr>
        <w:pStyle w:val="TextBody"/>
        <w:bidi w:val="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pPr>
      <w:r>
        <w:rPr>
          <w:rFonts w:ascii="Times New Roman" w:hAnsi="Times New Roman"/>
          <w:color w:val="000000"/>
          <w:sz w:val="22"/>
        </w:rPr>
        <w:t xml:space="preserve">net earnings (loss) attributable to common stockholders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pPr>
      <w:r>
        <w:rPr>
          <w:rFonts w:ascii="Times New Roman" w:hAnsi="Times New Roman"/>
          <w:color w:val="000000"/>
          <w:sz w:val="22"/>
        </w:rPr>
        <w:t xml:space="preserve">interest expense (income)—net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20"/>
        <w:jc w:val="both"/>
        <w:rPr/>
      </w:pPr>
      <w:r>
        <w:rPr>
          <w:rFonts w:ascii="Times New Roman" w:hAnsi="Times New Roman"/>
          <w:color w:val="000000"/>
          <w:sz w:val="22"/>
        </w:rPr>
        <w:t xml:space="preserve">income tax provision (benefit)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20"/>
        <w:jc w:val="both"/>
        <w:rPr/>
      </w:pPr>
      <w:r>
        <w:rPr>
          <w:rFonts w:ascii="Times New Roman" w:hAnsi="Times New Roman"/>
          <w:color w:val="000000"/>
          <w:sz w:val="22"/>
        </w:rPr>
        <w:t xml:space="preserve">depreciation and amortization </w:t>
      </w:r>
      <w:r>
        <w:rPr>
          <w:rFonts w:ascii="Times New Roman" w:hAnsi="Times New Roman"/>
          <w:i/>
          <w:color w:val="000000"/>
          <w:sz w:val="22"/>
        </w:rPr>
        <w:t>less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loan fee amortization included in both interest expense and depreciation and amortization. </w:t>
      </w:r>
    </w:p>
    <w:p>
      <w:pPr>
        <w:pStyle w:val="TextBody"/>
        <w:bidi w:val="0"/>
        <w:jc w:val="both"/>
        <w:rPr>
          <w:rFonts w:ascii="Times New Roman" w:hAnsi="Times New Roman"/>
          <w:sz w:val="20"/>
        </w:rPr>
      </w:pPr>
      <w:r>
        <w:rPr>
          <w:rFonts w:ascii="Times New Roman" w:hAnsi="Times New Roman"/>
          <w:i/>
          <w:color w:val="000000"/>
          <w:sz w:val="22"/>
        </w:rPr>
        <w:t>Adjusted EBITDA</w:t>
      </w:r>
      <w:r>
        <w:rPr>
          <w:rFonts w:ascii="Times New Roman" w:hAnsi="Times New Roman"/>
          <w:color w:val="000000"/>
          <w:sz w:val="20"/>
        </w:rPr>
        <w:t xml:space="preserve"> </w:t>
      </w:r>
      <w:r>
        <w:rPr>
          <w:rFonts w:ascii="Times New Roman" w:hAnsi="Times New Roman"/>
          <w:color w:val="000000"/>
          <w:sz w:val="22"/>
        </w:rPr>
        <w:t xml:space="preserve">means the Company’s Adjusted EBITDA, as calculated and reported in the Company’s earnings statement for the applicable fiscal year </w:t>
      </w:r>
      <w:r>
        <w:rPr>
          <w:rFonts w:ascii="Times New Roman" w:hAnsi="Times New Roman"/>
          <w:i/>
          <w:color w:val="000000"/>
          <w:sz w:val="22"/>
        </w:rPr>
        <w:t xml:space="preserve">less </w:t>
      </w:r>
      <w:r>
        <w:rPr>
          <w:rFonts w:ascii="Times New Roman" w:hAnsi="Times New Roman"/>
          <w:color w:val="000000"/>
          <w:sz w:val="22"/>
        </w:rPr>
        <w:t>turnaround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Operating Assets</w:t>
      </w:r>
      <w:r>
        <w:rPr>
          <w:rFonts w:ascii="Times New Roman" w:hAnsi="Times New Roman"/>
          <w:color w:val="000000"/>
          <w:sz w:val="20"/>
        </w:rPr>
        <w:t xml:space="preserve"> </w:t>
      </w:r>
      <w:r>
        <w:rPr>
          <w:rFonts w:ascii="Times New Roman" w:hAnsi="Times New Roman"/>
          <w:color w:val="000000"/>
          <w:sz w:val="22"/>
        </w:rPr>
        <w:t xml:space="preserve">is computed as the </w:t>
      </w:r>
      <w:r>
        <w:rPr>
          <w:rFonts w:ascii="Times New Roman" w:hAnsi="Times New Roman"/>
          <w:i/>
          <w:color w:val="000000"/>
          <w:sz w:val="22"/>
        </w:rPr>
        <w:t>sum</w:t>
      </w:r>
      <w:r>
        <w:rPr>
          <w:rFonts w:ascii="Times New Roman" w:hAnsi="Times New Roman"/>
          <w:color w:val="000000"/>
          <w:sz w:val="20"/>
        </w:rPr>
        <w:t xml:space="preserve"> </w:t>
      </w:r>
      <w:r>
        <w:rPr>
          <w:rFonts w:ascii="Times New Roman" w:hAnsi="Times New Roman"/>
          <w:color w:val="000000"/>
          <w:sz w:val="22"/>
        </w:rPr>
        <w:t>of:</w:t>
      </w:r>
    </w:p>
    <w:p>
      <w:pPr>
        <w:pStyle w:val="TextBody"/>
        <w:bidi w:val="0"/>
        <w:jc w:val="both"/>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pPr>
      <w:r>
        <w:rPr>
          <w:rFonts w:ascii="Times New Roman" w:hAnsi="Times New Roman"/>
          <w:color w:val="000000"/>
          <w:sz w:val="22"/>
        </w:rPr>
        <w:t xml:space="preserve">Net accounts receivable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pPr>
      <w:r>
        <w:rPr>
          <w:rFonts w:ascii="Times New Roman" w:hAnsi="Times New Roman"/>
          <w:color w:val="000000"/>
          <w:sz w:val="22"/>
        </w:rPr>
        <w:t xml:space="preserve">Inventories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20"/>
        <w:jc w:val="both"/>
        <w:rPr/>
      </w:pPr>
      <w:r>
        <w:rPr>
          <w:rFonts w:ascii="Times New Roman" w:hAnsi="Times New Roman"/>
          <w:color w:val="000000"/>
          <w:sz w:val="22"/>
        </w:rPr>
        <w:t xml:space="preserve">Precious metals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20"/>
        <w:jc w:val="both"/>
        <w:rPr/>
      </w:pPr>
      <w:r>
        <w:rPr>
          <w:rFonts w:ascii="Times New Roman" w:hAnsi="Times New Roman"/>
          <w:color w:val="000000"/>
          <w:sz w:val="22"/>
        </w:rPr>
        <w:t xml:space="preserve">Supplies and other current assets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120"/>
        <w:jc w:val="both"/>
        <w:rPr/>
      </w:pPr>
      <w:r>
        <w:rPr>
          <w:rFonts w:ascii="Times New Roman" w:hAnsi="Times New Roman"/>
          <w:color w:val="000000"/>
          <w:sz w:val="22"/>
        </w:rPr>
        <w:t xml:space="preserve">Operating lease assets </w:t>
      </w:r>
      <w:r>
        <w:rPr>
          <w:rFonts w:ascii="Times New Roman" w:hAnsi="Times New Roman"/>
          <w:i/>
          <w:color w:val="000000"/>
          <w:sz w:val="22"/>
        </w:rPr>
        <w:t>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PP&amp;E, net. </w:t>
      </w:r>
    </w:p>
    <w:p>
      <w:pPr>
        <w:pStyle w:val="TextBody"/>
        <w:bidi w:val="0"/>
        <w:jc w:val="left"/>
        <w:rPr>
          <w:rFonts w:ascii="Times New Roman" w:hAnsi="Times New Roman"/>
          <w:sz w:val="20"/>
        </w:rPr>
      </w:pPr>
      <w:r>
        <w:rPr>
          <w:rFonts w:ascii="Times New Roman" w:hAnsi="Times New Roman"/>
          <w:i/>
          <w:color w:val="000000"/>
          <w:sz w:val="22"/>
        </w:rPr>
        <w:t>Operating Liabilities</w:t>
      </w:r>
      <w:r>
        <w:rPr>
          <w:rFonts w:ascii="Times New Roman" w:hAnsi="Times New Roman"/>
          <w:color w:val="000000"/>
          <w:sz w:val="20"/>
        </w:rPr>
        <w:t xml:space="preserve"> </w:t>
      </w:r>
      <w:r>
        <w:rPr>
          <w:rFonts w:ascii="Times New Roman" w:hAnsi="Times New Roman"/>
          <w:color w:val="000000"/>
          <w:sz w:val="22"/>
        </w:rPr>
        <w:t xml:space="preserve">is computed as the </w:t>
      </w:r>
      <w:r>
        <w:rPr>
          <w:rFonts w:ascii="Times New Roman" w:hAnsi="Times New Roman"/>
          <w:i/>
          <w:color w:val="000000"/>
          <w:sz w:val="22"/>
        </w:rPr>
        <w:t>sum</w:t>
      </w:r>
      <w:r>
        <w:rPr>
          <w:rFonts w:ascii="Times New Roman" w:hAnsi="Times New Roman"/>
          <w:color w:val="000000"/>
          <w:sz w:val="20"/>
        </w:rPr>
        <w:t xml:space="preserve"> </w:t>
      </w:r>
      <w:r>
        <w:rPr>
          <w:rFonts w:ascii="Times New Roman" w:hAnsi="Times New Roman"/>
          <w:color w:val="000000"/>
          <w:sz w:val="22"/>
        </w:rPr>
        <w:t>of:</w:t>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pPr>
      <w:r>
        <w:rPr>
          <w:rFonts w:ascii="Times New Roman" w:hAnsi="Times New Roman"/>
          <w:color w:val="000000"/>
          <w:sz w:val="22"/>
        </w:rPr>
        <w:t xml:space="preserve">Accounts payable </w:t>
      </w:r>
      <w:r>
        <w:rPr>
          <w:rFonts w:ascii="Times New Roman" w:hAnsi="Times New Roman"/>
          <w:i/>
          <w:color w:val="000000"/>
          <w:sz w:val="22"/>
        </w:rPr>
        <w:t>plus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pPr>
      <w:r>
        <w:rPr>
          <w:rFonts w:ascii="Times New Roman" w:hAnsi="Times New Roman"/>
          <w:color w:val="000000"/>
          <w:sz w:val="22"/>
        </w:rPr>
        <w:t xml:space="preserve">Accrued liabilities </w:t>
      </w:r>
      <w:r>
        <w:rPr>
          <w:rFonts w:ascii="Times New Roman" w:hAnsi="Times New Roman"/>
          <w:i/>
          <w:color w:val="000000"/>
          <w:sz w:val="22"/>
        </w:rPr>
        <w:t xml:space="preserve">plus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Noncurrent operating leases.</w:t>
      </w:r>
    </w:p>
    <w:p>
      <w:pPr>
        <w:pStyle w:val="TextBody"/>
        <w:bidi w:val="0"/>
        <w:jc w:val="left"/>
        <w:rPr>
          <w:rFonts w:ascii="Times New Roman" w:hAnsi="Times New Roman"/>
          <w:sz w:val="20"/>
        </w:rPr>
      </w:pPr>
      <w:r>
        <w:rPr>
          <w:rFonts w:ascii="Times New Roman" w:hAnsi="Times New Roman"/>
          <w:i/>
          <w:color w:val="000000"/>
          <w:sz w:val="22"/>
        </w:rPr>
        <w:t>Net Operating Assets</w:t>
      </w:r>
      <w:r>
        <w:rPr>
          <w:rFonts w:ascii="Times New Roman" w:hAnsi="Times New Roman"/>
          <w:color w:val="000000"/>
          <w:sz w:val="20"/>
        </w:rPr>
        <w:t xml:space="preserve"> </w:t>
      </w:r>
      <w:r>
        <w:rPr>
          <w:rFonts w:ascii="Times New Roman" w:hAnsi="Times New Roman"/>
          <w:color w:val="000000"/>
          <w:sz w:val="22"/>
        </w:rPr>
        <w:t xml:space="preserve">means Operating Assets </w:t>
      </w:r>
      <w:r>
        <w:rPr>
          <w:rFonts w:ascii="Times New Roman" w:hAnsi="Times New Roman"/>
          <w:i/>
          <w:color w:val="000000"/>
          <w:sz w:val="22"/>
        </w:rPr>
        <w:t xml:space="preserve">minus </w:t>
      </w:r>
      <w:r>
        <w:rPr>
          <w:rFonts w:ascii="Times New Roman" w:hAnsi="Times New Roman"/>
          <w:color w:val="000000"/>
          <w:sz w:val="22"/>
        </w:rPr>
        <w:t>Operating Liabilities.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2"/>
        </w:rPr>
        <w:t>Average Net Operating Assets</w:t>
      </w:r>
      <w:r>
        <w:rPr>
          <w:rFonts w:ascii="Times New Roman" w:hAnsi="Times New Roman"/>
          <w:color w:val="000000"/>
          <w:sz w:val="20"/>
        </w:rPr>
        <w:t xml:space="preserve"> </w:t>
      </w:r>
      <w:r>
        <w:rPr>
          <w:rFonts w:ascii="Times New Roman" w:hAnsi="Times New Roman"/>
          <w:color w:val="000000"/>
          <w:sz w:val="22"/>
        </w:rPr>
        <w:t>is computed as the simple average of (i) the Net Operating Assets of the Company as of December 31, 2025, and (ii) the Net Operating Assets of the Company as of December 31, 2024.</w:t>
      </w:r>
    </w:p>
    <w:p>
      <w:pPr>
        <w:pStyle w:val="TextBody"/>
        <w:bidi w:val="0"/>
        <w:jc w:val="center"/>
        <w:rPr>
          <w:rFonts w:ascii="Times New Roman" w:hAnsi="Times New Roman"/>
          <w:color w:val="000000"/>
          <w:sz w:val="22"/>
        </w:rPr>
      </w:pPr>
      <w:r>
        <w:rPr>
          <w:rFonts w:ascii="Times New Roman" w:hAnsi="Times New Roman"/>
          <w:color w:val="000000"/>
          <w:sz w:val="22"/>
        </w:rPr>
        <w:t>Schedule 1</w:t>
      </w:r>
    </w:p>
    <w:p>
      <w:pPr>
        <w:pStyle w:val="HorizontalLine"/>
        <w:pBdr>
          <w:bottom w:val="double" w:sz="2" w:space="0" w:color="808080"/>
        </w:pBdr>
        <w:bidi w:val="0"/>
        <w:spacing w:before="0" w:after="283"/>
        <w:jc w:val="left"/>
        <w:rPr/>
      </w:pPr>
      <w:r>
        <w:rPr/>
      </w:r>
    </w:p>
    <w:p>
      <w:pPr>
        <w:pStyle w:val="TextBody"/>
        <w:bidi w:val="0"/>
        <w:jc w:val="left"/>
        <w:rPr/>
      </w:pPr>
      <w:bookmarkStart w:id="45" w:name="lxu-ex31_1.htm"/>
      <w:bookmarkStart w:id="46" w:name="kslxuex31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2026</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Chairman of the Board of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lxu-ex31_2.htm"/>
      <w:bookmarkStart w:id="48" w:name="kslxuex31_2"/>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lxu-ex32_1.htm"/>
      <w:bookmarkStart w:id="50" w:name="kslxuex32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March 31, 2026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lxu-ex32_2.htm"/>
      <w:bookmarkStart w:id="52" w:name="kslxuex32_2"/>
      <w:bookmarkEnd w:id="51"/>
      <w:bookmarkEnd w:id="52"/>
      <w:r>
        <w:rPr/>
        <w:t> </w:t>
      </w:r>
      <w:r>
        <w:br w:type="page"/>
      </w:r>
    </w:p>
    <w:p>
      <w:pPr>
        <w:pStyle w:val="Heading2"/>
        <w:bidi w:val="0"/>
        <w:jc w:val="right"/>
        <w:rPr>
          <w:rFonts w:ascii="Times New Roman" w:hAnsi="Times New Roman"/>
          <w:color w:val="000000"/>
          <w:sz w:val="20"/>
        </w:rPr>
      </w:pPr>
      <w:r>
        <w:rPr>
          <w:rFonts w:ascii="Times New Roman" w:hAnsi="Times New Roman"/>
          <w:color w:val="000000"/>
          <w:sz w:val="20"/>
        </w:rPr>
        <w:t>Exhibit 32.2</w:t>
      </w:r>
    </w:p>
    <w:p>
      <w:pPr>
        <w:pStyle w:val="Heading1"/>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18 U.S.C. SECTION 1350</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Heading1"/>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March 31, 2026 as filed with the Securities and Exchange Commission on the date hereof (the “Report”), I, Cheryl A. Maguire, Executive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54463</Words>
  <Characters>283700</Characters>
  <CharactersWithSpaces>338501</CharactersWithSpaces>
  <Paragraphs>5350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