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40930.htm"/>
      <w:bookmarkStart w:id="1" w:name="kslxu20240930"/>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September 30, 2024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1-7677</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73-1015226</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6178" w:type="dxa"/>
        <w:jc w:val="left"/>
        <w:tblInd w:w="0" w:type="dxa"/>
        <w:tblLayout w:type="fixed"/>
        <w:tblCellMar>
          <w:top w:w="28" w:type="dxa"/>
          <w:left w:w="28" w:type="dxa"/>
          <w:bottom w:w="28" w:type="dxa"/>
          <w:right w:w="28" w:type="dxa"/>
        </w:tblCellMar>
      </w:tblPr>
      <w:tblGrid>
        <w:gridCol w:w="5101"/>
        <w:gridCol w:w="146"/>
        <w:gridCol w:w="93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3503 NW 63</w:t>
            </w:r>
            <w:r>
              <w:rPr>
                <w:rFonts w:ascii="Times New Roman" w:hAnsi="Times New Roman"/>
                <w:b/>
                <w:color w:val="000000"/>
                <w:sz w:val="13"/>
              </w:rPr>
              <w:t>rd</w:t>
            </w:r>
            <w:r>
              <w:rPr>
                <w:rFonts w:ascii="Times New Roman" w:hAnsi="Times New Roman"/>
                <w:color w:val="000000"/>
                <w:sz w:val="20"/>
              </w:rPr>
              <w:t xml:space="preserve"> </w:t>
            </w:r>
            <w:r>
              <w:rPr>
                <w:rFonts w:ascii="Times New Roman" w:hAnsi="Times New Roman"/>
                <w:b/>
                <w:color w:val="000000"/>
                <w:sz w:val="20"/>
              </w:rPr>
              <w:t>Street, Suite 500, Oklahoma City, Oklahoma</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73116</w:t>
            </w:r>
          </w:p>
        </w:tc>
      </w:tr>
      <w:tr>
        <w:trPr/>
        <w:tc>
          <w:tcPr>
            <w:tcW w:w="51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(405) 235-4546</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30" w:type="dxa"/>
        <w:jc w:val="left"/>
        <w:tblInd w:w="0" w:type="dxa"/>
        <w:tblLayout w:type="fixed"/>
        <w:tblCellMar>
          <w:top w:w="28" w:type="dxa"/>
          <w:left w:w="28" w:type="dxa"/>
          <w:bottom w:w="28" w:type="dxa"/>
          <w:right w:w="28" w:type="dxa"/>
        </w:tblCellMar>
      </w:tblPr>
      <w:tblGrid>
        <w:gridCol w:w="2866"/>
        <w:gridCol w:w="146"/>
        <w:gridCol w:w="1456"/>
        <w:gridCol w:w="146"/>
        <w:gridCol w:w="331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6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LXU</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w:t>
      </w:r>
    </w:p>
    <w:p>
      <w:pPr>
        <w:pStyle w:val="TextBody"/>
        <w:bidi w:val="0"/>
        <w:jc w:val="both"/>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43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color w:val="000000"/>
              </w:rPr>
            </w:pPr>
            <w:r>
              <w:rPr>
                <w:color w:val="000000"/>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61" w:type="dxa"/>
            <w:tcBorders/>
            <w:shd w:fill="FFFFFF" w:val="clear"/>
            <w:vAlign w:val="center"/>
          </w:tcPr>
          <w:p>
            <w:pPr>
              <w:pStyle w:val="TableContents"/>
              <w:bidi w:val="0"/>
              <w:spacing w:before="0" w:after="283"/>
              <w:jc w:val="left"/>
              <w:rPr>
                <w:color w:val="000000"/>
              </w:rPr>
            </w:pPr>
            <w:r>
              <w:rPr>
                <w:color w:val="000000"/>
              </w:rPr>
              <w:t>☒</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color w:val="000000"/>
              </w:rPr>
            </w:pPr>
            <w:r>
              <w:rPr>
                <w:color w:val="000000"/>
              </w:rPr>
              <w:t xml:space="preserve"> ☐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color w:val="000000"/>
              </w:rPr>
            </w:pPr>
            <w:r>
              <w:rPr>
                <w:color w:val="000000"/>
              </w:rPr>
              <w:t>☐</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number of shares outstanding of the Registrant's common stock was 71,621,131 shares as of October 25, 2024.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10-Q OF 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w:t>
      </w:r>
    </w:p>
    <w:tbl>
      <w:tblPr>
        <w:tblW w:w="8920" w:type="dxa"/>
        <w:jc w:val="left"/>
        <w:tblInd w:w="0" w:type="dxa"/>
        <w:tblLayout w:type="fixed"/>
        <w:tblCellMar>
          <w:top w:w="28" w:type="dxa"/>
          <w:left w:w="28" w:type="dxa"/>
          <w:bottom w:w="28" w:type="dxa"/>
          <w:right w:w="28" w:type="dxa"/>
        </w:tblCellMar>
      </w:tblPr>
      <w:tblGrid>
        <w:gridCol w:w="811"/>
        <w:gridCol w:w="146"/>
        <w:gridCol w:w="7336"/>
        <w:gridCol w:w="146"/>
        <w:gridCol w:w="48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 – Financial Information</w:t>
            </w:r>
          </w:p>
        </w:tc>
        <w:tc>
          <w:tcPr>
            <w:tcW w:w="146" w:type="dxa"/>
            <w:tcBorders/>
            <w:vAlign w:val="center"/>
          </w:tcPr>
          <w:p>
            <w:pPr>
              <w:pStyle w:val="TableContents"/>
              <w:bidi w:val="0"/>
              <w:spacing w:before="0" w:after="283"/>
              <w:jc w:val="center"/>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II – Other Information</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5_or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6exhibits">
              <w:r>
                <w:rPr>
                  <w:rStyle w:val="InternetLink"/>
                  <w:rFonts w:ascii="Times New Roman" w:hAnsi="Times New Roman"/>
                  <w:color w:val="0000FF"/>
                  <w:sz w:val="20"/>
                  <w:u w:val="single"/>
                </w:rPr>
                <w:t>Exhibits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we refer to "us", "we", "our", "Company" or "LSB" we are describing LSB Industries, Inc. and its subsidiaries.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FINANCIAL INFORMATION</w:t>
      </w:r>
    </w:p>
    <w:p>
      <w:pPr>
        <w:pStyle w:val="TextBody"/>
        <w:bidi w:val="0"/>
        <w:jc w:val="both"/>
        <w:rPr>
          <w:rFonts w:ascii="Times New Roman" w:hAnsi="Times New Roman"/>
          <w:b/>
          <w:color w:val="000000"/>
          <w:sz w:val="20"/>
          <w:u w:val="single"/>
        </w:rPr>
      </w:pPr>
      <w:bookmarkStart w:id="3" w:name="item_1_financial_statements"/>
      <w:bookmarkEnd w:id="3"/>
      <w:r>
        <w:rPr>
          <w:rFonts w:ascii="Times New Roman" w:hAnsi="Times New Roman"/>
          <w:b/>
          <w:color w:val="000000"/>
          <w:sz w:val="20"/>
          <w:u w:val="single"/>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(Information at September 30, 2024 is unaudited)</w:t>
      </w:r>
    </w:p>
    <w:tbl>
      <w:tblPr>
        <w:tblW w:w="10205" w:type="dxa"/>
        <w:jc w:val="left"/>
        <w:tblInd w:w="0" w:type="dxa"/>
        <w:tblLayout w:type="fixed"/>
        <w:tblCellMar>
          <w:top w:w="28" w:type="dxa"/>
          <w:left w:w="28" w:type="dxa"/>
          <w:bottom w:w="28" w:type="dxa"/>
          <w:right w:w="28" w:type="dxa"/>
        </w:tblCellMar>
      </w:tblPr>
      <w:tblGrid>
        <w:gridCol w:w="6101"/>
        <w:gridCol w:w="146"/>
        <w:gridCol w:w="274"/>
        <w:gridCol w:w="1212"/>
        <w:gridCol w:w="166"/>
        <w:gridCol w:w="146"/>
        <w:gridCol w:w="267"/>
        <w:gridCol w:w="1180"/>
        <w:gridCol w:w="713"/>
      </w:tblGrid>
      <w:tr>
        <w:trPr/>
        <w:tc>
          <w:tcPr>
            <w:tcW w:w="6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713" w:type="dxa"/>
            <w:tcBorders/>
            <w:shd w:fill="FFFFFF" w:val="clear"/>
            <w:vAlign w:val="center"/>
          </w:tcPr>
          <w:p>
            <w:pPr>
              <w:pStyle w:val="TableContents"/>
              <w:bidi w:val="0"/>
              <w:spacing w:before="0" w:after="283"/>
              <w:jc w:val="center"/>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left"/>
              <w:rPr/>
            </w:pPr>
            <w:r>
              <w:rPr/>
              <w:t> </w:t>
            </w:r>
          </w:p>
        </w:tc>
      </w:tr>
      <w:tr>
        <w:trPr/>
        <w:tc>
          <w:tcPr>
            <w:tcW w:w="6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7" w:type="dxa"/>
            <w:gridSpan w:val="2"/>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98,500</w:t>
            </w:r>
          </w:p>
        </w:tc>
        <w:tc>
          <w:tcPr>
            <w:tcW w:w="713" w:type="dxa"/>
            <w:tcBorders/>
            <w:shd w:fill="CFF0FC" w:val="clear"/>
            <w:vAlign w:val="center"/>
          </w:tcPr>
          <w:p>
            <w:pPr>
              <w:pStyle w:val="TableContents"/>
              <w:bidi w:val="0"/>
              <w:spacing w:before="0" w:after="283"/>
              <w:ind w:left="0" w:right="0" w:firstLine="200"/>
              <w:jc w:val="left"/>
              <w:rPr/>
            </w:pPr>
            <w:r>
              <w:rPr/>
              <w:t> </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1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207,434</w:t>
            </w:r>
          </w:p>
        </w:tc>
        <w:tc>
          <w:tcPr>
            <w:tcW w:w="713" w:type="dxa"/>
            <w:tcBorders/>
            <w:shd w:fill="CFF0FC" w:val="clear"/>
            <w:vAlign w:val="center"/>
          </w:tcPr>
          <w:p>
            <w:pPr>
              <w:pStyle w:val="TableContents"/>
              <w:bidi w:val="0"/>
              <w:spacing w:before="0" w:after="283"/>
              <w:ind w:left="0" w:right="0" w:firstLine="200"/>
              <w:jc w:val="left"/>
              <w:rPr/>
            </w:pPr>
            <w:r>
              <w:rPr/>
              <w:t> </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40,749</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40,385</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7"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ind w:left="0" w:right="0" w:firstLine="400"/>
              <w:jc w:val="right"/>
              <w:rPr/>
            </w:pPr>
            <w:r>
              <w:rPr/>
              <w:t> </w:t>
            </w:r>
          </w:p>
        </w:tc>
      </w:tr>
      <w:tr>
        <w:trPr/>
        <w:tc>
          <w:tcPr>
            <w:tcW w:w="61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26,329</w:t>
            </w:r>
          </w:p>
        </w:tc>
        <w:tc>
          <w:tcPr>
            <w:tcW w:w="713" w:type="dxa"/>
            <w:tcBorders/>
            <w:shd w:fill="FFFFFF" w:val="clear"/>
            <w:vAlign w:val="center"/>
          </w:tcPr>
          <w:p>
            <w:pPr>
              <w:pStyle w:val="TableContents"/>
              <w:bidi w:val="0"/>
              <w:spacing w:before="0" w:after="283"/>
              <w:ind w:left="0" w:right="0" w:firstLine="400"/>
              <w:jc w:val="left"/>
              <w:rPr/>
            </w:pPr>
            <w:r>
              <w:rPr/>
              <w:t> </w:t>
            </w:r>
          </w:p>
        </w:tc>
      </w:tr>
      <w:tr>
        <w:trPr/>
        <w:tc>
          <w:tcPr>
            <w:tcW w:w="61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101"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28,128</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7"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ind w:left="0" w:right="0" w:firstLine="400"/>
              <w:jc w:val="right"/>
              <w:rPr/>
            </w:pPr>
            <w:r>
              <w:rPr/>
              <w:t> </w:t>
            </w:r>
          </w:p>
        </w:tc>
      </w:tr>
      <w:tr>
        <w:trPr/>
        <w:tc>
          <w:tcPr>
            <w:tcW w:w="61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14,846</w:t>
            </w:r>
          </w:p>
        </w:tc>
        <w:tc>
          <w:tcPr>
            <w:tcW w:w="713" w:type="dxa"/>
            <w:tcBorders/>
            <w:shd w:fill="FFFFFF" w:val="clear"/>
            <w:vAlign w:val="center"/>
          </w:tcPr>
          <w:p>
            <w:pPr>
              <w:pStyle w:val="TableContents"/>
              <w:bidi w:val="0"/>
              <w:spacing w:before="0" w:after="283"/>
              <w:ind w:left="0" w:right="0" w:firstLine="400"/>
              <w:jc w:val="left"/>
              <w:rPr/>
            </w:pPr>
            <w:r>
              <w:rPr/>
              <w:t> </w:t>
            </w:r>
          </w:p>
        </w:tc>
      </w:tr>
      <w:tr>
        <w:trPr/>
        <w:tc>
          <w:tcPr>
            <w:tcW w:w="61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Precious metals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1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12,094</w:t>
            </w:r>
          </w:p>
        </w:tc>
        <w:tc>
          <w:tcPr>
            <w:tcW w:w="713" w:type="dxa"/>
            <w:tcBorders/>
            <w:shd w:fill="CFF0FC" w:val="clear"/>
            <w:vAlign w:val="center"/>
          </w:tcPr>
          <w:p>
            <w:pPr>
              <w:pStyle w:val="TableContents"/>
              <w:bidi w:val="0"/>
              <w:spacing w:before="0" w:after="283"/>
              <w:ind w:left="0" w:right="0" w:firstLine="400"/>
              <w:jc w:val="left"/>
              <w:rPr/>
            </w:pPr>
            <w:r>
              <w:rPr/>
              <w:t> </w:t>
            </w:r>
          </w:p>
        </w:tc>
      </w:tr>
      <w:tr>
        <w:trPr/>
        <w:tc>
          <w:tcPr>
            <w:tcW w:w="61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w:t>
            </w:r>
          </w:p>
        </w:tc>
        <w:tc>
          <w:tcPr>
            <w:tcW w:w="713" w:type="dxa"/>
            <w:tcBorders/>
            <w:shd w:fill="FFFFFF" w:val="clear"/>
            <w:vAlign w:val="center"/>
          </w:tcPr>
          <w:p>
            <w:pPr>
              <w:pStyle w:val="TableContents"/>
              <w:bidi w:val="0"/>
              <w:spacing w:before="0" w:after="283"/>
              <w:ind w:left="0" w:right="0" w:firstLine="400"/>
              <w:jc w:val="left"/>
              <w:rPr/>
            </w:pPr>
            <w:r>
              <w:rPr/>
              <w:t> </w:t>
            </w:r>
          </w:p>
        </w:tc>
      </w:tr>
      <w:tr>
        <w:trPr/>
        <w:tc>
          <w:tcPr>
            <w:tcW w:w="61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101"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supplies, prepaid items and other</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59,763</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1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436,742</w:t>
            </w:r>
          </w:p>
        </w:tc>
        <w:tc>
          <w:tcPr>
            <w:tcW w:w="713" w:type="dxa"/>
            <w:tcBorders/>
            <w:shd w:fill="CFF0FC" w:val="clear"/>
            <w:vAlign w:val="center"/>
          </w:tcPr>
          <w:p>
            <w:pPr>
              <w:pStyle w:val="TableContents"/>
              <w:bidi w:val="0"/>
              <w:spacing w:before="0" w:after="283"/>
              <w:jc w:val="left"/>
              <w:rPr/>
            </w:pPr>
            <w:r>
              <w:rPr/>
              <w:t> </w:t>
            </w:r>
          </w:p>
        </w:tc>
      </w:tr>
      <w:tr>
        <w:trPr/>
        <w:tc>
          <w:tcPr>
            <w:tcW w:w="6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842,863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835,298</w:t>
            </w:r>
          </w:p>
        </w:tc>
        <w:tc>
          <w:tcPr>
            <w:tcW w:w="713" w:type="dxa"/>
            <w:tcBorders/>
            <w:shd w:fill="FFFFFF" w:val="clear"/>
            <w:vAlign w:val="center"/>
          </w:tcPr>
          <w:p>
            <w:pPr>
              <w:pStyle w:val="TableContents"/>
              <w:bidi w:val="0"/>
              <w:spacing w:before="0" w:after="283"/>
              <w:jc w:val="left"/>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7"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ind w:left="0" w:right="0" w:firstLine="200"/>
              <w:jc w:val="right"/>
              <w:rPr/>
            </w:pPr>
            <w:r>
              <w:rPr/>
              <w:t> </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and other assets, net</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26,144</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1,298,184</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4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47" w:type="dxa"/>
            <w:gridSpan w:val="2"/>
            <w:tcBorders/>
            <w:shd w:fill="FFFFFF" w:val="clear"/>
            <w:vAlign w:val="center"/>
          </w:tcPr>
          <w:p>
            <w:pPr>
              <w:pStyle w:val="TableContents"/>
              <w:bidi w:val="0"/>
              <w:spacing w:before="0" w:after="283"/>
              <w:jc w:val="right"/>
              <w:rPr/>
            </w:pPr>
            <w:r>
              <w:rPr/>
              <w:t> </w:t>
            </w:r>
          </w:p>
        </w:tc>
        <w:tc>
          <w:tcPr>
            <w:tcW w:w="713" w:type="dxa"/>
            <w:tcBorders/>
            <w:shd w:fill="FFFFFF" w:val="clear"/>
            <w:vAlign w:val="center"/>
          </w:tcPr>
          <w:p>
            <w:pPr>
              <w:pStyle w:val="TableContents"/>
              <w:bidi w:val="0"/>
              <w:spacing w:before="0" w:after="283"/>
              <w:jc w:val="right"/>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7"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ind w:left="0" w:right="0" w:firstLine="200"/>
              <w:jc w:val="right"/>
              <w:rPr/>
            </w:pPr>
            <w:r>
              <w:rPr/>
              <w:t> </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68,323</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financing</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1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713" w:type="dxa"/>
            <w:tcBorders/>
            <w:shd w:fill="CFF0FC" w:val="clear"/>
            <w:vAlign w:val="center"/>
          </w:tcPr>
          <w:p>
            <w:pPr>
              <w:pStyle w:val="TableContents"/>
              <w:bidi w:val="0"/>
              <w:spacing w:before="0" w:after="283"/>
              <w:ind w:left="0" w:right="0" w:firstLine="200"/>
              <w:jc w:val="left"/>
              <w:rPr/>
            </w:pPr>
            <w:r>
              <w:rPr/>
              <w:t> </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30,961</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0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118,529</w:t>
            </w:r>
          </w:p>
        </w:tc>
        <w:tc>
          <w:tcPr>
            <w:tcW w:w="713" w:type="dxa"/>
            <w:tcBorders/>
            <w:shd w:fill="FFFFFF" w:val="clear"/>
            <w:vAlign w:val="center"/>
          </w:tcPr>
          <w:p>
            <w:pPr>
              <w:pStyle w:val="TableContents"/>
              <w:bidi w:val="0"/>
              <w:spacing w:before="0" w:after="283"/>
              <w:jc w:val="left"/>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1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575,874</w:t>
            </w:r>
          </w:p>
        </w:tc>
        <w:tc>
          <w:tcPr>
            <w:tcW w:w="713" w:type="dxa"/>
            <w:tcBorders/>
            <w:shd w:fill="CFF0FC" w:val="clear"/>
            <w:vAlign w:val="center"/>
          </w:tcPr>
          <w:p>
            <w:pPr>
              <w:pStyle w:val="TableContents"/>
              <w:bidi w:val="0"/>
              <w:spacing w:before="0" w:after="283"/>
              <w:jc w:val="left"/>
              <w:rPr/>
            </w:pPr>
            <w:r>
              <w:rPr/>
              <w:t> </w:t>
            </w:r>
          </w:p>
        </w:tc>
      </w:tr>
      <w:tr>
        <w:trPr/>
        <w:tc>
          <w:tcPr>
            <w:tcW w:w="6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713" w:type="dxa"/>
            <w:tcBorders/>
            <w:shd w:fill="FFFFFF" w:val="clear"/>
            <w:vAlign w:val="center"/>
          </w:tcPr>
          <w:p>
            <w:pPr>
              <w:pStyle w:val="TableContents"/>
              <w:bidi w:val="0"/>
              <w:spacing w:before="0" w:after="283"/>
              <w:jc w:val="left"/>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accrued and other liabilities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1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713" w:type="dxa"/>
            <w:tcBorders/>
            <w:shd w:fill="CFF0FC" w:val="clear"/>
            <w:vAlign w:val="center"/>
          </w:tcPr>
          <w:p>
            <w:pPr>
              <w:pStyle w:val="TableContents"/>
              <w:bidi w:val="0"/>
              <w:spacing w:before="0" w:after="283"/>
              <w:jc w:val="left"/>
              <w:rPr/>
            </w:pPr>
            <w:r>
              <w:rPr/>
              <w:t> </w:t>
            </w:r>
          </w:p>
        </w:tc>
      </w:tr>
      <w:tr>
        <w:trPr/>
        <w:tc>
          <w:tcPr>
            <w:tcW w:w="6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68,853</w:t>
            </w:r>
          </w:p>
        </w:tc>
        <w:tc>
          <w:tcPr>
            <w:tcW w:w="713" w:type="dxa"/>
            <w:tcBorders/>
            <w:shd w:fill="FFFFFF" w:val="clear"/>
            <w:vAlign w:val="center"/>
          </w:tcPr>
          <w:p>
            <w:pPr>
              <w:pStyle w:val="TableContents"/>
              <w:bidi w:val="0"/>
              <w:spacing w:before="0" w:after="283"/>
              <w:jc w:val="left"/>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7"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jc w:val="right"/>
              <w:rPr/>
            </w:pPr>
            <w:r>
              <w:rPr/>
              <w:t> </w:t>
            </w:r>
          </w:p>
        </w:tc>
      </w:tr>
      <w:tr>
        <w:trPr/>
        <w:tc>
          <w:tcPr>
            <w:tcW w:w="6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4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47" w:type="dxa"/>
            <w:gridSpan w:val="2"/>
            <w:tcBorders/>
            <w:shd w:fill="FFFFFF" w:val="clear"/>
            <w:vAlign w:val="center"/>
          </w:tcPr>
          <w:p>
            <w:pPr>
              <w:pStyle w:val="TableContents"/>
              <w:bidi w:val="0"/>
              <w:spacing w:before="0" w:after="283"/>
              <w:jc w:val="right"/>
              <w:rPr/>
            </w:pPr>
            <w:r>
              <w:rPr/>
              <w:t> </w:t>
            </w:r>
          </w:p>
        </w:tc>
        <w:tc>
          <w:tcPr>
            <w:tcW w:w="713" w:type="dxa"/>
            <w:tcBorders/>
            <w:shd w:fill="FFFFFF" w:val="clear"/>
            <w:vAlign w:val="center"/>
          </w:tcPr>
          <w:p>
            <w:pPr>
              <w:pStyle w:val="TableContents"/>
              <w:bidi w:val="0"/>
              <w:spacing w:before="0" w:after="283"/>
              <w:ind w:left="0" w:right="0" w:firstLine="200"/>
              <w:jc w:val="righ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$.10 par value; 150 million shares authorized, 91.2 </w:t>
              <w:br/>
              <w:t>   million shares issued</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1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w:t>
            </w:r>
          </w:p>
        </w:tc>
        <w:tc>
          <w:tcPr>
            <w:tcW w:w="713" w:type="dxa"/>
            <w:tcBorders/>
            <w:shd w:fill="CFF0FC" w:val="clear"/>
            <w:vAlign w:val="center"/>
          </w:tcPr>
          <w:p>
            <w:pPr>
              <w:pStyle w:val="TableContents"/>
              <w:bidi w:val="0"/>
              <w:spacing w:before="0" w:after="283"/>
              <w:ind w:left="0" w:right="0" w:firstLine="200"/>
              <w:jc w:val="left"/>
              <w:rPr/>
            </w:pPr>
            <w:r>
              <w:rPr/>
              <w:t> </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502,972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501,026</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227,015</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01" w:type="dxa"/>
            <w:tcBorders/>
            <w:shd w:fill="FFFFFF" w:val="clear"/>
            <w:vAlign w:val="center"/>
          </w:tcPr>
          <w:p>
            <w:pPr>
              <w:pStyle w:val="TableContents"/>
              <w:bidi w:val="0"/>
              <w:spacing w:before="0" w:after="283"/>
              <w:ind w:left="300" w:right="0" w:firstLine="3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728,900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737,158</w:t>
            </w:r>
          </w:p>
        </w:tc>
        <w:tc>
          <w:tcPr>
            <w:tcW w:w="713"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treasury stock, at cost:</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7"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ind w:left="0" w:right="0" w:firstLine="300"/>
              <w:jc w:val="right"/>
              <w:rPr/>
            </w:pPr>
            <w:r>
              <w:rPr/>
              <w:t> </w:t>
            </w:r>
          </w:p>
        </w:tc>
      </w:tr>
      <w:tr>
        <w:trPr/>
        <w:tc>
          <w:tcPr>
            <w:tcW w:w="610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Common stock, 19.5 million shares (18.1 million shares at December 31, 2023)</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218,827</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498,961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518,331</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1,298,184</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637" w:type="dxa"/>
        <w:jc w:val="left"/>
        <w:tblInd w:w="0" w:type="dxa"/>
        <w:tblLayout w:type="fixed"/>
        <w:tblCellMar>
          <w:top w:w="28" w:type="dxa"/>
          <w:left w:w="28" w:type="dxa"/>
          <w:bottom w:w="28" w:type="dxa"/>
          <w:right w:w="28" w:type="dxa"/>
        </w:tblCellMar>
      </w:tblPr>
      <w:tblGrid>
        <w:gridCol w:w="4021"/>
        <w:gridCol w:w="146"/>
        <w:gridCol w:w="1251"/>
        <w:gridCol w:w="202"/>
        <w:gridCol w:w="1231"/>
        <w:gridCol w:w="146"/>
        <w:gridCol w:w="1203"/>
        <w:gridCol w:w="194"/>
        <w:gridCol w:w="1243"/>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70" w:type="dxa"/>
            <w:gridSpan w:val="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$109,217</w:t>
            </w:r>
          </w:p>
        </w:tc>
        <w:tc>
          <w:tcPr>
            <w:tcW w:w="202"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$114,287</w:t>
            </w:r>
          </w:p>
        </w:tc>
        <w:tc>
          <w:tcPr>
            <w:tcW w:w="146" w:type="dxa"/>
            <w:tcBorders/>
            <w:shd w:fill="CFF0FC" w:val="clear"/>
            <w:vAlign w:val="center"/>
          </w:tcPr>
          <w:p>
            <w:pPr>
              <w:pStyle w:val="TableContents"/>
              <w:bidi w:val="0"/>
              <w:spacing w:before="0" w:after="283"/>
              <w:jc w:val="right"/>
              <w:rPr/>
            </w:pPr>
            <w:r>
              <w:rPr/>
              <w:t> </w:t>
            </w:r>
          </w:p>
        </w:tc>
        <w:tc>
          <w:tcPr>
            <w:tcW w:w="12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$387,494</w:t>
            </w:r>
          </w:p>
        </w:tc>
        <w:tc>
          <w:tcPr>
            <w:tcW w:w="194" w:type="dxa"/>
            <w:tcBorders/>
            <w:shd w:fill="CFF0FC" w:val="clear"/>
            <w:vAlign w:val="center"/>
          </w:tcPr>
          <w:p>
            <w:pPr>
              <w:pStyle w:val="TableContents"/>
              <w:bidi w:val="0"/>
              <w:spacing w:before="0" w:after="283"/>
              <w:jc w:val="right"/>
              <w:rPr/>
            </w:pPr>
            <w:r>
              <w:rPr/>
              <w:t> </w:t>
            </w:r>
          </w:p>
        </w:tc>
        <w:tc>
          <w:tcPr>
            <w:tcW w:w="12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$461,096</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117,162</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345,746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386,845</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(loss) profit</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w:t>
            </w:r>
          </w:p>
        </w:tc>
        <w:tc>
          <w:tcPr>
            <w:tcW w:w="202"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46" w:type="dxa"/>
            <w:tcBorders/>
            <w:shd w:fill="CFF0FC" w:val="clear"/>
            <w:vAlign w:val="center"/>
          </w:tcPr>
          <w:p>
            <w:pPr>
              <w:pStyle w:val="TableContents"/>
              <w:bidi w:val="0"/>
              <w:spacing w:before="0" w:after="283"/>
              <w:jc w:val="right"/>
              <w:rPr/>
            </w:pPr>
            <w:r>
              <w:rPr/>
              <w:t> </w:t>
            </w:r>
          </w:p>
        </w:tc>
        <w:tc>
          <w:tcPr>
            <w:tcW w:w="12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41,748</w:t>
            </w:r>
          </w:p>
        </w:tc>
        <w:tc>
          <w:tcPr>
            <w:tcW w:w="194" w:type="dxa"/>
            <w:tcBorders/>
            <w:shd w:fill="CFF0FC" w:val="clear"/>
            <w:vAlign w:val="center"/>
          </w:tcPr>
          <w:p>
            <w:pPr>
              <w:pStyle w:val="TableContents"/>
              <w:bidi w:val="0"/>
              <w:spacing w:before="0" w:after="283"/>
              <w:jc w:val="right"/>
              <w:rPr/>
            </w:pPr>
            <w:r>
              <w:rPr/>
              <w:t> </w:t>
            </w:r>
          </w:p>
        </w:tc>
        <w:tc>
          <w:tcPr>
            <w:tcW w:w="12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74,251</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3"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243" w:type="dxa"/>
            <w:tcBorders/>
            <w:shd w:fill="FFFFFF" w:val="clear"/>
            <w:vAlign w:val="center"/>
          </w:tcPr>
          <w:p>
            <w:pPr>
              <w:pStyle w:val="TableContents"/>
              <w:bidi w:val="0"/>
              <w:spacing w:before="0" w:after="283"/>
              <w:jc w:val="righ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10,042</w:t>
            </w:r>
          </w:p>
        </w:tc>
        <w:tc>
          <w:tcPr>
            <w:tcW w:w="202"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8,512</w:t>
            </w:r>
          </w:p>
        </w:tc>
        <w:tc>
          <w:tcPr>
            <w:tcW w:w="146" w:type="dxa"/>
            <w:tcBorders/>
            <w:shd w:fill="CFF0FC" w:val="clear"/>
            <w:vAlign w:val="center"/>
          </w:tcPr>
          <w:p>
            <w:pPr>
              <w:pStyle w:val="TableContents"/>
              <w:bidi w:val="0"/>
              <w:spacing w:before="0" w:after="283"/>
              <w:jc w:val="right"/>
              <w:rPr/>
            </w:pPr>
            <w:r>
              <w:rPr/>
              <w:t> </w:t>
            </w:r>
          </w:p>
        </w:tc>
        <w:tc>
          <w:tcPr>
            <w:tcW w:w="12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31,883</w:t>
            </w:r>
          </w:p>
        </w:tc>
        <w:tc>
          <w:tcPr>
            <w:tcW w:w="194" w:type="dxa"/>
            <w:tcBorders/>
            <w:shd w:fill="CFF0FC" w:val="clear"/>
            <w:vAlign w:val="center"/>
          </w:tcPr>
          <w:p>
            <w:pPr>
              <w:pStyle w:val="TableContents"/>
              <w:bidi w:val="0"/>
              <w:spacing w:before="0" w:after="283"/>
              <w:jc w:val="right"/>
              <w:rPr/>
            </w:pPr>
            <w:r>
              <w:rPr/>
              <w:t> </w:t>
            </w:r>
          </w:p>
        </w:tc>
        <w:tc>
          <w:tcPr>
            <w:tcW w:w="12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27,815</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(24,423)</w:t>
            </w:r>
          </w:p>
        </w:tc>
        <w:tc>
          <w:tcPr>
            <w:tcW w:w="202"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146" w:type="dxa"/>
            <w:tcBorders/>
            <w:shd w:fill="CFF0FC" w:val="clear"/>
            <w:vAlign w:val="center"/>
          </w:tcPr>
          <w:p>
            <w:pPr>
              <w:pStyle w:val="TableContents"/>
              <w:bidi w:val="0"/>
              <w:spacing w:before="0" w:after="283"/>
              <w:jc w:val="right"/>
              <w:rPr/>
            </w:pPr>
            <w:r>
              <w:rPr/>
              <w:t> </w:t>
            </w:r>
          </w:p>
        </w:tc>
        <w:tc>
          <w:tcPr>
            <w:tcW w:w="12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94" w:type="dxa"/>
            <w:tcBorders/>
            <w:shd w:fill="CFF0FC" w:val="clear"/>
            <w:vAlign w:val="center"/>
          </w:tcPr>
          <w:p>
            <w:pPr>
              <w:pStyle w:val="TableContents"/>
              <w:bidi w:val="0"/>
              <w:spacing w:before="0" w:after="283"/>
              <w:jc w:val="right"/>
              <w:rPr/>
            </w:pPr>
            <w:r>
              <w:rPr/>
              <w:t> </w:t>
            </w:r>
          </w:p>
        </w:tc>
        <w:tc>
          <w:tcPr>
            <w:tcW w:w="12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48,532</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3"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243" w:type="dxa"/>
            <w:tcBorders/>
            <w:shd w:fill="FFFFFF" w:val="clear"/>
            <w:vAlign w:val="center"/>
          </w:tcPr>
          <w:p>
            <w:pPr>
              <w:pStyle w:val="TableContents"/>
              <w:bidi w:val="0"/>
              <w:spacing w:before="0" w:after="283"/>
              <w:jc w:val="righ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202"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w:t>
            </w:r>
          </w:p>
        </w:tc>
        <w:tc>
          <w:tcPr>
            <w:tcW w:w="146" w:type="dxa"/>
            <w:tcBorders/>
            <w:shd w:fill="CFF0FC" w:val="clear"/>
            <w:vAlign w:val="center"/>
          </w:tcPr>
          <w:p>
            <w:pPr>
              <w:pStyle w:val="TableContents"/>
              <w:bidi w:val="0"/>
              <w:spacing w:before="0" w:after="283"/>
              <w:jc w:val="right"/>
              <w:rPr/>
            </w:pPr>
            <w:r>
              <w:rPr/>
              <w:t> </w:t>
            </w:r>
          </w:p>
        </w:tc>
        <w:tc>
          <w:tcPr>
            <w:tcW w:w="12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26,229</w:t>
            </w:r>
          </w:p>
        </w:tc>
        <w:tc>
          <w:tcPr>
            <w:tcW w:w="194" w:type="dxa"/>
            <w:tcBorders/>
            <w:shd w:fill="CFF0FC" w:val="clear"/>
            <w:vAlign w:val="center"/>
          </w:tcPr>
          <w:p>
            <w:pPr>
              <w:pStyle w:val="TableContents"/>
              <w:bidi w:val="0"/>
              <w:spacing w:before="0" w:after="283"/>
              <w:jc w:val="right"/>
              <w:rPr/>
            </w:pPr>
            <w:r>
              <w:rPr/>
              <w:t> </w:t>
            </w:r>
          </w:p>
        </w:tc>
        <w:tc>
          <w:tcPr>
            <w:tcW w:w="12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31,213</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2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94" w:type="dxa"/>
            <w:tcBorders/>
            <w:shd w:fill="FFFFFF" w:val="clear"/>
            <w:vAlign w:val="center"/>
          </w:tcPr>
          <w:p>
            <w:pPr>
              <w:pStyle w:val="TableContents"/>
              <w:bidi w:val="0"/>
              <w:spacing w:before="0" w:after="283"/>
              <w:jc w:val="right"/>
              <w:rPr/>
            </w:pPr>
            <w:r>
              <w:rPr/>
              <w:t> </w:t>
            </w:r>
          </w:p>
        </w:tc>
        <w:tc>
          <w:tcPr>
            <w:tcW w:w="12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CFF0FC" w:val="cle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(10,929)</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provision for income taxes</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(29,864)</w:t>
            </w:r>
          </w:p>
        </w:tc>
        <w:tc>
          <w:tcPr>
            <w:tcW w:w="202"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(12,975)</w:t>
            </w:r>
          </w:p>
        </w:tc>
        <w:tc>
          <w:tcPr>
            <w:tcW w:w="146" w:type="dxa"/>
            <w:tcBorders/>
            <w:shd w:fill="FFFFFF" w:val="clear"/>
            <w:vAlign w:val="center"/>
          </w:tcPr>
          <w:p>
            <w:pPr>
              <w:pStyle w:val="TableContents"/>
              <w:bidi w:val="0"/>
              <w:spacing w:before="0" w:after="283"/>
              <w:jc w:val="right"/>
              <w:rPr/>
            </w:pPr>
            <w:r>
              <w:rPr/>
              <w:t> </w:t>
            </w:r>
          </w:p>
        </w:tc>
        <w:tc>
          <w:tcPr>
            <w:tcW w:w="12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w:t>
            </w:r>
          </w:p>
        </w:tc>
        <w:tc>
          <w:tcPr>
            <w:tcW w:w="194" w:type="dxa"/>
            <w:tcBorders/>
            <w:shd w:fill="FFFFFF" w:val="clear"/>
            <w:vAlign w:val="center"/>
          </w:tcPr>
          <w:p>
            <w:pPr>
              <w:pStyle w:val="TableContents"/>
              <w:bidi w:val="0"/>
              <w:spacing w:before="0" w:after="283"/>
              <w:jc w:val="right"/>
              <w:rPr/>
            </w:pPr>
            <w:r>
              <w:rPr/>
              <w:t> </w:t>
            </w:r>
          </w:p>
        </w:tc>
        <w:tc>
          <w:tcPr>
            <w:tcW w:w="12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36,892</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$(25,382)</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w:t>
            </w:r>
          </w:p>
        </w:tc>
      </w:tr>
      <w:tr>
        <w:trPr/>
        <w:tc>
          <w:tcPr>
            <w:tcW w:w="4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3"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243" w:type="dxa"/>
            <w:tcBorders/>
            <w:shd w:fill="CFF0FC" w:val="clear"/>
            <w:vAlign w:val="center"/>
          </w:tcPr>
          <w:p>
            <w:pPr>
              <w:pStyle w:val="TableContents"/>
              <w:bidi w:val="0"/>
              <w:spacing w:before="0" w:after="283"/>
              <w:jc w:val="righ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per common share:</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3"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243" w:type="dxa"/>
            <w:tcBorders/>
            <w:shd w:fill="FFFFFF" w:val="clear"/>
            <w:vAlign w:val="center"/>
          </w:tcPr>
          <w:p>
            <w:pPr>
              <w:pStyle w:val="TableContents"/>
              <w:bidi w:val="0"/>
              <w:spacing w:before="0" w:after="283"/>
              <w:ind w:left="0" w:right="0" w:firstLine="200"/>
              <w:jc w:val="right"/>
              <w:rPr/>
            </w:pPr>
            <w:r>
              <w:rPr/>
              <w:t> </w:t>
            </w:r>
          </w:p>
        </w:tc>
      </w:tr>
      <w:tr>
        <w:trPr/>
        <w:tc>
          <w:tcPr>
            <w:tcW w:w="4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3"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243" w:type="dxa"/>
            <w:tcBorders/>
            <w:shd w:fill="CFF0FC" w:val="clear"/>
            <w:vAlign w:val="center"/>
          </w:tcPr>
          <w:p>
            <w:pPr>
              <w:pStyle w:val="TableContents"/>
              <w:bidi w:val="0"/>
              <w:spacing w:before="0" w:after="283"/>
              <w:ind w:left="0" w:right="0" w:firstLine="400"/>
              <w:jc w:val="right"/>
              <w:rPr/>
            </w:pPr>
            <w:r>
              <w:rPr/>
              <w:t> </w:t>
            </w:r>
          </w:p>
        </w:tc>
      </w:tr>
      <w:tr>
        <w:trPr/>
        <w:tc>
          <w:tcPr>
            <w:tcW w:w="4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r>
      <w:tr>
        <w:trPr/>
        <w:tc>
          <w:tcPr>
            <w:tcW w:w="4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3"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243" w:type="dxa"/>
            <w:tcBorders/>
            <w:shd w:fill="CFF0FC" w:val="clear"/>
            <w:vAlign w:val="center"/>
          </w:tcPr>
          <w:p>
            <w:pPr>
              <w:pStyle w:val="TableContents"/>
              <w:bidi w:val="0"/>
              <w:spacing w:before="0" w:after="283"/>
              <w:ind w:left="0" w:right="0" w:firstLine="200"/>
              <w:jc w:val="right"/>
              <w:rPr/>
            </w:pPr>
            <w:r>
              <w:rPr/>
              <w:t> </w:t>
            </w:r>
          </w:p>
        </w:tc>
      </w:tr>
      <w:tr>
        <w:trPr/>
        <w:tc>
          <w:tcPr>
            <w:tcW w:w="4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3"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243" w:type="dxa"/>
            <w:tcBorders/>
            <w:shd w:fill="FFFFFF" w:val="clear"/>
            <w:vAlign w:val="center"/>
          </w:tcPr>
          <w:p>
            <w:pPr>
              <w:pStyle w:val="TableContents"/>
              <w:bidi w:val="0"/>
              <w:spacing w:before="0" w:after="283"/>
              <w:ind w:left="0" w:right="0" w:firstLine="400"/>
              <w:jc w:val="right"/>
              <w:rPr/>
            </w:pPr>
            <w:r>
              <w:rPr/>
              <w:t> </w:t>
            </w:r>
          </w:p>
        </w:tc>
      </w:tr>
      <w:tr>
        <w:trPr/>
        <w:tc>
          <w:tcPr>
            <w:tcW w:w="4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9"/>
        <w:gridCol w:w="146"/>
        <w:gridCol w:w="149"/>
        <w:gridCol w:w="617"/>
        <w:gridCol w:w="146"/>
        <w:gridCol w:w="146"/>
        <w:gridCol w:w="146"/>
        <w:gridCol w:w="662"/>
        <w:gridCol w:w="166"/>
        <w:gridCol w:w="146"/>
        <w:gridCol w:w="212"/>
        <w:gridCol w:w="554"/>
        <w:gridCol w:w="146"/>
        <w:gridCol w:w="146"/>
        <w:gridCol w:w="196"/>
        <w:gridCol w:w="691"/>
        <w:gridCol w:w="166"/>
        <w:gridCol w:w="146"/>
        <w:gridCol w:w="257"/>
        <w:gridCol w:w="907"/>
        <w:gridCol w:w="166"/>
        <w:gridCol w:w="146"/>
        <w:gridCol w:w="196"/>
        <w:gridCol w:w="751"/>
        <w:gridCol w:w="166"/>
        <w:gridCol w:w="146"/>
        <w:gridCol w:w="196"/>
        <w:gridCol w:w="691"/>
        <w:gridCol w:w="213"/>
      </w:tblGrid>
      <w:tr>
        <w:trPr/>
        <w:tc>
          <w:tcPr>
            <w:tcW w:w="1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 xml:space="preserve">Common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 xml:space="preserve">Stock </w:t>
              <w:br/>
              <w:t xml:space="preserve">Par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Capital in </w:t>
              <w:br/>
              <w:t>Excess of</w:t>
              <w:br/>
              <w:t xml:space="preserve">Par </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57" w:type="dxa"/>
            <w:gridSpan w:val="2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3" w:type="dxa"/>
            <w:tcBorders/>
            <w:shd w:fill="FFFFFF" w:val="clear"/>
            <w:vAlign w:val="center"/>
          </w:tcPr>
          <w:p>
            <w:pPr>
              <w:pStyle w:val="TableContents"/>
              <w:bidi w:val="0"/>
              <w:spacing w:before="0" w:after="283"/>
              <w:jc w:val="center"/>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(218,827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518,331</w:t>
            </w:r>
          </w:p>
        </w:tc>
        <w:tc>
          <w:tcPr>
            <w:tcW w:w="213" w:type="dxa"/>
            <w:tcBorders/>
            <w:shd w:fill="CFF0FC" w:val="cle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8"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213" w:type="dxa"/>
            <w:tcBorders/>
            <w:shd w:fill="CFF0FC" w:val="cle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518,185</w:t>
            </w:r>
          </w:p>
        </w:tc>
        <w:tc>
          <w:tcPr>
            <w:tcW w:w="213" w:type="dxa"/>
            <w:tcBorders/>
            <w:shd w:fill="CFF0FC" w:val="cle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9,555</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213" w:type="dxa"/>
            <w:tcBorders/>
            <w:shd w:fill="CFF0FC" w:val="cle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(6,734</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restricted stock units</w:t>
              <w:br/>
              <w:t>  and ESPP participants</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13" w:type="dxa"/>
            <w:tcBorders/>
            <w:shd w:fill="CFF0FC" w:val="cle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restricted stock</w:t>
              <w:br/>
              <w:t>  units vesting</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522,793</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(25,382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(25,382</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502,972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498,961</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(189,515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515,873</w:t>
            </w:r>
          </w:p>
        </w:tc>
        <w:tc>
          <w:tcPr>
            <w:tcW w:w="213" w:type="dxa"/>
            <w:tcBorders/>
            <w:shd w:fill="CFF0FC" w:val="cle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15,901</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213" w:type="dxa"/>
            <w:tcBorders/>
            <w:shd w:fill="CFF0FC" w:val="cle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2023</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(191,374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529,952</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25,095</w:t>
            </w:r>
          </w:p>
        </w:tc>
        <w:tc>
          <w:tcPr>
            <w:tcW w:w="213" w:type="dxa"/>
            <w:tcBorders/>
            <w:shd w:fill="CFF0FC" w:val="clear"/>
            <w:vAlign w:val="center"/>
          </w:tcPr>
          <w:p>
            <w:pPr>
              <w:pStyle w:val="TableContents"/>
              <w:bidi w:val="0"/>
              <w:spacing w:before="0" w:after="283"/>
              <w:jc w:val="left"/>
              <w:rPr/>
            </w:pPr>
            <w:r>
              <w:rPr/>
              <w:t> </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(17,218</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restricted stock units</w:t>
              <w:br/>
              <w:t>  and ESPP participants</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restricted stock</w:t>
              <w:br/>
              <w:t>  units vesting</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2023</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(207,925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539,797</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(7,726</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restricted stock units</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1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17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restricted stock</w:t>
              <w:br/>
              <w:t>  units vesting</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532,744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6"/>
        <w:gridCol w:w="146"/>
        <w:gridCol w:w="225"/>
        <w:gridCol w:w="899"/>
        <w:gridCol w:w="177"/>
        <w:gridCol w:w="155"/>
        <w:gridCol w:w="225"/>
        <w:gridCol w:w="899"/>
        <w:gridCol w:w="613"/>
      </w:tblGrid>
      <w:tr>
        <w:trPr/>
        <w:tc>
          <w:tcPr>
            <w:tcW w:w="6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3" w:type="dxa"/>
            <w:tcBorders/>
            <w:shd w:fill="FFFFFF" w:val="clear"/>
            <w:vAlign w:val="center"/>
          </w:tcPr>
          <w:p>
            <w:pPr>
              <w:pStyle w:val="TableContents"/>
              <w:bidi w:val="0"/>
              <w:spacing w:before="0" w:after="283"/>
              <w:jc w:val="center"/>
              <w:rPr/>
            </w:pPr>
            <w:r>
              <w:rPr/>
              <w:t> </w:t>
            </w:r>
          </w:p>
        </w:tc>
      </w:tr>
      <w:tr>
        <w:trPr/>
        <w:tc>
          <w:tcPr>
            <w:tcW w:w="6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left"/>
              <w:rPr/>
            </w:pPr>
            <w:r>
              <w:rPr/>
              <w:t> </w:t>
            </w:r>
          </w:p>
        </w:tc>
      </w:tr>
      <w:tr>
        <w:trPr/>
        <w:tc>
          <w:tcPr>
            <w:tcW w:w="6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w:t>
            </w:r>
          </w:p>
        </w:tc>
        <w:tc>
          <w:tcPr>
            <w:tcW w:w="613" w:type="dxa"/>
            <w:tcBorders/>
            <w:shd w:fill="FFFFFF" w:val="clear"/>
            <w:vAlign w:val="center"/>
          </w:tcPr>
          <w:p>
            <w:pPr>
              <w:pStyle w:val="TableContents"/>
              <w:bidi w:val="0"/>
              <w:spacing w:before="0" w:after="283"/>
              <w:jc w:val="left"/>
              <w:rPr/>
            </w:pPr>
            <w:r>
              <w:rPr/>
              <w:t> </w:t>
            </w:r>
          </w:p>
        </w:tc>
      </w:tr>
      <w:tr>
        <w:trPr/>
        <w:tc>
          <w:tcPr>
            <w:tcW w:w="6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 of property, plant and equipment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52,484</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short term investments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 and other assets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impairment on property, plant and equipment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provided (used) by changes in assets and liabilities:</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400"/>
              <w:jc w:val="right"/>
              <w:rPr/>
            </w:pPr>
            <w:r>
              <w:rPr/>
              <w:t> </w:t>
            </w:r>
          </w:p>
        </w:tc>
      </w:tr>
      <w:tr>
        <w:trPr/>
        <w:tc>
          <w:tcPr>
            <w:tcW w:w="68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28,365</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68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8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12,832</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15,566</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68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8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(12,672</w:t>
            </w:r>
          </w:p>
        </w:tc>
        <w:tc>
          <w:tcPr>
            <w:tcW w:w="61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8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61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 and other liabilities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82,600</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120,522</w:t>
            </w:r>
          </w:p>
        </w:tc>
        <w:tc>
          <w:tcPr>
            <w:tcW w:w="613" w:type="dxa"/>
            <w:tcBorders/>
            <w:shd w:fill="CFF0FC" w:val="clear"/>
            <w:vAlign w:val="center"/>
          </w:tcPr>
          <w:p>
            <w:pPr>
              <w:pStyle w:val="TableContents"/>
              <w:bidi w:val="0"/>
              <w:spacing w:before="0" w:after="283"/>
              <w:jc w:val="left"/>
              <w:rPr/>
            </w:pPr>
            <w:r>
              <w:rPr/>
              <w:t> </w:t>
            </w:r>
          </w:p>
        </w:tc>
      </w:tr>
      <w:tr>
        <w:trPr/>
        <w:tc>
          <w:tcPr>
            <w:tcW w:w="68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(64,087</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(41,123</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short-term investments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236,493</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293,347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(190,646</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(230,690</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provided by investing activities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(18,380</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21,506</w:t>
            </w:r>
          </w:p>
        </w:tc>
        <w:tc>
          <w:tcPr>
            <w:tcW w:w="613" w:type="dxa"/>
            <w:tcBorders/>
            <w:shd w:fill="FFFFFF" w:val="clear"/>
            <w:vAlign w:val="center"/>
          </w:tcPr>
          <w:p>
            <w:pPr>
              <w:pStyle w:val="TableContents"/>
              <w:bidi w:val="0"/>
              <w:spacing w:before="0" w:after="283"/>
              <w:jc w:val="left"/>
              <w:rPr/>
            </w:pPr>
            <w:r>
              <w:rPr/>
              <w:t> </w:t>
            </w:r>
          </w:p>
        </w:tc>
      </w:tr>
      <w:tr>
        <w:trPr/>
        <w:tc>
          <w:tcPr>
            <w:tcW w:w="68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left"/>
              <w:rPr/>
            </w:pPr>
            <w:r>
              <w:rPr/>
              <w:t> </w:t>
            </w:r>
          </w:p>
        </w:tc>
      </w:tr>
      <w:tr>
        <w:trPr/>
        <w:tc>
          <w:tcPr>
            <w:tcW w:w="68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Repurchases of 6.25% Senior Secured Notes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(92,216</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(114,320</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other long-term debt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short-term financing</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(11,870</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(16,134</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treasury stock, net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(20,364</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debt-related costs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jc w:val="left"/>
              <w:rPr/>
            </w:pPr>
            <w:r>
              <w:rPr/>
              <w:t> </w:t>
            </w:r>
          </w:p>
        </w:tc>
      </w:tr>
      <w:tr>
        <w:trPr/>
        <w:tc>
          <w:tcPr>
            <w:tcW w:w="6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by financing activities</w:t>
            </w:r>
          </w:p>
        </w:tc>
        <w:tc>
          <w:tcPr>
            <w:tcW w:w="146" w:type="dxa"/>
            <w:tcBorders/>
            <w:shd w:fill="FFFFFF" w:val="cle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(122,969</w:t>
            </w:r>
          </w:p>
        </w:tc>
        <w:tc>
          <w:tcPr>
            <w:tcW w:w="1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(158,973</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(58,749</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(16,945</w:t>
            </w:r>
          </w:p>
        </w:tc>
        <w:tc>
          <w:tcPr>
            <w:tcW w:w="6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46,824</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accompanying unaudited interim financial statements and notes of LSB have been prepared pursuant to the rules and regulations of the Securities and Exchange Commission (“SEC”). Pursuant to such rules and regulations, certain disclosures normally included in financial statements prepared in accordance with U.S. GAAP have been omitted. The accompanying unaudited interim financial statements and notes should be read in conjunction with the financial statements and notes included in the Company’s Form 10-K for the year ended December 31, 2023 (our “2023 Form 10-K”), filed with the SEC on March 6, 2024. The accompanying unaudited interim financial statements in this report reflect all adjustments that are, in the opinion of management, necessary for a fair statement of the Company’s results of operations and cash flows for the three and nine months ended September 30, 2024 and 2023 and the Company’s financial position as of September 30, 2024. </w:t>
      </w:r>
    </w:p>
    <w:p>
      <w:pPr>
        <w:pStyle w:val="TextBody"/>
        <w:bidi w:val="0"/>
        <w:spacing w:before="100" w:after="283"/>
        <w:jc w:val="left"/>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 LSB and its subsidiaries are consolidated in the accompanying condensed consolidated financial statements. LSB is a holding company with no significant operations or assets other than cash, cash equivalents, short-term investments and investments in its subsidiaries. All intercompany accounts and transactions have been eliminated. Certain prior period amounts reported in our condensed consolidated financial statements and notes thereto have been reclassified to conform to current period presentation.</w:t>
      </w:r>
    </w:p>
    <w:p>
      <w:pPr>
        <w:pStyle w:val="TextBody"/>
        <w:bidi w:val="0"/>
        <w:spacing w:before="100" w:after="283"/>
        <w:jc w:val="left"/>
        <w:rPr>
          <w:rFonts w:ascii="Times New Roman" w:hAnsi="Times New Roman"/>
          <w:sz w:val="20"/>
        </w:rPr>
      </w:pPr>
      <w:r>
        <w:rPr>
          <w:rFonts w:ascii="Times New Roman" w:hAnsi="Times New Roman"/>
          <w:b/>
          <w:color w:val="000000"/>
          <w:sz w:val="20"/>
        </w:rPr>
        <w:t>Nature of Business –</w:t>
      </w:r>
      <w:r>
        <w:rPr>
          <w:rFonts w:ascii="Times New Roman" w:hAnsi="Times New Roman"/>
          <w:color w:val="000000"/>
          <w:sz w:val="20"/>
        </w:rPr>
        <w:t xml:space="preserve"> We are engaged in the manufacture and sale of chemical products. The chemical products we primarily manufacture, market and sell are ammonia, fertilizer grade ammonium nitrate (“HDAN”) and UAN for agricultural applications, high purity and commercial grade ammonia, high purity ammonium nitrate, sulfuric acids, concentrated, blended and regular nitric acid, mixed nitrating acids, carbon dioxide, and diesel exhaust fluid for industrial applications, and industrial grade ammonium nitrate (“LDAN”) and ammonium nitrate (“AN”) solutions for mining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 (the “Baytown Facility”).</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Sales to customers include farmers, ranchers, fertilizer dealers and distributors primarily in the ranch land and grain production markets in the United States (“U.S.”); industrial users of acids throughout the U.S. and parts of Canada; and explosive manufacturers in the U.S. and other parts of North America.</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pStyle w:val="TextBody"/>
        <w:bidi w:val="0"/>
        <w:spacing w:before="10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100" w:after="283"/>
        <w:jc w:val="left"/>
        <w:rPr>
          <w:rFonts w:ascii="Times New Roman" w:hAnsi="Times New Roman"/>
          <w:sz w:val="20"/>
        </w:rPr>
      </w:pPr>
      <w:r>
        <w:rPr>
          <w:rFonts w:ascii="Times New Roman" w:hAnsi="Times New Roman"/>
          <w:b/>
          <w:color w:val="000000"/>
          <w:sz w:val="20"/>
        </w:rPr>
        <w:t>Repurchase Program –</w:t>
      </w:r>
      <w:r>
        <w:rPr>
          <w:rFonts w:ascii="Times New Roman" w:hAnsi="Times New Roman"/>
          <w:color w:val="000000"/>
          <w:sz w:val="20"/>
        </w:rPr>
        <w:t xml:space="preserve"> In May 2023, our Board of Directors (our “Board”) authorized a $150 million stock repurchase program. Total repurchase authority remaining under the repurchase program was approximately $109 million as of September 30, 2024. The repurchase program may be suspended, terminated or modified at any time for any reason, including market conditions, the cost of repurchasing securities, the availability of alternative investment opportunities, liquidity, and other factors deemed appropriate. The repurchase program does not obligate us to purchase any particular number or type of securities. We did not repurchase any of our outstanding common stock during the three months ended September 30, 2024. During the nine months ended September 30, 2024, we repurchased approximately 1.5 million shares of common stock at an average cost of $8.13 per share for a total of approximately $12.1 million. </w:t>
      </w:r>
    </w:p>
    <w:p>
      <w:pPr>
        <w:pStyle w:val="TextBody"/>
        <w:bidi w:val="0"/>
        <w:spacing w:before="100" w:after="120"/>
        <w:jc w:val="left"/>
        <w:rPr>
          <w:rFonts w:ascii="Times New Roman" w:hAnsi="Times New Roman"/>
          <w:sz w:val="20"/>
        </w:rPr>
      </w:pPr>
      <w:r>
        <w:rPr>
          <w:rFonts w:ascii="Times New Roman" w:hAnsi="Times New Roman"/>
          <w:b/>
          <w:color w:val="000000"/>
          <w:sz w:val="20"/>
        </w:rPr>
        <w:t>Cash and Cash Equivalents –</w:t>
      </w:r>
      <w:r>
        <w:rPr>
          <w:rFonts w:ascii="Times New Roman" w:hAnsi="Times New Roman"/>
          <w:color w:val="000000"/>
          <w:sz w:val="20"/>
        </w:rPr>
        <w:t xml:space="preserve"> Investments, which consist of highly liquid investments with original maturities of three months or less, are considered cash equivalents.</w:t>
      </w:r>
    </w:p>
    <w:p>
      <w:pPr>
        <w:pStyle w:val="TextBody"/>
        <w:bidi w:val="0"/>
        <w:spacing w:before="100" w:after="283"/>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 xml:space="preserve"> – We classify cash that has been segregated or is otherwise limited in use as restricted. Our restricted cash as of December 31, 2023, related primarily to certain cash collateral held by Wells Fargo under our prior revolving credit facility, terminated in December 2023 and discussed in Note 4 – Long-Term Debt, for letters of credit outstanding as we transitioned these items to our current revolving credit facility (the “Revolving Credit Facility) pursuant to that credit agreement, dated December 21, 2023, between us and the lenders identified on the signature pages thereof and JPMorgan Chase Bank, N.A, as administrative agent. All of our restricted cash is classified as a current asset and is separately presented on the face of our consolidated balance sheet. The following table provides a reconciliation of cash and cash equivalents and restricted cash reported within the consolidated balance sheet to the total of the same such amounts shown in the condensed consolidated statement of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1"/>
        <w:gridCol w:w="361"/>
        <w:gridCol w:w="1158"/>
        <w:gridCol w:w="146"/>
        <w:gridCol w:w="146"/>
        <w:gridCol w:w="314"/>
        <w:gridCol w:w="1165"/>
        <w:gridCol w:w="194"/>
      </w:tblGrid>
      <w:tr>
        <w:trPr/>
        <w:tc>
          <w:tcPr>
            <w:tcW w:w="67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329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4" w:type="dxa"/>
            <w:tcBorders/>
            <w:shd w:fill="FFFFFF" w:val="clear"/>
            <w:vAlign w:val="center"/>
          </w:tcPr>
          <w:p>
            <w:pPr>
              <w:pStyle w:val="TableContents"/>
              <w:bidi w:val="0"/>
              <w:spacing w:before="0" w:after="283"/>
              <w:jc w:val="center"/>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98,500</w:t>
            </w:r>
          </w:p>
        </w:tc>
        <w:tc>
          <w:tcPr>
            <w:tcW w:w="194"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shown in the statement of cash flows</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Short-Term Investments </w:t>
      </w:r>
      <w:r>
        <w:rPr>
          <w:rFonts w:ascii="Times New Roman" w:hAnsi="Times New Roman"/>
          <w:color w:val="000000"/>
          <w:sz w:val="20"/>
        </w:rPr>
        <w:t xml:space="preserve">– Investments, which consist of U.S. treasury bills with an original maturity at the time of purchase between four months to 12 months, are considered short-term investments and are classified as Level 1. These investments are classified as held to maturity. U.S. treasury bills with an original maturity at the time of purchase of three month or less are included in cash and cash equivalents. Due to the nature of these investments as U.S. treasury securities, no impairment is anticipated.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Accounts Receivable </w:t>
      </w:r>
      <w:r>
        <w:rPr>
          <w:rFonts w:ascii="Times New Roman" w:hAnsi="Times New Roman"/>
          <w:color w:val="000000"/>
          <w:sz w:val="20"/>
        </w:rPr>
        <w:t xml:space="preserve">– Our accounts receivable are presented at net realizable value. This value includes an appropriate 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 looking assessment, where applicable.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Impairment of Long </w:t>
      </w:r>
      <w:r>
        <w:rPr>
          <w:rFonts w:ascii="Times New Roman" w:hAnsi="Times New Roman"/>
          <w:color w:val="000000"/>
          <w:sz w:val="20"/>
        </w:rPr>
        <w:t xml:space="preserve">– </w:t>
      </w:r>
      <w:r>
        <w:rPr>
          <w:rFonts w:ascii="Times New Roman" w:hAnsi="Times New Roman"/>
          <w:b/>
          <w:color w:val="000000"/>
          <w:sz w:val="20"/>
        </w:rPr>
        <w:t xml:space="preserve">Lived Assets </w:t>
      </w:r>
      <w:r>
        <w:rPr>
          <w:rFonts w:ascii="Times New Roman" w:hAnsi="Times New Roman"/>
          <w:color w:val="000000"/>
          <w:sz w:val="20"/>
        </w:rPr>
        <w:t>– Long-lived assets are reviewed for impairment whenever events or changes in circumstances indicate that the 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our assets are reviewed for impairment on a facility-by-facility basis (such as the Cherokee Facility, El Dorado Facility or Pryor Facility) unless it is determined that the asset being evaluated will generate cash flows that are independent from the rest of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2024 and 2023, we recorded impairments on assets the Company has or intends to abandon in the amount of $5.4 million and $0.2 million, respectively. For the nine months ended September 30, 2024 and 2023, we recorded asset impairments of $6.8 million and $2.1 million, respectively. These impairment losses are included in Other expense (income), net on our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Short-Term Financing</w:t>
      </w:r>
      <w:r>
        <w:rPr>
          <w:rFonts w:ascii="Times New Roman" w:hAnsi="Times New Roman"/>
          <w:color w:val="000000"/>
          <w:sz w:val="20"/>
        </w:rPr>
        <w:t xml:space="preserve"> – Our short-term financing represents the short-term note related to financing of our insurance premium, which is renewed annually each November.</w:t>
      </w:r>
    </w:p>
    <w:p>
      <w:pPr>
        <w:pStyle w:val="TextBody"/>
        <w:bidi w:val="0"/>
        <w:spacing w:before="12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Certain conditions may exist which may result in a loss, but which will only be resolved when future events occur. We and our legal 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Derivatives, Hedges and Financial Instruments </w:t>
      </w:r>
      <w:r>
        <w:rPr>
          <w:rFonts w:ascii="Times New Roman" w:hAnsi="Times New Roman"/>
          <w:color w:val="000000"/>
          <w:sz w:val="20"/>
        </w:rPr>
        <w:t xml:space="preserve">– Periodically, we entered into certain forward natural gas contracts. Whenever we have such derivative contracts outstanding that are subject to derivative accounting, they are recognized in the balance sheet and measured at fair value. Changes in fair value of derivatives are recorded in results of operations unless the normal purchase or sale exceptions apply, or hedge accounting is elected.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reported as an asset or a liability in the balance sheet. When applicable, we present the fair values of our derivative contracts under master netting agreements using a gross fair value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using the following hierarchy, which is based upon the transparency of inputs to the valuation as of the measurement date: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Valuations of contracts classified as Level 1 are based on quoted prices in active markets for identical contracts. </w:t>
      </w:r>
    </w:p>
    <w:p>
      <w:pPr>
        <w:pStyle w:val="TextBody"/>
        <w:bidi w:val="0"/>
        <w:spacing w:before="8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Valuations of contracts classified as Level 2 are based on quoted prices for similar contracts and valuation inputs other than quoted prices that are observable for these contracts. </w:t>
      </w:r>
    </w:p>
    <w:p>
      <w:pPr>
        <w:pStyle w:val="TextBody"/>
        <w:bidi w:val="0"/>
        <w:spacing w:before="8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Valuations of assets and liabilities classified as Level 3 are based on prices or valuation techniques that require inputs that are both unobservable and significant to the overall fair value measurement.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Leases </w:t>
      </w:r>
      <w:r>
        <w:rPr>
          <w:rFonts w:ascii="Times New Roman" w:hAnsi="Times New Roman"/>
          <w:color w:val="000000"/>
          <w:sz w:val="20"/>
        </w:rPr>
        <w:t>– We determine if an arrangement is a lease at inception or modification of a 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primarily relate to railcars. Other leases under which we are the lessor are not material.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when we have excess freight capacity, we may sublease a portion of our railcars fleet on a short term basis to other parties. The income for these subleases is recorded as a component of "Other (income) expense, net" in our condensed consolidated statement of operations. For the three and nine months ended September 30, 2024, sublease income was $0.1 million and $0.9 million, respectively. For the three and nine months ended September 30, 2023, sublease income was $2.8 million and $4.8 million,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2024, we have executed operating leases for railcars with lease terms greater than one year with aggregate lease payments of approximately $8.1 million which have not yet commenced.</w:t>
      </w:r>
    </w:p>
    <w:p>
      <w:pPr>
        <w:pStyle w:val="TextBody"/>
        <w:bidi w:val="0"/>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2023-07 - </w:t>
      </w:r>
      <w:r>
        <w:rPr>
          <w:rFonts w:ascii="Times New Roman" w:hAnsi="Times New Roman"/>
          <w:color w:val="000000"/>
          <w:sz w:val="20"/>
        </w:rPr>
        <w:t xml:space="preserve">In November 2023, the Financial Accounting Standards Board (“FASB”) issued ASU 2023-07, </w:t>
      </w:r>
      <w:r>
        <w:rPr>
          <w:rFonts w:ascii="Times New Roman" w:hAnsi="Times New Roman"/>
          <w:i/>
          <w:color w:val="000000"/>
          <w:sz w:val="20"/>
        </w:rPr>
        <w:t>Segment Reporting (Topic 280)—Improvements to Reportable Segment Disclosures,</w:t>
      </w:r>
      <w:r>
        <w:rPr>
          <w:rFonts w:ascii="Times New Roman" w:hAnsi="Times New Roman"/>
          <w:color w:val="000000"/>
          <w:sz w:val="20"/>
        </w:rPr>
        <w:t xml:space="preserve"> which improves reportable segment disclosure requirements through enhanced disclosures about significant segment expenses. The amendments include a new requirement to disclose significant segment expenses regularly provided to the chief operating decision maker (“CODM”), extend certain annual disclosures to interim periods, clarify single reportable segment entities must apply Accounting Standard Codification (“ASC”) 280 in its entirety, permit more than one measure of segment profit or loss to be reported under certain conditions and require disclosure of the title and position of the CODM. This update is effective for public entities fiscal years beginning after December 15, 2023, and interim periods within fiscal years beginning after December 15, 2024. Early adoption is permitted. We currently expect the update to result in additional disclosures within our consolidated financial statements and related disclosures but do not expect it to impact our results of operations or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GAAP are established by the FASB in the form of ASUs to the FASB’s Accounting Standards Codification. We considered all ASUs issued and outstanding or that became effective since January 1, 2024 through the date of these financial statements and determined them not to be applicable or materially impact our financial statements other than those ASUs specifically addressed above.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2. Net (Loss) Income per Common Share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652"/>
        <w:gridCol w:w="146"/>
        <w:gridCol w:w="254"/>
        <w:gridCol w:w="888"/>
        <w:gridCol w:w="199"/>
        <w:gridCol w:w="175"/>
        <w:gridCol w:w="254"/>
        <w:gridCol w:w="816"/>
        <w:gridCol w:w="166"/>
        <w:gridCol w:w="146"/>
        <w:gridCol w:w="247"/>
        <w:gridCol w:w="862"/>
        <w:gridCol w:w="194"/>
        <w:gridCol w:w="170"/>
        <w:gridCol w:w="247"/>
        <w:gridCol w:w="792"/>
        <w:gridCol w:w="997"/>
      </w:tblGrid>
      <w:tr>
        <w:trPr/>
        <w:tc>
          <w:tcPr>
            <w:tcW w:w="3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36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0"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997" w:type="dxa"/>
            <w:tcBorders/>
            <w:shd w:fill="FFFFFF" w:val="clear"/>
            <w:vAlign w:val="center"/>
          </w:tcPr>
          <w:p>
            <w:pPr>
              <w:pStyle w:val="TableContents"/>
              <w:bidi w:val="0"/>
              <w:spacing w:before="0" w:after="283"/>
              <w:jc w:val="center"/>
              <w:rPr/>
            </w:pPr>
            <w:r>
              <w:rPr/>
              <w:t> </w:t>
            </w:r>
          </w:p>
        </w:tc>
      </w:tr>
      <w:tr>
        <w:trPr/>
        <w:tc>
          <w:tcPr>
            <w:tcW w:w="36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39" w:type="dxa"/>
            <w:gridSpan w:val="2"/>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left"/>
              <w:rPr/>
            </w:pPr>
            <w:r>
              <w:rPr/>
              <w:t> </w:t>
            </w:r>
          </w:p>
        </w:tc>
      </w:tr>
      <w:tr>
        <w:trPr/>
        <w:tc>
          <w:tcPr>
            <w:tcW w:w="36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Numerator for basic and diluted net </w:t>
              <w:br/>
              <w:t>  (loss) income per common share</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1039" w:type="dxa"/>
            <w:gridSpan w:val="2"/>
            <w:tcBorders/>
            <w:shd w:fill="FFFFFF" w:val="clear"/>
            <w:vAlign w:val="center"/>
          </w:tcPr>
          <w:p>
            <w:pPr>
              <w:pStyle w:val="TableContents"/>
              <w:bidi w:val="0"/>
              <w:spacing w:before="0" w:after="283"/>
              <w:jc w:val="right"/>
              <w:rPr/>
            </w:pPr>
            <w:r>
              <w:rPr/>
              <w:t> </w:t>
            </w:r>
          </w:p>
        </w:tc>
        <w:tc>
          <w:tcPr>
            <w:tcW w:w="997" w:type="dxa"/>
            <w:tcBorders/>
            <w:shd w:fill="FFFFFF" w:val="clear"/>
            <w:vAlign w:val="center"/>
          </w:tcPr>
          <w:p>
            <w:pPr>
              <w:pStyle w:val="TableContents"/>
              <w:bidi w:val="0"/>
              <w:spacing w:before="0" w:after="283"/>
              <w:jc w:val="right"/>
              <w:rPr/>
            </w:pPr>
            <w:r>
              <w:rPr/>
              <w:t> </w:t>
            </w:r>
          </w:p>
        </w:tc>
      </w:tr>
      <w:tr>
        <w:trPr/>
        <w:tc>
          <w:tcPr>
            <w:tcW w:w="36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039" w:type="dxa"/>
            <w:gridSpan w:val="2"/>
            <w:tcBorders/>
            <w:shd w:fill="CFF0FC" w:val="clear"/>
            <w:vAlign w:val="center"/>
          </w:tcPr>
          <w:p>
            <w:pPr>
              <w:pStyle w:val="TableContents"/>
              <w:bidi w:val="0"/>
              <w:spacing w:before="0" w:after="283"/>
              <w:jc w:val="right"/>
              <w:rPr/>
            </w:pPr>
            <w:r>
              <w:rPr/>
              <w:t> </w:t>
            </w:r>
          </w:p>
        </w:tc>
        <w:tc>
          <w:tcPr>
            <w:tcW w:w="997" w:type="dxa"/>
            <w:tcBorders/>
            <w:shd w:fill="CFF0FC" w:val="clear"/>
            <w:vAlign w:val="center"/>
          </w:tcPr>
          <w:p>
            <w:pPr>
              <w:pStyle w:val="TableContents"/>
              <w:bidi w:val="0"/>
              <w:spacing w:before="0" w:after="283"/>
              <w:ind w:left="0" w:right="0" w:firstLine="200"/>
              <w:jc w:val="right"/>
              <w:rPr/>
            </w:pPr>
            <w:r>
              <w:rPr/>
              <w:t> </w:t>
            </w:r>
          </w:p>
        </w:tc>
      </w:tr>
      <w:tr>
        <w:trPr/>
        <w:tc>
          <w:tcPr>
            <w:tcW w:w="36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Denominator for basic net (loss) income per </w:t>
              <w:br/>
              <w:t>   common share - adjusted weighted-average</w:t>
              <w:br/>
              <w:t>   shares (1)</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71,672</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72,070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74,946</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039" w:type="dxa"/>
            <w:gridSpan w:val="2"/>
            <w:tcBorders/>
            <w:shd w:fill="CFF0FC" w:val="clear"/>
            <w:vAlign w:val="center"/>
          </w:tcPr>
          <w:p>
            <w:pPr>
              <w:pStyle w:val="TableContents"/>
              <w:bidi w:val="0"/>
              <w:spacing w:before="0" w:after="283"/>
              <w:jc w:val="right"/>
              <w:rPr/>
            </w:pPr>
            <w:r>
              <w:rPr/>
              <w:t> </w:t>
            </w:r>
          </w:p>
        </w:tc>
        <w:tc>
          <w:tcPr>
            <w:tcW w:w="997" w:type="dxa"/>
            <w:tcBorders/>
            <w:shd w:fill="CFF0FC" w:val="clear"/>
            <w:vAlign w:val="center"/>
          </w:tcPr>
          <w:p>
            <w:pPr>
              <w:pStyle w:val="TableContents"/>
              <w:bidi w:val="0"/>
              <w:spacing w:before="0" w:after="283"/>
              <w:ind w:left="0" w:right="0" w:firstLine="600"/>
              <w:jc w:val="right"/>
              <w:rPr/>
            </w:pPr>
            <w:r>
              <w:rPr/>
              <w:t> </w:t>
            </w:r>
          </w:p>
        </w:tc>
      </w:tr>
      <w:tr>
        <w:trPr/>
        <w:tc>
          <w:tcPr>
            <w:tcW w:w="36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Unvested restricted stock and stock units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652"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Denominator for diluted net (loss) income per </w:t>
              <w:br/>
              <w:t xml:space="preserve">   common share - adjusted weighted-average </w:t>
              <w:br/>
              <w:t>   shares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71,672</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72,070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75,479</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2"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039" w:type="dxa"/>
            <w:gridSpan w:val="2"/>
            <w:tcBorders/>
            <w:shd w:fill="CFF0FC" w:val="clear"/>
            <w:vAlign w:val="center"/>
          </w:tcPr>
          <w:p>
            <w:pPr>
              <w:pStyle w:val="TableContents"/>
              <w:bidi w:val="0"/>
              <w:spacing w:before="0" w:after="283"/>
              <w:jc w:val="right"/>
              <w:rPr/>
            </w:pPr>
            <w:r>
              <w:rPr/>
              <w:t> </w:t>
            </w:r>
          </w:p>
        </w:tc>
        <w:tc>
          <w:tcPr>
            <w:tcW w:w="997" w:type="dxa"/>
            <w:tcBorders/>
            <w:shd w:fill="CFF0FC" w:val="clear"/>
            <w:vAlign w:val="center"/>
          </w:tcPr>
          <w:p>
            <w:pPr>
              <w:pStyle w:val="TableContents"/>
              <w:bidi w:val="0"/>
              <w:spacing w:before="0" w:after="283"/>
              <w:jc w:val="right"/>
              <w:rPr/>
            </w:pPr>
            <w:r>
              <w:rPr/>
              <w:t> </w:t>
            </w:r>
          </w:p>
        </w:tc>
      </w:tr>
      <w:tr>
        <w:trPr/>
        <w:tc>
          <w:tcPr>
            <w:tcW w:w="36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income per common share</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2"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07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039" w:type="dxa"/>
            <w:gridSpan w:val="2"/>
            <w:tcBorders/>
            <w:shd w:fill="CFF0FC" w:val="clear"/>
            <w:vAlign w:val="center"/>
          </w:tcPr>
          <w:p>
            <w:pPr>
              <w:pStyle w:val="TableContents"/>
              <w:bidi w:val="0"/>
              <w:spacing w:before="0" w:after="283"/>
              <w:jc w:val="right"/>
              <w:rPr/>
            </w:pPr>
            <w:r>
              <w:rPr/>
              <w:t> </w:t>
            </w:r>
          </w:p>
        </w:tc>
        <w:tc>
          <w:tcPr>
            <w:tcW w:w="997" w:type="dxa"/>
            <w:tcBorders/>
            <w:shd w:fill="CFF0FC" w:val="clear"/>
            <w:vAlign w:val="center"/>
          </w:tcPr>
          <w:p>
            <w:pPr>
              <w:pStyle w:val="TableContents"/>
              <w:bidi w:val="0"/>
              <w:spacing w:before="0" w:after="283"/>
              <w:jc w:val="right"/>
              <w:rPr/>
            </w:pPr>
            <w:r>
              <w:rPr/>
              <w:t> </w:t>
            </w:r>
          </w:p>
        </w:tc>
      </w:tr>
      <w:tr>
        <w:trPr/>
        <w:tc>
          <w:tcPr>
            <w:tcW w:w="36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income per common share</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All periods exclude the weighted-average shares of unvested restricted stock that are contingently issuable.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weighted-average shares of securities were not included in the computation of diluted net (loss) income per common share as their effect would have been antidilutive:</w:t>
      </w:r>
    </w:p>
    <w:tbl>
      <w:tblPr>
        <w:tblW w:w="8318" w:type="dxa"/>
        <w:jc w:val="left"/>
        <w:tblInd w:w="0" w:type="dxa"/>
        <w:tblLayout w:type="fixed"/>
        <w:tblCellMar>
          <w:top w:w="28" w:type="dxa"/>
          <w:left w:w="28" w:type="dxa"/>
          <w:bottom w:w="28" w:type="dxa"/>
          <w:right w:w="28" w:type="dxa"/>
        </w:tblCellMar>
      </w:tblPr>
      <w:tblGrid>
        <w:gridCol w:w="2701"/>
        <w:gridCol w:w="146"/>
        <w:gridCol w:w="1245"/>
        <w:gridCol w:w="195"/>
        <w:gridCol w:w="1245"/>
        <w:gridCol w:w="146"/>
        <w:gridCol w:w="1292"/>
        <w:gridCol w:w="202"/>
        <w:gridCol w:w="1146"/>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2" w:type="dxa"/>
            <w:tcBorders/>
            <w:shd w:fill="FFFFFF" w:val="cle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146"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stock units</w:t>
            </w:r>
          </w:p>
        </w:tc>
        <w:tc>
          <w:tcPr>
            <w:tcW w:w="146" w:type="dxa"/>
            <w:tcBorders/>
            <w:shd w:fill="CFF0FC" w:val="clear"/>
            <w:vAlign w:val="center"/>
          </w:tcPr>
          <w:p>
            <w:pPr>
              <w:pStyle w:val="TableContents"/>
              <w:bidi w:val="0"/>
              <w:spacing w:before="0" w:after="283"/>
              <w:jc w:val="left"/>
              <w:rPr/>
            </w:pPr>
            <w:r>
              <w:rPr/>
              <w:t> </w:t>
            </w:r>
          </w:p>
        </w:tc>
        <w:tc>
          <w:tcPr>
            <w:tcW w:w="12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1,630,923</w:t>
            </w:r>
          </w:p>
        </w:tc>
        <w:tc>
          <w:tcPr>
            <w:tcW w:w="195" w:type="dxa"/>
            <w:tcBorders/>
            <w:shd w:fill="CFF0FC" w:val="clear"/>
            <w:vAlign w:val="center"/>
          </w:tcPr>
          <w:p>
            <w:pPr>
              <w:pStyle w:val="TableContents"/>
              <w:bidi w:val="0"/>
              <w:spacing w:before="0" w:after="283"/>
              <w:jc w:val="left"/>
              <w:rPr/>
            </w:pPr>
            <w:r>
              <w:rPr/>
              <w:t> </w:t>
            </w:r>
          </w:p>
        </w:tc>
        <w:tc>
          <w:tcPr>
            <w:tcW w:w="12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1,422,181</w:t>
            </w:r>
          </w:p>
        </w:tc>
        <w:tc>
          <w:tcPr>
            <w:tcW w:w="146" w:type="dxa"/>
            <w:tcBorders/>
            <w:shd w:fill="CFF0FC" w:val="clear"/>
            <w:vAlign w:val="center"/>
          </w:tcPr>
          <w:p>
            <w:pPr>
              <w:pStyle w:val="TableContents"/>
              <w:bidi w:val="0"/>
              <w:spacing w:before="0" w:after="283"/>
              <w:jc w:val="righ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1,004,478</w:t>
            </w:r>
          </w:p>
        </w:tc>
        <w:tc>
          <w:tcPr>
            <w:tcW w:w="202" w:type="dxa"/>
            <w:tcBorders/>
            <w:shd w:fill="CFF0FC" w:val="clear"/>
            <w:vAlign w:val="center"/>
          </w:tcPr>
          <w:p>
            <w:pPr>
              <w:pStyle w:val="TableContents"/>
              <w:bidi w:val="0"/>
              <w:spacing w:before="0" w:after="283"/>
              <w:jc w:val="right"/>
              <w:rPr/>
            </w:pPr>
            <w:r>
              <w:rPr/>
              <w:t> </w:t>
            </w:r>
          </w:p>
        </w:tc>
        <w:tc>
          <w:tcPr>
            <w:tcW w:w="11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429,339</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r>
      <w:tr>
        <w:trPr/>
        <w:tc>
          <w:tcPr>
            <w:tcW w:w="27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1,643,923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1,017,478</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442,339</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Accrued and Other Liabilities</w:t>
      </w:r>
    </w:p>
    <w:p>
      <w:pPr>
        <w:pStyle w:val="TextBody"/>
        <w:bidi w:val="0"/>
        <w:jc w:val="both"/>
        <w:rPr/>
      </w:pPr>
      <w:r>
        <w:rPr/>
        <w:t> </w:t>
      </w:r>
    </w:p>
    <w:tbl>
      <w:tblPr>
        <w:tblW w:w="7575" w:type="dxa"/>
        <w:jc w:val="left"/>
        <w:tblInd w:w="0" w:type="dxa"/>
        <w:tblLayout w:type="fixed"/>
        <w:tblCellMar>
          <w:top w:w="28" w:type="dxa"/>
          <w:left w:w="28" w:type="dxa"/>
          <w:bottom w:w="28" w:type="dxa"/>
          <w:right w:w="28" w:type="dxa"/>
        </w:tblCellMar>
      </w:tblPr>
      <w:tblGrid>
        <w:gridCol w:w="3901"/>
        <w:gridCol w:w="146"/>
        <w:gridCol w:w="367"/>
        <w:gridCol w:w="1178"/>
        <w:gridCol w:w="146"/>
        <w:gridCol w:w="146"/>
        <w:gridCol w:w="357"/>
        <w:gridCol w:w="1143"/>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 other than income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31,484</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noncurrent portion</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accrued and other liabilities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long-term debt consists of the following: </w:t>
      </w:r>
    </w:p>
    <w:p>
      <w:pPr>
        <w:pStyle w:val="TextBody"/>
        <w:bidi w:val="0"/>
        <w:jc w:val="both"/>
        <w:rPr/>
      </w:pPr>
      <w:r>
        <w:rPr/>
        <w:t> </w:t>
      </w:r>
    </w:p>
    <w:tbl>
      <w:tblPr>
        <w:tblW w:w="9130" w:type="dxa"/>
        <w:jc w:val="left"/>
        <w:tblInd w:w="0" w:type="dxa"/>
        <w:tblLayout w:type="fixed"/>
        <w:tblCellMar>
          <w:top w:w="28" w:type="dxa"/>
          <w:left w:w="28" w:type="dxa"/>
          <w:bottom w:w="28" w:type="dxa"/>
          <w:right w:w="28" w:type="dxa"/>
        </w:tblCellMar>
      </w:tblPr>
      <w:tblGrid>
        <w:gridCol w:w="5416"/>
        <w:gridCol w:w="146"/>
        <w:gridCol w:w="328"/>
        <w:gridCol w:w="1217"/>
        <w:gridCol w:w="166"/>
        <w:gridCol w:w="146"/>
        <w:gridCol w:w="319"/>
        <w:gridCol w:w="1181"/>
        <w:gridCol w:w="21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5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Notes due 2028, with an interest rate of 6.25% (B)</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211" w:type="dxa"/>
            <w:tcBorders/>
            <w:shd w:fill="FFFFFF" w:val="clear"/>
            <w:vAlign w:val="center"/>
          </w:tcPr>
          <w:p>
            <w:pPr>
              <w:pStyle w:val="TableContents"/>
              <w:bidi w:val="0"/>
              <w:spacing w:before="0" w:after="283"/>
              <w:jc w:val="left"/>
              <w:rPr/>
            </w:pPr>
            <w:r>
              <w:rPr/>
              <w:t> </w:t>
            </w:r>
          </w:p>
        </w:tc>
      </w:tr>
      <w:tr>
        <w:trPr/>
        <w:tc>
          <w:tcPr>
            <w:tcW w:w="5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Financing due 2025, with an interest rate of 8.75% (C)</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211" w:type="dxa"/>
            <w:tcBorders/>
            <w:shd w:fill="CFF0FC"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11" w:type="dxa"/>
            <w:tcBorders/>
            <w:shd w:fill="FFFFFF" w:val="clear"/>
            <w:vAlign w:val="center"/>
          </w:tcPr>
          <w:p>
            <w:pPr>
              <w:pStyle w:val="TableContents"/>
              <w:bidi w:val="0"/>
              <w:spacing w:before="0" w:after="283"/>
              <w:jc w:val="left"/>
              <w:rPr/>
            </w:pPr>
            <w:r>
              <w:rPr/>
              <w:t> </w:t>
            </w:r>
          </w:p>
        </w:tc>
      </w:tr>
      <w:tr>
        <w:trPr/>
        <w:tc>
          <w:tcPr>
            <w:tcW w:w="5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581,721</w:t>
            </w:r>
          </w:p>
        </w:tc>
        <w:tc>
          <w:tcPr>
            <w:tcW w:w="211" w:type="dxa"/>
            <w:tcBorders/>
            <w:shd w:fill="FFFFFF" w:val="clear"/>
            <w:vAlign w:val="center"/>
          </w:tcPr>
          <w:p>
            <w:pPr>
              <w:pStyle w:val="TableContents"/>
              <w:bidi w:val="0"/>
              <w:spacing w:before="0" w:after="283"/>
              <w:jc w:val="left"/>
              <w:rPr/>
            </w:pPr>
            <w:r>
              <w:rPr/>
              <w:t> </w:t>
            </w:r>
          </w:p>
        </w:tc>
      </w:tr>
      <w:tr>
        <w:trPr/>
        <w:tc>
          <w:tcPr>
            <w:tcW w:w="5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due after one year, net</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Debt issuance costs as of September 30, 2024 and December 31, 2023 of approximately $0.8</w:t>
      </w:r>
      <w:r>
        <w:rPr>
          <w:rFonts w:ascii="Times New Roman" w:hAnsi="Times New Roman"/>
          <w:color w:val="000000"/>
          <w:sz w:val="20"/>
        </w:rPr>
        <w:t xml:space="preserve"> </w:t>
      </w:r>
      <w:r>
        <w:rPr>
          <w:rFonts w:ascii="Times New Roman" w:hAnsi="Times New Roman"/>
          <w:color w:val="000000"/>
          <w:sz w:val="16"/>
        </w:rPr>
        <w:t>million and $0.5</w:t>
      </w:r>
      <w:r>
        <w:rPr>
          <w:rFonts w:ascii="Times New Roman" w:hAnsi="Times New Roman"/>
          <w:color w:val="000000"/>
          <w:sz w:val="20"/>
        </w:rPr>
        <w:t xml:space="preserve"> </w:t>
      </w:r>
      <w:r>
        <w:rPr>
          <w:rFonts w:ascii="Times New Roman" w:hAnsi="Times New Roman"/>
          <w:color w:val="000000"/>
          <w:sz w:val="16"/>
        </w:rPr>
        <w:t>million, respectively, relating to our Revolving Credit Facility are not included in Unamortized debt issuance cost. They are included in our condensed consolidated balance sheet in Intangible and other assets, net.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provides for borrowings up to an initial maximum of $75 million, with an option to increase the maximum by an additional $25 million (which amount is uncommitted). Availability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September 30, 2024, our Revolving Credit Facility was undrawn and had approximately $34 million of availability, based on our eligible collateral. The maturity date of the Revolving Credit Facility is on the earlier of (i) the date that is 90 days prior to the earliest stated maturity date of the Senior Secured Notes, which is currently October 15, 2028, (unless refinanced or repaid) and (ii) December 21, 2028. The Revolving Credit Facility contains a financial covenant, which requires that, solely if we elect to remove the $7.5 million availability block, we must maintain a minimum fixed charge coverage ratio of not less than 1.00:1.00. The financial covenant, if triggered, is tested monthly. The financial covenant was not triggered as of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accrues on outstanding borrowings under the Revolving Credit Facility at a rate per annum equal to, at the option of us,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issued at par an aggregate total of $700 million principal value of our Senior Secured Notes due 2028 (“Senior Secured Notes”). The Senior Secured Notes, which mature in October 2028, bear interest at a rate of 6.25% paid in arrears on May 15 and October 15. Please see Note 5 in our 2023 Form 10-K for further discussion of the Senior Secured Notes. From time to time, we have engaged in open market repurchases to extinguish a portion of the outstanding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repurchase any of our Senior Secured Notes during the three months ended September 30, 2024. During the nine months ended September 30, 2024, we repurchased $96.6 million in principal amount of our Senior Secured Notes for approximately $92.2 million which was accounted for as an extinguishment of debt. Including our write-off of the associated remaining portion of unamortized debt issuance costs, we recognized a gain on extinguishment of approximately $3.0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 $30 million secured financing arrangement with an affiliate of Eldridge Industries, L.L.C. (“Eldridge”). Beginning in September 2020, principal and interest is payable in 60 equal monthly installments with a final balloon payment of approximately $5 million due in August 2025. This financing arrangement is secured by an ammonia storage tank and is guaranteed by LSB.</w:t>
      </w:r>
    </w:p>
    <w:p>
      <w:pPr>
        <w:pStyle w:val="TextBody"/>
        <w:bidi w:val="0"/>
        <w:spacing w:before="120" w:after="283"/>
        <w:jc w:val="both"/>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Outstanding Natural Gas Purchase Commitments</w:t>
      </w:r>
      <w:r>
        <w:rPr>
          <w:rFonts w:ascii="Times New Roman" w:hAnsi="Times New Roman"/>
          <w:color w:val="000000"/>
          <w:sz w:val="20"/>
        </w:rPr>
        <w:t xml:space="preserve"> – Certain of our natural gas contracts qualify as normal purchases under GAAP and thus are not financial instruments for which we mark-to-market. At September 30, 2024, these contracts included volume purchase commitments with fixed prices of approximately 0.6 million MMBtus of natural gas that cover a period from October 2024 through December 2024. The weighted-average price of the natural gas covered by these contracts was $2.08 per MMBtu, for a total of $1.2 million. Based on strip prices, the weighted-average market price of the fixed contracts was $2.41 per MMBtu for a total of $1.4 million.</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Legal Matters - </w:t>
      </w:r>
      <w:r>
        <w:rPr>
          <w:rFonts w:ascii="Times New Roman" w:hAnsi="Times New Roman"/>
          <w:color w:val="000000"/>
          <w:sz w:val="20"/>
        </w:rPr>
        <w:t>Following is a summary of certain legal matters involving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claims for damages to persons or property, including natural resources, may result from the environmental, health and safety effects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our accrued liabilities for environmental matters totaled approximately $0.6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Discharge Water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well until a wastewater treatment process is designed, built and operational. The Company continues to work with the ODEQ under 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treated wastewater discharges but have not received any confirmation from the ODEQ on their preliminary acceptance of our treated wastewater stream.</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In August 2023, the Company received a Notice of Violation (“NOV”) for wastewater discharges from our El Dorado Facility. We have been in discussions with the ADEQ about our response to the NOV and the potential for financial penalties associated with the NOV. As of the date of this report, the ADEQ has provided no written indication or details regarding the financial penalty. No liability has been established as of September 30, 2024, in connection with this ADEQ matter.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Other Environmental Matters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received a NOV for ten findings identified from an inspection conducted by the U.S. Environmental Protection Agency (“EPA”) Region IV at our Cherokee Facility in late 2022. We provided written responses to each finding in the inspection report issued in connection with such inspection and to the Notice of Potential Violations and held direct communications with the EPA related to the matter. A meeting was held with the EPA in January 2024 to discuss the NOV and our subsequent responsive actions. During the meeting, the EPA proposed two alternatives for the penalties related to the violations. We accepted one of the proposed alternatives, which included a cash fine and an investment in a community project, for which we accrued an estimate as of December 31, 2023.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Other Pending, Threatened or Settled Litigation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Global Industrial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2015, we and EDA received written notice from Global Industrial, Inc. (“Global”) of Global’s intention to assert mechanic liens for labor, service, or materials furnished under certain subcontract agreements for the improvement of the ammonia plant (“Ammonia Plant”) at our El Dorado Facility. Global was a subcontractor of Leidos Constructors, LLC (“Leidos”), the general contractor for EDA for the construction of the Ammonia Plant. Leidos terminated the services of Global with respect to their work performed at our El Dorado Facility.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LSB and EDA are pursuing the recovery of any damage or loss caused by Global’s work performed through their contract with Leidos at our El Dorado Facility. In March 2016, EDC and LSB were served a summons in a case styled </w:t>
      </w:r>
      <w:r>
        <w:rPr>
          <w:rFonts w:ascii="Times New Roman" w:hAnsi="Times New Roman"/>
          <w:i/>
          <w:color w:val="000000"/>
          <w:sz w:val="20"/>
        </w:rPr>
        <w:t>Global Industrial, Inc. d/b/a Global Turnaround vs. Leidos Constructors,</w:t>
      </w:r>
      <w:r>
        <w:rPr>
          <w:rFonts w:ascii="Times New Roman" w:hAnsi="Times New Roman"/>
          <w:color w:val="000000"/>
          <w:sz w:val="20"/>
        </w:rPr>
        <w:t xml:space="preserve"> </w:t>
      </w:r>
      <w:r>
        <w:rPr>
          <w:rFonts w:ascii="Times New Roman" w:hAnsi="Times New Roman"/>
          <w:i/>
          <w:color w:val="000000"/>
          <w:sz w:val="20"/>
        </w:rPr>
        <w:t xml:space="preserve">LLC et al., </w:t>
      </w:r>
      <w:r>
        <w:rPr>
          <w:rFonts w:ascii="Times New Roman" w:hAnsi="Times New Roman"/>
          <w:color w:val="000000"/>
          <w:sz w:val="20"/>
        </w:rPr>
        <w:t xml:space="preserve">in the Circuit Court of Union County, Arkansas (the “Union County Trial Court”), wherein Global sought damages under breach of contract and other claims. At the time of the summons, our accounts payable included invoices totaling approximately $3.5 million related to work performed by Global that is the subject of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seek damages from Leidos for their wrongdoing during the expansion, including breach of contract, fraud, professional negligence and gross negligence.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2018, the Union County Trial Court bifurcated the case into: (1) Global’s claims against Leidos and LSB and (2) the cross-claims between Leidos and LSB. Part (1) of the case was tried in the Union County Trial Court. In March 2020, the Union County Trial Court rendered a judgment and then an amended final judgment in April 2020. The amended final judgment awarded Global (i) approximately $7.4 million (including the $3.5 million referred to above) for labor, service and materials furnished relating to the Ammonia Plant on the basis of what the Union County Trial Court called a claim for “nonpayment of invoices,” (ii) approximately $1.3 million for prejudgment interest on the same claim, and (iii) a lien on certain property and foreclosure on the lien to satisfy the monetary obligations of the judgement. In addition, post-judgment interest will accrue at the annual rate of 4.25% until the judgment is paid. LSB appealed this judgment and on October 18, 2023, the Arkansas Court of Appeals reversed and remanded. The Arkansas Court of Appeal ruled that the lien was defective and therefore invalid, and that the claim for “nonpayment of invoices” was not a cause of action and reversed and remanded the judgment on that claim. In December 2023, the Arkansas Court of Appeal denied Global’s request for rehearing and the Arkansas Supreme Court declined to hear Global’s appeal. As a result, we do not expect to have any material continuing liability related to this matter and, in 2023, we reversed approximately $9.8 million of payables and accrued liabilities, which related to approximately $2.4 million in pre and post-judgement accrued interest and $7.4 million of gross plant, property and equipment. These adjustments also impacted our results of operations for the twelve months ending December 31, 2023, through the reversals of approximately $2.4 million of interest expense and of approximately $1.8 million in previously recognized depreciation expense (a component of cost of sales) on the related plant,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retains all of its claims against Leidos and intends to vigorously prosecute those claims and vigorously contest the cross-claims in Part (2) of the matter referred to above. We expect the trial to be set for the second half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liability was established as of September 30, 2024, in connection with the cross-claims in Part (2) of the matter, except for certain invoices held in accounts payable. </w:t>
      </w:r>
    </w:p>
    <w:p>
      <w:pPr>
        <w:pStyle w:val="TextBody"/>
        <w:bidi w:val="0"/>
        <w:spacing w:before="120" w:after="283"/>
        <w:jc w:val="left"/>
        <w:rPr>
          <w:rFonts w:ascii="Times New Roman" w:hAnsi="Times New Roman"/>
          <w:sz w:val="20"/>
        </w:rPr>
      </w:pPr>
      <w:r>
        <w:rPr>
          <w:rFonts w:ascii="Times New Roman" w:hAnsi="Times New Roman"/>
          <w:i/>
          <w:color w:val="000000"/>
          <w:sz w:val="20"/>
        </w:rPr>
        <w:t>Section 382 Rights Plan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putative stockholder class action complaint, styled as </w:t>
      </w:r>
      <w:r>
        <w:rPr>
          <w:rFonts w:ascii="Times New Roman" w:hAnsi="Times New Roman"/>
          <w:i/>
          <w:color w:val="000000"/>
          <w:sz w:val="20"/>
        </w:rPr>
        <w:t>Witmer v. Golsen, et al</w:t>
      </w:r>
      <w:r>
        <w:rPr>
          <w:rFonts w:ascii="Times New Roman" w:hAnsi="Times New Roman"/>
          <w:color w:val="000000"/>
          <w:sz w:val="20"/>
        </w:rPr>
        <w:t>., C.A. No. 2024-035-PAF (the “Action”) was filed on April 3, 2024 in the Delaware Court of Chancery (the “Court of Chancery”). The plaintiff claimed, among other things, that the Board breached its fiduciary duty by adopting an Internal Revenue Code (“IRC”) Section 382 stockholder rights plan with antitakeover and entrenching measures designed to protect the Board’s incumbency. Specifically, the plaintiff alleged that the Company’s Section 382 rights plan (the “Amended NOL Rights Agreement”) was not narrowly tailored as it carried a 4.9% trigger and an allegedly overbroad definition of “Beneficial Ownership” that aggregated shares subject to “agreements, arrangements or understandings” between stockholders related to voting or influencing the Company. The plaintiff further alleged that the Board also issued a false and misleading proxy statement when soliciting stockholder approval of the Amended NOL Rights Agreement. The Company disagreed with plaintiff’s allegations, and asserts that terms of the Amended NOL Rights Agreement, including the definition of Beneficial Ownership, is a proportionate response to the threat of the occurrence of an “ownership change” under Section 382 of the IRC and the resulting risk of substantial impairment to its ability to benefit from its net operating loss carryforwards and its other tax attributes.</w:t>
      </w:r>
    </w:p>
    <w:p>
      <w:pPr>
        <w:pStyle w:val="TextBody"/>
        <w:bidi w:val="0"/>
        <w:jc w:val="left"/>
        <w:rPr>
          <w:rFonts w:ascii="Times New Roman" w:hAnsi="Times New Roman"/>
          <w:color w:val="000000"/>
          <w:sz w:val="20"/>
        </w:rPr>
      </w:pPr>
      <w:r>
        <w:rPr>
          <w:rFonts w:ascii="Times New Roman" w:hAnsi="Times New Roman"/>
          <w:color w:val="000000"/>
          <w:sz w:val="20"/>
        </w:rPr>
        <w:t>On May 14, 2024, the parties stipulated to dismissal of the Action after the Company voluntarily made limited technical amendments to the Amended NOL Rights Agreement and amendments to its proxy statement. The Company issued the amended proxy statement on May 3, 2024. The Court of Chancery dismissed the Action and retained jurisdiction solely for the purpose of deciding any application of the plaintiff’s counsel for an award of attorneys’ fees and expenses. On May 31, 2024, plaintiff’s counsel filed their motion for an award of attorneys’ fee and expenses in the amount of $2.4 million. The Company and the defendants in the Action opposed such relief. The parties fully briefed the motion and the Court held argument on October 4, 2024. On October 4, 2024, the Court awarded plaintiff $0.6 million in attorneys’ fees and expenses in the aggregate. As of September 30, 2024, we have accrued the $0.6 million which is included in current accrued and other liabilities in our condensed consolidated balance sheet in connection with this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Financial Instruments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Natural Gas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certain forward natural gas contracts or volume purchase commitments, which are derivatives. We utilize these natural gas contracts as economic hedges for risk management purposes but are not designated as hedging instruments. At September 30, 2024 and December 31, 2023, we had no outstanding natural gas contracts accounted for as derivatives. When present, the valuations of the natural gas contracts are classified as Level 2.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September 30, 2024 and December 31, 2023, we did not have any financial instruments with fair values materially different from their carrying amounts (which excludes issuance costs, if applicable) except for our Senior Secured Notes. Fair value of our Senior Secured Notes is classified as a Level 2 fair value measurement while the treasury securities that comprise our cash equivalents and short-term investments are a Level 1. The fair value of financial instruments is not indicative of the overall fair value of our assets and liabilities since financial instruments do not include all assets, including intangibles and all liabilities.</w:t>
      </w:r>
    </w:p>
    <w:tbl>
      <w:tblPr>
        <w:tblW w:w="6440" w:type="dxa"/>
        <w:jc w:val="left"/>
        <w:tblInd w:w="0" w:type="dxa"/>
        <w:tblLayout w:type="fixed"/>
        <w:tblCellMar>
          <w:top w:w="28" w:type="dxa"/>
          <w:left w:w="28" w:type="dxa"/>
          <w:bottom w:w="28" w:type="dxa"/>
          <w:right w:w="28" w:type="dxa"/>
        </w:tblCellMar>
      </w:tblPr>
      <w:tblGrid>
        <w:gridCol w:w="1861"/>
        <w:gridCol w:w="146"/>
        <w:gridCol w:w="267"/>
        <w:gridCol w:w="514"/>
        <w:gridCol w:w="157"/>
        <w:gridCol w:w="157"/>
        <w:gridCol w:w="303"/>
        <w:gridCol w:w="582"/>
        <w:gridCol w:w="146"/>
        <w:gridCol w:w="146"/>
        <w:gridCol w:w="267"/>
        <w:gridCol w:w="514"/>
        <w:gridCol w:w="152"/>
        <w:gridCol w:w="152"/>
        <w:gridCol w:w="303"/>
        <w:gridCol w:w="582"/>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57" w:type="dxa"/>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52"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4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Senior Secured Notes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9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sz w:val="20"/>
        </w:rPr>
      </w:pPr>
      <w:r>
        <w:rPr>
          <w:rFonts w:ascii="Times New Roman" w:hAnsi="Times New Roman"/>
          <w:color w:val="000000"/>
          <w:sz w:val="18"/>
        </w:rPr>
        <w:t>Based on a quoted price</w:t>
      </w:r>
      <w:r>
        <w:rPr>
          <w:rFonts w:ascii="Times New Roman" w:hAnsi="Times New Roman"/>
          <w:color w:val="000000"/>
          <w:sz w:val="20"/>
        </w:rPr>
        <w:t xml:space="preserve"> </w:t>
      </w:r>
      <w:r>
        <w:rPr>
          <w:rFonts w:ascii="Times New Roman" w:hAnsi="Times New Roman"/>
          <w:color w:val="000000"/>
          <w:sz w:val="18"/>
        </w:rPr>
        <w:t>of 97.0</w:t>
      </w:r>
      <w:r>
        <w:rPr>
          <w:rFonts w:ascii="Times New Roman" w:hAnsi="Times New Roman"/>
          <w:color w:val="000000"/>
          <w:sz w:val="20"/>
        </w:rPr>
        <w:t xml:space="preserve"> </w:t>
      </w:r>
      <w:r>
        <w:rPr>
          <w:rFonts w:ascii="Times New Roman" w:hAnsi="Times New Roman"/>
          <w:color w:val="000000"/>
          <w:sz w:val="18"/>
        </w:rPr>
        <w:t>at September 30, 2024</w:t>
      </w:r>
      <w:r>
        <w:rPr>
          <w:rFonts w:ascii="Times New Roman" w:hAnsi="Times New Roman"/>
          <w:color w:val="000000"/>
          <w:sz w:val="20"/>
        </w:rPr>
        <w:t xml:space="preserve"> </w:t>
      </w:r>
      <w:r>
        <w:rPr>
          <w:rFonts w:ascii="Times New Roman" w:hAnsi="Times New Roman"/>
          <w:color w:val="000000"/>
          <w:sz w:val="18"/>
        </w:rPr>
        <w:t>and 94.5</w:t>
      </w:r>
      <w:r>
        <w:rPr>
          <w:rFonts w:ascii="Times New Roman" w:hAnsi="Times New Roman"/>
          <w:color w:val="000000"/>
          <w:sz w:val="20"/>
        </w:rPr>
        <w:t xml:space="preserve"> </w:t>
      </w:r>
      <w:r>
        <w:rPr>
          <w:rFonts w:ascii="Times New Roman" w:hAnsi="Times New Roman"/>
          <w:color w:val="000000"/>
          <w:sz w:val="18"/>
        </w:rPr>
        <w:t>at December 31, 2023. Also see discussion in Note 4</w:t>
      </w:r>
      <w:r>
        <w:rPr>
          <w:rFonts w:ascii="Times New Roman" w:hAnsi="Times New Roman"/>
          <w:color w:val="000000"/>
          <w:sz w:val="20"/>
        </w:rPr>
        <w:t xml:space="preserve"> </w:t>
      </w:r>
      <w:r>
        <w:rPr>
          <w:rFonts w:ascii="Times New Roman" w:hAnsi="Times New Roman"/>
          <w:color w:val="000000"/>
          <w:sz w:val="18"/>
        </w:rPr>
        <w:t>(B).</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 Income Taxes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(Benefit) provision for income taxes is as follows: </w:t>
      </w:r>
    </w:p>
    <w:tbl>
      <w:tblPr>
        <w:tblW w:w="10205" w:type="dxa"/>
        <w:jc w:val="left"/>
        <w:tblInd w:w="0" w:type="dxa"/>
        <w:tblLayout w:type="fixed"/>
        <w:tblCellMar>
          <w:top w:w="28" w:type="dxa"/>
          <w:left w:w="28" w:type="dxa"/>
          <w:bottom w:w="28" w:type="dxa"/>
          <w:right w:w="28" w:type="dxa"/>
        </w:tblCellMar>
      </w:tblPr>
      <w:tblGrid>
        <w:gridCol w:w="3690"/>
        <w:gridCol w:w="146"/>
        <w:gridCol w:w="282"/>
        <w:gridCol w:w="847"/>
        <w:gridCol w:w="222"/>
        <w:gridCol w:w="195"/>
        <w:gridCol w:w="282"/>
        <w:gridCol w:w="847"/>
        <w:gridCol w:w="166"/>
        <w:gridCol w:w="146"/>
        <w:gridCol w:w="273"/>
        <w:gridCol w:w="818"/>
        <w:gridCol w:w="214"/>
        <w:gridCol w:w="188"/>
        <w:gridCol w:w="273"/>
        <w:gridCol w:w="818"/>
        <w:gridCol w:w="798"/>
      </w:tblGrid>
      <w:tr>
        <w:trPr/>
        <w:tc>
          <w:tcPr>
            <w:tcW w:w="3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6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1"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98" w:type="dxa"/>
            <w:tcBorders/>
            <w:shd w:fill="FFFFFF" w:val="clear"/>
            <w:vAlign w:val="center"/>
          </w:tcPr>
          <w:p>
            <w:pPr>
              <w:pStyle w:val="TableContents"/>
              <w:bidi w:val="0"/>
              <w:spacing w:before="0" w:after="283"/>
              <w:jc w:val="center"/>
              <w:rPr/>
            </w:pPr>
            <w:r>
              <w:rPr/>
              <w:t> </w:t>
            </w:r>
          </w:p>
        </w:tc>
      </w:tr>
      <w:tr>
        <w:trPr/>
        <w:tc>
          <w:tcPr>
            <w:tcW w:w="369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ind w:left="0" w:right="0" w:firstLine="200"/>
              <w:jc w:val="left"/>
              <w:rPr/>
            </w:pPr>
            <w:r>
              <w:rPr/>
              <w:t> </w:t>
            </w:r>
          </w:p>
        </w:tc>
      </w:tr>
      <w:tr>
        <w:trPr/>
        <w:tc>
          <w:tcPr>
            <w:tcW w:w="36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798" w:type="dxa"/>
            <w:tcBorders/>
            <w:shd w:fill="FFFFFF" w:val="clear"/>
            <w:vAlign w:val="center"/>
          </w:tcPr>
          <w:p>
            <w:pPr>
              <w:pStyle w:val="TableContents"/>
              <w:bidi w:val="0"/>
              <w:spacing w:before="0" w:after="283"/>
              <w:ind w:left="0" w:right="0" w:firstLine="200"/>
              <w:jc w:val="left"/>
              <w:rPr/>
            </w:pPr>
            <w:r>
              <w:rPr/>
              <w:t> </w:t>
            </w:r>
          </w:p>
        </w:tc>
      </w:tr>
      <w:tr>
        <w:trPr/>
        <w:tc>
          <w:tcPr>
            <w:tcW w:w="36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jc w:val="right"/>
              <w:rPr/>
            </w:pPr>
            <w:r>
              <w:rPr/>
              <w:t> </w:t>
            </w:r>
          </w:p>
        </w:tc>
      </w:tr>
      <w:tr>
        <w:trPr/>
        <w:tc>
          <w:tcPr>
            <w:tcW w:w="369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ind w:left="0" w:right="0" w:firstLine="200"/>
              <w:jc w:val="right"/>
              <w:rPr/>
            </w:pPr>
            <w:r>
              <w:rPr/>
              <w:t> </w:t>
            </w:r>
          </w:p>
        </w:tc>
      </w:tr>
      <w:tr>
        <w:trPr/>
        <w:tc>
          <w:tcPr>
            <w:tcW w:w="36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w:t>
            </w:r>
          </w:p>
        </w:tc>
        <w:tc>
          <w:tcPr>
            <w:tcW w:w="798" w:type="dxa"/>
            <w:tcBorders/>
            <w:shd w:fill="CFF0FC" w:val="clear"/>
            <w:vAlign w:val="center"/>
          </w:tcPr>
          <w:p>
            <w:pPr>
              <w:pStyle w:val="TableContents"/>
              <w:bidi w:val="0"/>
              <w:spacing w:before="0" w:after="283"/>
              <w:ind w:left="0" w:right="0" w:firstLine="200"/>
              <w:jc w:val="left"/>
              <w:rPr/>
            </w:pPr>
            <w:r>
              <w:rPr/>
              <w:t> </w:t>
            </w:r>
          </w:p>
        </w:tc>
      </w:tr>
      <w:tr>
        <w:trPr/>
        <w:tc>
          <w:tcPr>
            <w:tcW w:w="36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90" w:type="dxa"/>
            <w:tcBorders/>
            <w:shd w:fill="FFFFFF" w:val="cle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20"/>
              </w:rPr>
              <w:t>(Benefit) provision for income taxes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benefit for the nine months ended September 30, 2024, was $2.6 million (20.5% benefit on pre-tax loss). The tax provision for the nine months ended September 30, 2023, was $3.6 million (9.8% provision on pre-tax income). For 2024, the effective tax rate was lower than the statutory tax rate primarily due to change in valuation allowance and nondeductible compensation, partially offset by state tax law changes. For 2023, the effective tax rate is lower than the statutory tax rate primarily due to deferred benefits from state tax law changes, partially offset by state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We estimate an approximately $0.8 million increase in the related valuation allowance associated with these state deferred tax assets will be recorded during the year as part of the estimated annual effective tax rate applied to ordinary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financial statements. Changes in existing tax laws could also affect actual tax results and the realization of deferred tax assets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and certain of its subsidiaries file income tax returns in the U.S. federal jurisdiction and various state jurisdictions. With few exceptions, the 2020-2023 years remain open for all purposes of examination by the U.S. Internal Revenue Service (“IRS”) and other major tax jurisdictions. Additionally, the 2013-2019 years remain subject to examination for determining the amount of net operating loss and other carryforwards.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Net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derive our revenues from the sales of various chemical products. The Company’s net sales disaggregation is consistent with other financial information utilized or provided outside of our condensed consolidated financial statements. With our continued focus on optimizing our commercial strategy and product mix going forward we will report revenue by product as opposed to the end market. Accordingly, this approach is reflected in disaggregated net sales, mirroring how the Company manages its net sales by product through contracts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net sales disaggregated by our principal product types:</w:t>
      </w:r>
    </w:p>
    <w:p>
      <w:pPr>
        <w:pStyle w:val="TextBody"/>
        <w:bidi w:val="0"/>
        <w:jc w:val="both"/>
        <w:rPr/>
      </w:pPr>
      <w:r>
        <w:rPr/>
        <w:t> </w:t>
      </w:r>
    </w:p>
    <w:tbl>
      <w:tblPr>
        <w:tblW w:w="9101" w:type="dxa"/>
        <w:jc w:val="left"/>
        <w:tblInd w:w="0" w:type="dxa"/>
        <w:tblLayout w:type="fixed"/>
        <w:tblCellMar>
          <w:top w:w="28" w:type="dxa"/>
          <w:left w:w="28" w:type="dxa"/>
          <w:bottom w:w="28" w:type="dxa"/>
          <w:right w:w="28" w:type="dxa"/>
        </w:tblCellMar>
      </w:tblPr>
      <w:tblGrid>
        <w:gridCol w:w="2796"/>
        <w:gridCol w:w="146"/>
        <w:gridCol w:w="249"/>
        <w:gridCol w:w="921"/>
        <w:gridCol w:w="172"/>
        <w:gridCol w:w="172"/>
        <w:gridCol w:w="249"/>
        <w:gridCol w:w="921"/>
        <w:gridCol w:w="146"/>
        <w:gridCol w:w="146"/>
        <w:gridCol w:w="240"/>
        <w:gridCol w:w="890"/>
        <w:gridCol w:w="166"/>
        <w:gridCol w:w="166"/>
        <w:gridCol w:w="240"/>
        <w:gridCol w:w="890"/>
        <w:gridCol w:w="5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8"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47,981</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154,858</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173,859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25,303</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109,303</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28,490</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96,468</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109,217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461,096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contracts with a duration greater than one year at contract inception, the average remaining expected duration was approximately 34 months at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associated with contracts with customers (contract liabilities) primarily relate to deferred revenue and customer deposits associated with cash payments received in advance from customers for product shipments. We had approximately $0.7 million and $1.0 million of contract liabilities as of September 30, 2024 and December 31, 2023, respectively. For the three and nine months ended September 30, 2024, revenues of $0.1 million and $0.8 million, respectively, were recognized and included in the balances as of June 30, 2024 and December 31, 2023. For the three and nine months ended September 30, 2023, revenues of $0.3 million and $1.6 million, respectively, were recognized and were previously included in the balances as of June 30, 2023 and December 31, 2022. Our contract assets consist of unconditional rights to payment from our customers, which are reflected as accounts receivable in our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of our contracts with customers, the transaction price from the inception of a contract is constrained to a short period of time (generally one month) as these contracts contain terms with variable consideration related to both price and quantity. At September 30, 2024,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totals approximately $82.3 million, of which approximately 50% of this amount relates to 2024 through 2026, approximately 21% relates to 2027 through 2028, with the remainder thereafter.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2024, we had one outstanding financing arrangement with an affiliate of Eldridge as discussed in footnote (C) of Note 4. An affiliate of Eldridge holds $30 million of the Senior Secured Notes.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 Supplemental Cash Flow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provides additional information relating to cash flow activities: </w:t>
      </w:r>
    </w:p>
    <w:tbl>
      <w:tblPr>
        <w:tblW w:w="9347" w:type="dxa"/>
        <w:jc w:val="left"/>
        <w:tblInd w:w="0" w:type="dxa"/>
        <w:tblLayout w:type="fixed"/>
        <w:tblCellMar>
          <w:top w:w="28" w:type="dxa"/>
          <w:left w:w="28" w:type="dxa"/>
          <w:bottom w:w="28" w:type="dxa"/>
          <w:right w:w="28" w:type="dxa"/>
        </w:tblCellMar>
      </w:tblPr>
      <w:tblGrid>
        <w:gridCol w:w="6216"/>
        <w:gridCol w:w="146"/>
        <w:gridCol w:w="265"/>
        <w:gridCol w:w="849"/>
        <w:gridCol w:w="183"/>
        <w:gridCol w:w="183"/>
        <w:gridCol w:w="265"/>
        <w:gridCol w:w="849"/>
        <w:gridCol w:w="39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6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(refunds) for:</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2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long-term debt and other, net of capitalized interest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21,289</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1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 acquired and not yet paid at end of period</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25,302</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color w:val="000000"/>
              </w:rPr>
            </w:pPr>
            <w:r>
              <w:rPr>
                <w:color w:val="000000"/>
              </w:rPr>
              <w:t>—</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8" w:name="item_2_managements_discussion_analysis_f"/>
      <w:bookmarkEnd w:id="8"/>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should be read in conjunction with a review of the other Items included in this Form 10-Q and our September 30, 2024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is headquartered in Oklahoma City, Oklahoma and we manufacture and sell chemical products for the agricultural, industrial and mining markets. We own and operate three multi-plant facilities in Cherokee, Alabama, El Dorado, Arkansas and Pryor, Oklahoma and operate a facility on behalf of Covestro in Baytown, Texas. Our products are sold through distributors and directly to end customers primarily throughout the U.S. and other parts of North America.</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Key Operating Initiatives for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future results of operations and financial condition to benefit from the following key initiatives: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Investing to improve Environmental, Health &amp; Safety and Reliability at our Facilities while Supplying our Customers with Products of the Highest Quality.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that our operational progress over the past several years represents proof that high safety standards not only enable us to protect what matters, which is the well-being of our employees, but also translates into improved plant performance. In 2023 our Total Recordable Injury Rate was 0.33, a significant improvement from previous years. In 2024, we remain focused on our efforts to further the progress we have made with our safety programs to move closer to attaining zero injuries. We have been investing and plan to continue to invest additional capital at all three of our facilities during 2024 to build upon the success we have had in implementing enhanced safety programs during the last several years.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have multiple initiatives underway focused on continuing to improve the reliability of our plants as we advance towards our ammonia on-stream operating rate target and increase our production volumes of ammonia and other downstream products. Progress towards these targets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Continue Optimization and Increase the Breadth of Distribution of our Product Mix. </w:t>
      </w:r>
      <w:r>
        <w:rPr>
          <w:rFonts w:ascii="Times New Roman" w:hAnsi="Times New Roman"/>
          <w:color w:val="000000"/>
          <w:sz w:val="20"/>
        </w:rPr>
        <w:t>We have initiatives underway to increase the distribution of our products within our industrial end markets, among other product mix 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we are advancing several capital improvement projects with the intention of increasing our sales volumes of higher value downstream products resulting in improvements in our overall profit margins.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Development of Low Carbon Ammonia and Clean Energy Projects.</w:t>
      </w:r>
      <w:r>
        <w:rPr>
          <w:color w:val="000000"/>
        </w:rPr>
        <w:t xml:space="preserve"> </w:t>
      </w:r>
      <w:r>
        <w:rPr>
          <w:rFonts w:ascii="Times New Roman" w:hAnsi="Times New Roman"/>
          <w:color w:val="000000"/>
          <w:sz w:val="20"/>
        </w:rPr>
        <w:t>The reduction of greenhouse gas emissions, particularly related to carbon dioxide, has been and we expect will increasingly become a global environmental priority. Ammonia has continued to emerge as one of the more viable alternatives to serve as a hydrogen-based energy source for a variety of applications due to its higher energy density and ease of storage relative to hydrogen gas. Low-carbon ammonia can be used as a coal and natural gas substitute in power generation, a zero-carbon fuel in the maritime sector, and as a carbon free fertilizer. If low-carbon ammonia were to be adopted for these and other energy needs globally, some studies have indicated that future demand could increase from current levels of global annual production of ammonia.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we are currently continuing to evaluate and develop projects that could enable us to become a producer and marketer of low-carbon ammonia and other derivative products. These include a low-carbon ammonia project at our El Dorado facility in collaboration with Lapis Energy and a low-carbon ammonia project on the Houston Ship Channel in conjunction with INPEX Corporation (“INPEX”), Air Liquide Group (“Air Liquide”) and Vopak Exolum Houston LLC (f/k/a Vopak Moda Houston LLC), a joint venture between Royal Vopak and Exolum (“Vopak Exolum”). Low-carbon ammonia is produced using natural gas and conventional processes but includes an additional stage where the carbon dioxide emissions are captured and permanently stored in deep underground rock formations. The resulting low carbon emission product, we believe, can be sold at a premium to power generation, marine, industrial, mining and agricultural customers seeking to reduce their carbon footprint and potentially capitalize on government incentives.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we are well-positioned to capitalize on this opportunity and become a market leader given our potential to retrofit our existing plants, which we believe can reduce our time to market for low-carbon ammonia and also reduce the upfront capital expenditures necessary to enable us to produce this product. Additionally, we are collaborating with other energy-related companies to develop greenfield projects where we expect to mitigate risk through shared investment of capital as well as by negotiating potential offtake agreements from customers for the output of these plants.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Evaluate and Pursue Organic Capacity Expansion. </w:t>
      </w:r>
      <w:r>
        <w:rPr>
          <w:rFonts w:ascii="Times New Roman" w:hAnsi="Times New Roman"/>
          <w:color w:val="000000"/>
          <w:sz w:val="20"/>
        </w:rPr>
        <w:t>We have been evaluating opportunities across all our facilities to increase production capacity through the implementation of several potential debottlenecking projects, particularly at our El Dorado facility. Initial feasibility studies have pointed to potentially attractive returns for some of these projects. However, given the current high-cost environment and limited resources, coupled with our outlook for moderating selling prices, we have elected to put the El Dorado expansion projects on hold for the current year. We plan to reevaluate these projects in 2025 to determine our prospects of moving forward with one or more of them in the future.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recently undertaken several smaller projects that we expect to enhance our profitability beginning in the fourth quarter of 2024. These projects include: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Construction of additional AN solution storage and new AN solution rail loading capability at our El Dorado facility to significantly increase the volume of AN solution sales and increase product optionality at the site;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Construction of 5,000 tons of additional nitric acid storage at our El Dorado facility to help us optimize our product sales mix;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Expansion of our urea capacity at our Pryor facility, to enable to use a portion of the facility’s ammonia output to upgrade to approximately 75,000 additional tons of UAN per year.</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Evaluate Acquisitions of Strategic Assets or Companies. </w:t>
      </w:r>
      <w:r>
        <w:rPr>
          <w:rFonts w:ascii="Times New Roman" w:hAnsi="Times New Roman"/>
          <w:color w:val="000000"/>
          <w:sz w:val="20"/>
        </w:rPr>
        <w:t xml:space="preserve">We may evaluate opportunities to acquire strategic assets or companies where we believe those acquisitions will enhance the value of the Company and provide attractive returns. We may consider assets and companies that can provide us with geographic expansion, extend an existing product line, add one or more new product lines, leverage our existing ammonia production capabilities, or complement our existing business lines, among other accretive opportunities.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Recent Business Developments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Advanced Low-Carbon Ammonia Initiatives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May 2024, we announced an agreement to supply up to 150,000 short tons per year of low carbon ammonium nitrate solution (“ANS”) to Freeport Minerals Corporation (“Freeport”). LSB will supply the ANS from its El Dorado, Arkansas facility for 5 years commencing January 1, 2025, with a phasing in of the low carbon contracted volume. Freeport intends to use the low carbon ANS purchased from LSB for its United States copper mining operations.</w:t>
      </w:r>
    </w:p>
    <w:p>
      <w:pPr>
        <w:pStyle w:val="TextBody"/>
        <w:bidi w:val="0"/>
        <w:jc w:val="left"/>
        <w:rPr>
          <w:rFonts w:ascii="Times New Roman" w:hAnsi="Times New Roman"/>
          <w:color w:val="000000"/>
          <w:sz w:val="20"/>
        </w:rPr>
      </w:pPr>
      <w:r>
        <w:rPr>
          <w:rFonts w:ascii="Times New Roman" w:hAnsi="Times New Roman"/>
          <w:color w:val="000000"/>
          <w:sz w:val="20"/>
        </w:rPr>
        <w:t>In October 2023, we announced a collaboration with INPEX, Air Liquide and Vopak Exolum to conduct a pre-FEED for the development of a large-scale, low-carbon ammonia production and export project on the Houston Ship Channel. If the development proceeds, the project’s first phase is targeted to produce more than 1.1 million metric tons per year of low-carbon ammonia by early 2029, with options for future production expansions.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parties completed a feasibility study on the project during the first quarter of 2023 and the proposed facility’s location on the Houston Ship Channel, the second largest petrochemical corridor in the world, leverages existing infrastructure assets. Vopak Exolum has invested in storage and handling infrastructure for bulk liquid products and currently operates an ammonia terminal that includes storage tanks and a newbuild dock with multiple deep-water berths. The project also has access to utilities and would be near multiple pipelines that could supply raw materials like natural gas and water.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project partners will bring complementary expertise to the production, operation, storage and export for the advancement of low-carbon ammonia production in the US: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20"/>
        </w:rPr>
        <w:t>Air Liquide, a world leader in industrial gas production, and INPEX, Japan’s largest energy exploration and production company, would collaborate on low-carbon hydrogen production. Air Liquide would supply its Autothermal Reforming (“ATR”) technology, an ideal solution for large-scale hydrogen production projects, combined with its proprietary carbon capture technology. The combination of ATR technology with carbon capture aims to capture at least 95% of direct CO</w:t>
      </w:r>
      <w:r>
        <w:rPr>
          <w:rFonts w:ascii="Times New Roman" w:hAnsi="Times New Roman"/>
          <w:color w:val="000000"/>
          <w:sz w:val="13"/>
        </w:rPr>
        <w:t xml:space="preserve">2 </w:t>
      </w:r>
      <w:r>
        <w:rPr>
          <w:rFonts w:ascii="Times New Roman" w:hAnsi="Times New Roman"/>
          <w:color w:val="000000"/>
          <w:sz w:val="20"/>
        </w:rPr>
        <w:t>emissions from hydrogen production with approximately 1.6 million metric tons per year of CO</w:t>
      </w:r>
      <w:r>
        <w:rPr>
          <w:rFonts w:ascii="Times New Roman" w:hAnsi="Times New Roman"/>
          <w:color w:val="000000"/>
          <w:sz w:val="13"/>
        </w:rPr>
        <w:t>2</w:t>
      </w:r>
      <w:r>
        <w:rPr>
          <w:color w:val="000000"/>
        </w:rPr>
        <w:t xml:space="preserve"> </w:t>
      </w:r>
      <w:r>
        <w:rPr>
          <w:rFonts w:ascii="Times New Roman" w:hAnsi="Times New Roman"/>
          <w:color w:val="000000"/>
          <w:sz w:val="20"/>
        </w:rPr>
        <w:t xml:space="preserve">captured and permanently sequestered from this project. Air Liquide would also be responsible for onsite nitrogen and oxygen production, using its proprietary Air Separation Unit technology.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INPEX and LSB would collaborate on low-carbon ammonia production. LSB led the selection of KBR Inc. as the ammonia loop technology provider, and will lead the pre-FEED, engineering, procurement and construction of the facility. LSB would also be responsible for the day-to-day operation of the ammonia loop.</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INPEX and LSB would sell the low-carbon ammonia and finalize off-take agreements with the numerous parties that have expressed interest and could also further partner in the project. The ammonia from this facility is intended to be used as a clean fuel for power generation, a hydrogen carrier, an industrial chemical feedstock, and as a marine fuel in a variety of domestic and international markets. INPEX, with stakes in both hydrogen and ammonia production, will likely be the largest investor in the overall project across the entire value chain, from production to export.</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Vopak Exolum currently operates ammonia storage and handling infrastructure from its Very Large Gas Carriers-capable deepwater berth located in the deepest part of the Houston Ship Channel. Vopak Exolum will maintain its ownership of the existing infrastructure and plans to build additional storage capacity as required to handle the low-carbon ammonia production from the proposed new facility.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2023, we entered into a non-binding memorandum of understanding (the "MOU") with Amogy Inc. (“Amogy”) aimed at developing the adoption of low-carbon ammonia as a marine fuel, initially for the U.S. inland waterways transportation sector. Through joint efforts, we and Amogy will focus on advancing the understanding, utilization, and advocacy of low-carbon ammonia as a sustainable fuel. Pursuant to the MOU, the companies will collaborate on the evaluation and development of a pilot program that integrates our low-carbon ammonia and Amogy’s ammonia-to-power solution. Upon successful completion of the evaluation and pilot program, the companies expect to further collaborate at a larger-scale, including exploration of opportunities for development of an end-to-end supply chain of low-carbon ammonia and deployment of Amogy technology across multiple applications, including maritime vessels. The evaluation and pilot program includes potential engagement with other parties across the ammonia value chain. We will also collaborate on various advocacy, education, and outreach efforts regarding the use of ammonia as a fuel.</w:t>
      </w:r>
    </w:p>
    <w:p>
      <w:pPr>
        <w:pStyle w:val="TextBody"/>
        <w:bidi w:val="0"/>
        <w:jc w:val="left"/>
        <w:rPr>
          <w:rFonts w:ascii="Times New Roman" w:hAnsi="Times New Roman"/>
          <w:sz w:val="20"/>
        </w:rPr>
      </w:pPr>
      <w:r>
        <w:rPr>
          <w:rFonts w:ascii="Times New Roman" w:hAnsi="Times New Roman"/>
          <w:color w:val="000000"/>
          <w:sz w:val="20"/>
        </w:rPr>
        <w:t>In April 2022, we entered into an agreement with Lapis Energy to develop a project to capture and sequester CO</w:t>
      </w:r>
      <w:r>
        <w:rPr>
          <w:rFonts w:ascii="Times New Roman" w:hAnsi="Times New Roman"/>
          <w:color w:val="000000"/>
          <w:sz w:val="13"/>
        </w:rPr>
        <w:t xml:space="preserve">2 </w:t>
      </w:r>
      <w:r>
        <w:rPr>
          <w:rFonts w:ascii="Times New Roman" w:hAnsi="Times New Roman"/>
          <w:color w:val="000000"/>
          <w:sz w:val="20"/>
        </w:rPr>
        <w:t>at our El Dorado, Arkansas facility. Lapis, backed by Cresta Fund Management, a Dallas-based middle-market infrastructure investment firm, will invest the majority of the capital required for project development. The project is expected to be completed and operational in 2026, subject to the approval of a Class VI permit, at which time CO</w:t>
      </w:r>
      <w:r>
        <w:rPr>
          <w:rFonts w:ascii="Times New Roman" w:hAnsi="Times New Roman"/>
          <w:color w:val="000000"/>
          <w:sz w:val="13"/>
        </w:rPr>
        <w:t xml:space="preserve">2 </w:t>
      </w:r>
      <w:r>
        <w:rPr>
          <w:rFonts w:ascii="Times New Roman" w:hAnsi="Times New Roman"/>
          <w:color w:val="000000"/>
          <w:sz w:val="20"/>
        </w:rPr>
        <w:t>injections are expected to begin. Once operational, the project at the El Dorado site will initially capture and sequester approximately 400,000 to 500,000 metric tons of CO</w:t>
      </w:r>
      <w:r>
        <w:rPr>
          <w:rFonts w:ascii="Times New Roman" w:hAnsi="Times New Roman"/>
          <w:color w:val="000000"/>
          <w:sz w:val="13"/>
        </w:rPr>
        <w:t xml:space="preserve">2 </w:t>
      </w:r>
      <w:r>
        <w:rPr>
          <w:rFonts w:ascii="Times New Roman" w:hAnsi="Times New Roman"/>
          <w:color w:val="000000"/>
          <w:sz w:val="20"/>
        </w:rPr>
        <w:t>per year in underground saline aquifers. The sequestered CO</w:t>
      </w:r>
      <w:r>
        <w:rPr>
          <w:rFonts w:ascii="Times New Roman" w:hAnsi="Times New Roman"/>
          <w:color w:val="000000"/>
          <w:sz w:val="13"/>
        </w:rPr>
        <w:t xml:space="preserve">2 </w:t>
      </w:r>
      <w:r>
        <w:rPr>
          <w:rFonts w:ascii="Times New Roman" w:hAnsi="Times New Roman"/>
          <w:color w:val="000000"/>
          <w:sz w:val="20"/>
        </w:rPr>
        <w:t>generated from the facility’s ammonia production is expected to qualify for federal tax credits under Internal Revenue Code Section 45Q, which are $85 per metric ton of CO</w:t>
      </w:r>
      <w:r>
        <w:rPr>
          <w:rFonts w:ascii="Times New Roman" w:hAnsi="Times New Roman"/>
          <w:color w:val="000000"/>
          <w:sz w:val="13"/>
        </w:rPr>
        <w:t xml:space="preserve">2 </w:t>
      </w:r>
      <w:r>
        <w:rPr>
          <w:rFonts w:ascii="Times New Roman" w:hAnsi="Times New Roman"/>
          <w:color w:val="000000"/>
          <w:sz w:val="20"/>
        </w:rPr>
        <w:t>captured and sequestered. Lapis, as the majority owner of the carbon capture and sequestration equipment, will earn the 45Q tax credits and will pay us a fee for each ton of CO</w:t>
      </w:r>
      <w:r>
        <w:rPr>
          <w:rFonts w:ascii="Times New Roman" w:hAnsi="Times New Roman"/>
          <w:color w:val="000000"/>
          <w:sz w:val="13"/>
        </w:rPr>
        <w:t xml:space="preserve">2 </w:t>
      </w:r>
      <w:r>
        <w:rPr>
          <w:rFonts w:ascii="Times New Roman" w:hAnsi="Times New Roman"/>
          <w:color w:val="000000"/>
          <w:sz w:val="20"/>
        </w:rPr>
        <w:t>captured and sequestered beginning in 2026. Once in operation, the sequestered CO</w:t>
      </w:r>
      <w:r>
        <w:rPr>
          <w:rFonts w:ascii="Times New Roman" w:hAnsi="Times New Roman"/>
          <w:color w:val="000000"/>
          <w:sz w:val="13"/>
        </w:rPr>
        <w:t xml:space="preserve">2 </w:t>
      </w:r>
      <w:r>
        <w:rPr>
          <w:rFonts w:ascii="Times New Roman" w:hAnsi="Times New Roman"/>
          <w:color w:val="000000"/>
          <w:sz w:val="20"/>
        </w:rPr>
        <w:t>is expected to reduce LSB’s overall scope 1 GHG emissions by approximately 25% from current levels. In addition, sequestering approximately 400,000 to 500,000 metric tons of CO</w:t>
      </w:r>
      <w:r>
        <w:rPr>
          <w:rFonts w:ascii="Times New Roman" w:hAnsi="Times New Roman"/>
          <w:color w:val="000000"/>
          <w:sz w:val="13"/>
        </w:rPr>
        <w:t xml:space="preserve">2 </w:t>
      </w:r>
      <w:r>
        <w:rPr>
          <w:rFonts w:ascii="Times New Roman" w:hAnsi="Times New Roman"/>
          <w:color w:val="000000"/>
          <w:sz w:val="20"/>
        </w:rPr>
        <w:t>annually is expected to enable LSB to produce approximately 305,000 to 380,000 metric tons of low-carbon ammonia annually, a product that could potentially be sold at higher price levels than conventional ammonia. In February 2023, a key milestone was achieved in the advancement of our low-carbon ammonia project at El Dorado by filing a pre-construction Class VI permit application with the U.S. Environmental Protection Agency (the “EPA”). The EPA recognized the application as complete in March 2023 and is currently in the review process.</w:t>
      </w:r>
    </w:p>
    <w:p>
      <w:pPr>
        <w:pStyle w:val="TextBody"/>
        <w:bidi w:val="0"/>
        <w:spacing w:before="120" w:after="120"/>
        <w:jc w:val="left"/>
        <w:rPr>
          <w:rFonts w:ascii="Times New Roman" w:hAnsi="Times New Roman"/>
          <w:i/>
          <w:color w:val="000000"/>
          <w:sz w:val="20"/>
          <w:u w:val="single"/>
        </w:rPr>
      </w:pPr>
      <w:r>
        <w:rPr>
          <w:rFonts w:ascii="Times New Roman" w:hAnsi="Times New Roman"/>
          <w:i/>
          <w:color w:val="000000"/>
          <w:sz w:val="20"/>
          <w:u w:val="single"/>
        </w:rPr>
        <w:t>Higher Ammonia Prices and Lower Natural Gas Input Costs Partially Offset by Impact of Planned Turnaround of Pryor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quarter results benefited from higher ammonia selling prices and lower natural gas feedstock costs relative to the third quarter of 2023. Sales volumes of our products decreased in the third quarter of 2024 as compared to the same quarter of 2023 due to lower sales volumes of UAN and ammonia as a result of the Turnaround performed at our Pryor facility during the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Ammonia prices have strengthened over the past several months supported by a combination of global factors, including: tight U.S. and West-of-Suez supply-demand dynamics driven by global supply disruptions; geopolitical concerns over conflict in the Middle East leading to higher natural gas feedstock costs for European ammonia producers; extended turnarounds, outages and limited spot availability across the Middle East, North Africa and Trinidad that have reduced global inventories; ongoing disruptions in the Suez Canal limiting ammonia imports into Europe from the Middle East; and the delayed startup of new production capacity in the U.S. Gulf and export terminal in Russia.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ammonia pricing to moderate in the fourth quarter of 2024 and into 2025 for a variety of reasons, including: the anticipated start-up of new production capacity in both the U.S. and internationally; an increase in Russian exports; and continued muted demand for nitrogen products from the global industrial sector, particularly in Asia. Upside to our pricing expectations could be driven by a variety of factors, including: an increase in energy prices; a strengthening Chinese economy driving increased industrial market demand; further delays in new production capacity coming online; gas curtailments in regions exporting ammonia; a lower interest rate environment; and supportive weather dynamics.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industrial products is stable despite persistent global economic challenges. Nitric acid demand has been steady, reflecting the strength of the U.S. economy and robust consumer spending levels. Demand for AN for use in mining applications has been bolstered by positive exposure to copper, gold and iron ore, as well as continued attractive market fundamentals for aggregate production relating to infrastructure construction. While some degree of economic uncertainty persists, we believe that we have a meaningful degree of downside protection in our industrial business given our diverse customer base, the nature of our contracts and our ability to shift our production mix to products where demand and pricing are strongest.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trends in our agricultural markets, corn prices have rebounded from earlier in 2024 reflecting recent revisions by the U.S. Department of Agriculture (“USDA”) for smaller than previously estimated U.S. corn supplies and a modest decline in ending stocks; increases in U.S. corn exports and corn used for ethanol production; and production challenges in international growing regions. While currently above lows from earlier in 2024, corn prices sit below year-ago levels due largely to the impact on corn supply of the multi-year high U.S. corn harvest in 2023. Additionally, the USDA is currently estimating that U.S. farmers planted approximately 90.7 million acres of corn during the Spring 2024 planting season, down from 2023, but at a level that would increase corn supplies.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a more detailed discussion below under “Key Industry Factors.”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Industry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Supply and Demand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Fertilizer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farmer’s perspective, the demand for fertilizer is affected by the aggregate crop planting decisions including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corn prices, as well as soybean, cotton and wheat prices, can affect the number of acres of corn planted in a given year and the number of acres planted will drive the level of nitrogen fertilizer consumption, likely affecting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the World Agricultural Supply and Demand Estimates Report dated October 11, 2024 (“October Report”), farmers planted approximately 90.7 million acres of corn in 2024, down 4.1% compared to the 2023 planting season. In addition, the USDA estimates the U.S. ending stocks for the 2024 Harvest will be approximately 50.8 million metric tons, a 13.6% increase from the 2023 Harvest. The USDA's expected yield for the 2024 Harvest is 183.8, up approximately 3.7% from a year ago.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October 2024 estimates are associated with the corn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17"/>
        <w:gridCol w:w="146"/>
        <w:gridCol w:w="236"/>
        <w:gridCol w:w="1098"/>
        <w:gridCol w:w="146"/>
        <w:gridCol w:w="146"/>
        <w:gridCol w:w="236"/>
        <w:gridCol w:w="1098"/>
        <w:gridCol w:w="146"/>
        <w:gridCol w:w="146"/>
        <w:gridCol w:w="218"/>
        <w:gridCol w:w="698"/>
        <w:gridCol w:w="315"/>
        <w:gridCol w:w="236"/>
        <w:gridCol w:w="1098"/>
        <w:gridCol w:w="146"/>
        <w:gridCol w:w="146"/>
        <w:gridCol w:w="218"/>
        <w:gridCol w:w="698"/>
        <w:gridCol w:w="317"/>
      </w:tblGrid>
      <w:tr>
        <w:trPr/>
        <w:tc>
          <w:tcPr>
            <w:tcW w:w="2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7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15" w:type="dxa"/>
            <w:tcBorders/>
            <w:shd w:fill="FFFFFF" w:val="clear"/>
            <w:vAlign w:val="center"/>
          </w:tcPr>
          <w:p>
            <w:pPr>
              <w:pStyle w:val="TableContents"/>
              <w:bidi w:val="0"/>
              <w:spacing w:before="0" w:after="283"/>
              <w:jc w:val="center"/>
              <w:rPr/>
            </w:pPr>
            <w:r>
              <w:rPr/>
              <w:t> </w:t>
            </w:r>
          </w:p>
        </w:tc>
        <w:tc>
          <w:tcPr>
            <w:tcW w:w="133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center"/>
              <w:rPr/>
            </w:pPr>
            <w:r>
              <w:rPr/>
              <w:t> </w:t>
            </w:r>
          </w:p>
        </w:tc>
      </w:tr>
      <w:tr>
        <w:trPr/>
        <w:tc>
          <w:tcPr>
            <w:tcW w:w="27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5" w:type="dxa"/>
            <w:tcBorders/>
            <w:shd w:fill="FFFFFF" w:val="clear"/>
            <w:vAlign w:val="center"/>
          </w:tcPr>
          <w:p>
            <w:pPr>
              <w:pStyle w:val="TableContents"/>
              <w:bidi w:val="0"/>
              <w:spacing w:before="0" w:after="283"/>
              <w:jc w:val="center"/>
              <w:rPr/>
            </w:pPr>
            <w:r>
              <w:rPr/>
              <w:t> </w:t>
            </w:r>
          </w:p>
        </w:tc>
        <w:tc>
          <w:tcPr>
            <w:tcW w:w="133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7" w:type="dxa"/>
            <w:tcBorders/>
            <w:shd w:fill="FFFFFF" w:val="clear"/>
            <w:vAlign w:val="center"/>
          </w:tcPr>
          <w:p>
            <w:pPr>
              <w:pStyle w:val="TableContents"/>
              <w:bidi w:val="0"/>
              <w:spacing w:before="0" w:after="283"/>
              <w:jc w:val="center"/>
              <w:rPr/>
            </w:pPr>
            <w:r>
              <w:rPr/>
              <w:t> </w:t>
            </w:r>
          </w:p>
        </w:tc>
      </w:tr>
      <w:tr>
        <w:trPr/>
        <w:tc>
          <w:tcPr>
            <w:tcW w:w="27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(3)</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Area Planted </w:t>
            </w:r>
            <w:r>
              <w:rPr>
                <w:rFonts w:ascii="Times New Roman" w:hAnsi="Times New Roman"/>
                <w:i/>
                <w:color w:val="000000"/>
                <w:sz w:val="16"/>
              </w:rPr>
              <w:t>(Million acres)</w:t>
            </w:r>
          </w:p>
        </w:tc>
        <w:tc>
          <w:tcPr>
            <w:tcW w:w="146" w:type="dxa"/>
            <w:tcBorders/>
            <w:shd w:fill="FFFFFF" w:val="clear"/>
            <w:vAlign w:val="center"/>
          </w:tcPr>
          <w:p>
            <w:pPr>
              <w:pStyle w:val="TableContents"/>
              <w:bidi w:val="0"/>
              <w:spacing w:before="0" w:after="283"/>
              <w:jc w:val="both"/>
              <w:rPr/>
            </w:pPr>
            <w:r>
              <w:rPr/>
              <w:t> </w:t>
            </w:r>
          </w:p>
        </w:tc>
        <w:tc>
          <w:tcPr>
            <w:tcW w:w="23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Yield per Acre </w:t>
            </w:r>
            <w:r>
              <w:rPr>
                <w:rFonts w:ascii="Times New Roman" w:hAnsi="Times New Roman"/>
                <w:i/>
                <w:color w:val="000000"/>
                <w:sz w:val="16"/>
              </w:rPr>
              <w:t>(Bushels)</w:t>
            </w:r>
          </w:p>
        </w:tc>
        <w:tc>
          <w:tcPr>
            <w:tcW w:w="146" w:type="dxa"/>
            <w:tcBorders/>
            <w:shd w:fill="CFF0FC" w:val="clear"/>
            <w:vAlign w:val="center"/>
          </w:tcPr>
          <w:p>
            <w:pPr>
              <w:pStyle w:val="TableContents"/>
              <w:bidi w:val="0"/>
              <w:spacing w:before="0" w:after="283"/>
              <w:jc w:val="both"/>
              <w:rPr/>
            </w:pPr>
            <w:r>
              <w:rPr/>
              <w:t> </w:t>
            </w:r>
          </w:p>
        </w:tc>
        <w:tc>
          <w:tcPr>
            <w:tcW w:w="236"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Production </w:t>
            </w:r>
            <w:r>
              <w:rPr>
                <w:rFonts w:ascii="Times New Roman" w:hAnsi="Times New Roman"/>
                <w:i/>
                <w:color w:val="000000"/>
                <w:sz w:val="16"/>
              </w:rPr>
              <w:t>(Million bushels)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Ending Stocks </w:t>
            </w:r>
            <w:r>
              <w:rPr>
                <w:rFonts w:ascii="Times New Roman" w:hAnsi="Times New Roman"/>
                <w:i/>
                <w:color w:val="000000"/>
                <w:sz w:val="16"/>
              </w:rPr>
              <w:t>(Million metric tons)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World Ending Stocks </w:t>
            </w:r>
            <w:r>
              <w:rPr>
                <w:rFonts w:ascii="Times New Roman" w:hAnsi="Times New Roman"/>
                <w:i/>
                <w:color w:val="000000"/>
                <w:sz w:val="16"/>
              </w:rPr>
              <w:t>(Million metric tons)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obtained from the October Report for the 2024/2025 ("2025 Crop"), 2023/2024 (“2024 Crop”) and 2022/2023 (“2023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percentage change between the 2025 Crop amounts compared to the 2024 Crop amounts.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Represents the percentage change between the 2025 Crop amounts compared to the 2023 Crop amounts.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current USDA corn outlook for the U.S. calls for </w:t>
      </w:r>
      <w:r>
        <w:rPr>
          <w:rFonts w:ascii="Times New Roman" w:hAnsi="Times New Roman"/>
          <w:sz w:val="20"/>
        </w:rPr>
        <w:t>smaller supplies, larger exports, and reduced ending stocks</w:t>
      </w:r>
      <w:r>
        <w:rPr>
          <w:rFonts w:ascii="Times New Roman" w:hAnsi="Times New Roman"/>
          <w:color w:val="000000"/>
          <w:sz w:val="20"/>
        </w:rPr>
        <w:t xml:space="preserve">. Corn production is forecast up on increased yield. Yield is increased to 183.8 bushels an acre, harvested area is unchanged and beginning stocks were lowered with total use raised slightly lowering ending stocks. From a demand perspective, corn prices have declined since early 2023 due largely to rising stocks-to-use ratios.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Industrial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industrial products sales volumes are dependent upon general economic conditions, primarily in the housing, automotive and paper industries. Demand for our industrial products is stable despite persistent global economic challenges. Nitric acid demand has been steady, reflecting the strength of the U.S. economy and robust consumer spending levels. Our sales prices generally vary with the market price of ammonia or natural gas, as applicable, in our pricing arrangements with customers.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LDAN and AN solution, which are primarily used as AN fuel oil and specialty emulsions for usage in the quarry and the construction industries, are used for metals mining and to a lesser extent, for coal. Demand for AN for use in mining applications has been bolstered by positive exposure to copper, gold and iron ore, as well as continued attractive market fundamentals for aggregate production relating to infrastructure construction. While some degree of economic uncertainty persists, we believe that we have a meaningful degree of downside protection in our industrial business given our diverse customer base, the nature of our contracts and our ability to shift our production mix to products where demand and pricing are strongest.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Natural Gas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historically have purchased natural gas either on the spot market, through forward purchase contracts, or a combination of both and we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volume of natural gas purchased and the average cost per MMBtu:</w:t>
      </w:r>
    </w:p>
    <w:p>
      <w:pPr>
        <w:pStyle w:val="TextBody"/>
        <w:bidi w:val="0"/>
        <w:jc w:val="left"/>
        <w:rPr/>
      </w:pPr>
      <w:r>
        <w:rPr/>
        <w:t> </w:t>
      </w:r>
    </w:p>
    <w:tbl>
      <w:tblPr>
        <w:tblW w:w="6547" w:type="dxa"/>
        <w:jc w:val="left"/>
        <w:tblInd w:w="0" w:type="dxa"/>
        <w:tblLayout w:type="fixed"/>
        <w:tblCellMar>
          <w:top w:w="28" w:type="dxa"/>
          <w:left w:w="28" w:type="dxa"/>
          <w:bottom w:w="28" w:type="dxa"/>
          <w:right w:w="28" w:type="dxa"/>
        </w:tblCellMar>
      </w:tblPr>
      <w:tblGrid>
        <w:gridCol w:w="3526"/>
        <w:gridCol w:w="146"/>
        <w:gridCol w:w="344"/>
        <w:gridCol w:w="760"/>
        <w:gridCol w:w="238"/>
        <w:gridCol w:w="238"/>
        <w:gridCol w:w="344"/>
        <w:gridCol w:w="760"/>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volumes (MMBtu in millions)</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average cost per MMBtu</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Transportation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are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Operational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Facility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reliable and safe operations at our chemical plants are critical to our financial performance and results of operations. The financial effects of planned downtime at our plants, including Turnarounds, are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lost fixed cost absorption and increased repair and maintenance costs, which are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El Dorado Facility is currently on a three-year ammonia plant Turnaround cycle with the next ammonia plant Turnaround planned in the third quarter of 2025. However, we planned a short plant outage in July 2024 to perform a catalyst change to get back to maximum production rates.</w:t>
      </w:r>
    </w:p>
    <w:p>
      <w:pPr>
        <w:pStyle w:val="TextBody"/>
        <w:bidi w:val="0"/>
        <w:spacing w:before="120" w:after="283"/>
        <w:jc w:val="left"/>
        <w:rPr>
          <w:rFonts w:ascii="Times New Roman" w:hAnsi="Times New Roman"/>
          <w:sz w:val="20"/>
        </w:rPr>
      </w:pPr>
      <w:r>
        <w:rPr>
          <w:rFonts w:ascii="Times New Roman" w:hAnsi="Times New Roman"/>
          <w:color w:val="000000"/>
          <w:sz w:val="20"/>
        </w:rPr>
        <w:t>Our Pryor Facility has completed its scheduled full plant Turnaround which commenced during the third quarter of 2024. Our Cherokee Facility commenced its scheduled ammonia plant Turnaround during the fourth quarter. Following those Turnarounds, they are expected to be on a two-year and three-year ammonia plant Turnaround cycle, respectively</w:t>
      </w:r>
      <w:r>
        <w:rPr>
          <w:rFonts w:ascii="Times New Roman" w:hAnsi="Times New Roman"/>
          <w:b/>
          <w:color w:val="000000"/>
          <w:sz w:val="20"/>
          <w:u w:val="single"/>
        </w:rPr>
        <w:br/>
        <w:br/>
      </w:r>
      <w:r>
        <w:rPr>
          <w:rFonts w:ascii="Times New Roman" w:hAnsi="Times New Roman"/>
          <w:color w:val="000000"/>
          <w:sz w:val="20"/>
          <w:u w:val="single"/>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Ammonia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Ammonia is the basic product used to produce all of our upgraded products. The ammonia production rates of our plants affect the total cost per ton of each product produced and the overall sales of our products. For 2024, we are targeting total ammonia production of approximately 770,000 tons to 790,000 tons.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Forward Sales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90 days.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Results of the Third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net sales for the third quarter of 2024 were $109.2 million compared to $114.3 million for the same period in 2023. Our consolidated operating loss for the third quarter of 2024 was $24.4 million compared to operating loss of $9.5 million for the same period in 2023. The items impacting our operating results are discussed in more detail below and under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Items Affecting Comparability of Results of the Third Quarter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third quarter of 2024, average selling prices for our ammonia increased while other pricing remained flat compared to the third quarter of 2023. As discussed above under “Recent Business Developments,” prices have strengthened over the past several months supported by a combination of global factors, including: tight supply-demand dynamics driven by global supply disruptions; geopolitical concerns over conflict in the Middle East leading to higher natural gas feedstock costs; extended turnarounds, outages and limited spot availability reducing global inventories; ongoing disruptions in the Suez Canal limiting ammonia imports into Europe from the Middle East; and the delayed startup of new production capacity in the U.S. Gulf and export terminal in Russia.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Turnaround Activities (2024 only)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above, we performed major Turnaround activities at our Pryor Facility in the third quarter of 2024. Additionally, we planned and executed a minor planned outage at our El Dorado Facility during July to change the catalyst in the ammonia plant to maximize production rates. When such activities are performed, overall results are negatively impacted. This impact includes lost contribution margin from lost sales, lost fixed cost absorption from lower production, and increased costs associated with repairs and maintenance. In addition, Turnaround related costs may be incurred in periods earlier than the actual outage of the plant for activities such as planning and procurement of materials.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Plant, Property and Equipment Impairments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2024 and 2023, we recorded impairments on assets the Company has or intends to abandon in the amount of $5.4 million and $0.2 million, respectively. For the nine months ended September 30, 2024 and 2023, we recorded asset impairments of $6.8 million and $2.1 million, respectively. These impairment losses are included in Other expense (income), net on our condensed consolidated statements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Results of Operations should be read in conjunction with our condensed consolidated financial statements for the three months ended September 30, 2024 and 2023 and accompanying notes and the discussions under “Overview” and “Liquidity and Capital Resources” included in this MD&amp;A.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Three Months Ended September 30, 2024 Compared to Three Months Ended September 30,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contains certain financial information: </w:t>
      </w:r>
    </w:p>
    <w:tbl>
      <w:tblPr>
        <w:tblW w:w="9999" w:type="dxa"/>
        <w:jc w:val="left"/>
        <w:tblInd w:w="0" w:type="dxa"/>
        <w:tblLayout w:type="fixed"/>
        <w:tblCellMar>
          <w:top w:w="28" w:type="dxa"/>
          <w:left w:w="28" w:type="dxa"/>
          <w:bottom w:w="28" w:type="dxa"/>
          <w:right w:w="28" w:type="dxa"/>
        </w:tblCellMar>
      </w:tblPr>
      <w:tblGrid>
        <w:gridCol w:w="3776"/>
        <w:gridCol w:w="146"/>
        <w:gridCol w:w="230"/>
        <w:gridCol w:w="852"/>
        <w:gridCol w:w="361"/>
        <w:gridCol w:w="159"/>
        <w:gridCol w:w="230"/>
        <w:gridCol w:w="852"/>
        <w:gridCol w:w="331"/>
        <w:gridCol w:w="146"/>
        <w:gridCol w:w="211"/>
        <w:gridCol w:w="736"/>
        <w:gridCol w:w="331"/>
        <w:gridCol w:w="146"/>
        <w:gridCol w:w="235"/>
        <w:gridCol w:w="681"/>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08"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47,981</w:t>
            </w:r>
          </w:p>
        </w:tc>
        <w:tc>
          <w:tcPr>
            <w:tcW w:w="36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46,026</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25,303</w:t>
            </w:r>
          </w:p>
        </w:tc>
        <w:tc>
          <w:tcPr>
            <w:tcW w:w="36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28,490</w:t>
            </w:r>
          </w:p>
        </w:tc>
        <w:tc>
          <w:tcPr>
            <w:tcW w:w="36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109,217</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(loss) profit:</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w:t>
            </w: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25,003</w:t>
            </w:r>
          </w:p>
        </w:tc>
        <w:tc>
          <w:tcPr>
            <w:tcW w:w="36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7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(16,664</w:t>
            </w:r>
          </w:p>
        </w:tc>
        <w:tc>
          <w:tcPr>
            <w:tcW w:w="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(16,284</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576" w:type="dxa"/>
            <w:tcBorders/>
            <w:shd w:fill="CFF0FC" w:val="clear"/>
            <w:vAlign w:val="center"/>
          </w:tcPr>
          <w:p>
            <w:pPr>
              <w:pStyle w:val="TableContents"/>
              <w:bidi w:val="0"/>
              <w:spacing w:before="0" w:after="283"/>
              <w:ind w:left="0" w:right="0" w:firstLine="200"/>
              <w:jc w:val="right"/>
              <w:rPr/>
            </w:pPr>
            <w:r>
              <w:rPr/>
              <w:t> </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(loss)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w:t>
            </w:r>
          </w:p>
        </w:tc>
        <w:tc>
          <w:tcPr>
            <w:tcW w:w="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5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10,042</w:t>
            </w:r>
          </w:p>
        </w:tc>
        <w:tc>
          <w:tcPr>
            <w:tcW w:w="36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8,512</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(24,423</w:t>
            </w:r>
          </w:p>
        </w:tc>
        <w:tc>
          <w:tcPr>
            <w:tcW w:w="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36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(25,382</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jc w:val="righ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Gross loss percentage </w:t>
            </w: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31,040</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7"/>
        </w:rPr>
        <w:t>As a percentage of the total net sales.</w:t>
      </w:r>
      <w:r>
        <w:rPr>
          <w:color w:val="00000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w:t>
      </w:r>
    </w:p>
    <w:tbl>
      <w:tblPr>
        <w:tblW w:w="8802" w:type="dxa"/>
        <w:jc w:val="left"/>
        <w:tblInd w:w="0" w:type="dxa"/>
        <w:tblLayout w:type="fixed"/>
        <w:tblCellMar>
          <w:top w:w="28" w:type="dxa"/>
          <w:left w:w="28" w:type="dxa"/>
          <w:bottom w:w="28" w:type="dxa"/>
          <w:right w:w="28" w:type="dxa"/>
        </w:tblCellMar>
      </w:tblPr>
      <w:tblGrid>
        <w:gridCol w:w="2796"/>
        <w:gridCol w:w="146"/>
        <w:gridCol w:w="182"/>
        <w:gridCol w:w="977"/>
        <w:gridCol w:w="182"/>
        <w:gridCol w:w="182"/>
        <w:gridCol w:w="182"/>
        <w:gridCol w:w="977"/>
        <w:gridCol w:w="146"/>
        <w:gridCol w:w="146"/>
        <w:gridCol w:w="146"/>
        <w:gridCol w:w="736"/>
        <w:gridCol w:w="166"/>
        <w:gridCol w:w="146"/>
        <w:gridCol w:w="256"/>
        <w:gridCol w:w="660"/>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76"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182"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127,139</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182"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95,468</w:t>
            </w:r>
          </w:p>
        </w:tc>
        <w:tc>
          <w:tcPr>
            <w:tcW w:w="1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both"/>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291,104</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8753" w:type="dxa"/>
        <w:jc w:val="left"/>
        <w:tblInd w:w="0" w:type="dxa"/>
        <w:tblLayout w:type="fixed"/>
        <w:tblCellMar>
          <w:top w:w="28" w:type="dxa"/>
          <w:left w:w="28" w:type="dxa"/>
          <w:bottom w:w="28" w:type="dxa"/>
          <w:right w:w="28" w:type="dxa"/>
        </w:tblCellMar>
      </w:tblPr>
      <w:tblGrid>
        <w:gridCol w:w="3166"/>
        <w:gridCol w:w="146"/>
        <w:gridCol w:w="364"/>
        <w:gridCol w:w="726"/>
        <w:gridCol w:w="252"/>
        <w:gridCol w:w="252"/>
        <w:gridCol w:w="364"/>
        <w:gridCol w:w="726"/>
        <w:gridCol w:w="146"/>
        <w:gridCol w:w="146"/>
        <w:gridCol w:w="220"/>
        <w:gridCol w:w="441"/>
        <w:gridCol w:w="166"/>
        <w:gridCol w:w="146"/>
        <w:gridCol w:w="289"/>
        <w:gridCol w:w="627"/>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2684"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left"/>
        <w:rPr/>
      </w:pPr>
      <w:r>
        <w:rPr/>
        <w:t> </w:t>
      </w:r>
    </w:p>
    <w:tbl>
      <w:tblPr>
        <w:tblW w:w="8648" w:type="dxa"/>
        <w:jc w:val="left"/>
        <w:tblInd w:w="0" w:type="dxa"/>
        <w:tblLayout w:type="fixed"/>
        <w:tblCellMar>
          <w:top w:w="28" w:type="dxa"/>
          <w:left w:w="28" w:type="dxa"/>
          <w:bottom w:w="28" w:type="dxa"/>
          <w:right w:w="28" w:type="dxa"/>
        </w:tblCellMar>
      </w:tblPr>
      <w:tblGrid>
        <w:gridCol w:w="3046"/>
        <w:gridCol w:w="146"/>
        <w:gridCol w:w="364"/>
        <w:gridCol w:w="726"/>
        <w:gridCol w:w="252"/>
        <w:gridCol w:w="252"/>
        <w:gridCol w:w="364"/>
        <w:gridCol w:w="726"/>
        <w:gridCol w:w="146"/>
        <w:gridCol w:w="146"/>
        <w:gridCol w:w="220"/>
        <w:gridCol w:w="441"/>
        <w:gridCol w:w="166"/>
        <w:gridCol w:w="146"/>
        <w:gridCol w:w="256"/>
        <w:gridCol w:w="660"/>
        <w:gridCol w:w="5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91"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vAlign w:val="center"/>
          </w:tcPr>
          <w:p>
            <w:pPr>
              <w:pStyle w:val="TableContents"/>
              <w:bidi w:val="0"/>
              <w:spacing w:before="0" w:after="283"/>
              <w:jc w:val="both"/>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vAlign w:val="center"/>
          </w:tcPr>
          <w:p>
            <w:pPr>
              <w:pStyle w:val="TableContents"/>
              <w:bidi w:val="0"/>
              <w:spacing w:before="0" w:after="283"/>
              <w:jc w:val="both"/>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1"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sales decreased during the third quarter of 2024 compared to the prior year period driven by the impact of lower volumes for UAN and ammonia, and to a lesser extent, lower selling prices for acids relative to the third quarter of 2023. Also impacting sales volumes was the planned Turnaround activity completed during the third quarter at our Pryor Facility. Partially offsetting this decrease was improved pricing for ammonia and increased acid sales volumes.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industrial products is stable despite continued global economic challenges. In some cases, our contractual agreements with industrial customers specify minimum volumes and our product mix flexibility helps us mitigate the impact of a reduction in demand from certain end markets by shifting production to products with stronger demand.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in the table above, we recognized a gross loss of $7.9 million for the third quarter of 2024 compared to a gross loss of $3.4 million for the same period in 2023, or a $4.6 million increase. Overall, our gross loss percentage was (7.3)% compared to a gross loss percentage of (3.0)% for the same period in 2023. Our adjusted gross profit percentage increased to 22.9% for the third quarter of 2024 from 12.1% for the third quarter of 2023. Our overall gross loss for the third quarter of 2024 is primarily lower compared to the same period of 2023 due to lower sales prices and overall volume for our products, planned Turnaround expenses and higher depreciation partially offset by lower natural gas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$10.0 million for the third quarter of 2024, an increase of $1.5 million compared to the same period in 2023. The net increase was primarily driven by increases in professional fees and payroll related items partially offset by a reduction in insurance, depreciation and amortization and other miscellaneous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third quarter of 2024 was $8.1 million compared to $7.2 million for the same period in 2023. The increase primarily relates to the reversal of the previous judgment awarded to Global in the litigation discussed in Note 5 during the third quarter of 2023. The increase was partially offset by reduced interest expense during the third quarter of 2024 as a result of the lower outstanding balances on our 6.25% Senior Secured Notes (due to recent repurchases) and on our Secured Financing due 2025 (due to repayments).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(income), net during the third quarter of 2024 and 2023 primarily relates to impairment losses from disposal or abandonment of assets no longer being used in operations offset by short-term rental income from railcar subleases. The losses were higher and rental income was lower in the current quarter compared to the prior year quarter.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Non-operating other income, net for the third quarter of 2024 was $2.7 million compared to $3.7 million for the same period of 2023, primarily related to interest income earned during both periods from our short-term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Benefit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 for income taxes for the third quarter of 2024 was $4.5 million and the benefit for income taxes for the same period of 2023 was $5.2 million. The resulting effective tax rate for the third quarter of 2024 was 15.0% compared to 40.5% for the same period of 2023. For the third quarter of 2024, the effective tax rate is lower than the statutory rate primarily due to change in valuation allowance and nondeductible compensation. For the third quarter of 2023, the effective tax rate is greater than the statutory rate primarily due to the impact of state taxes, valuation allowances, and other discrete items. See discussion in Note 7.</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Nine Months Ended September 30, 2024 Compared to Nine Months Ended September 30, 2023</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contains certain financial information: </w:t>
      </w:r>
    </w:p>
    <w:p>
      <w:pPr>
        <w:pStyle w:val="TextBody"/>
        <w:bidi w:val="0"/>
        <w:jc w:val="both"/>
        <w:rPr/>
      </w:pPr>
      <w:r>
        <w:rPr/>
        <w:t> </w:t>
      </w:r>
    </w:p>
    <w:tbl>
      <w:tblPr>
        <w:tblW w:w="9908" w:type="dxa"/>
        <w:jc w:val="left"/>
        <w:tblInd w:w="0" w:type="dxa"/>
        <w:tblLayout w:type="fixed"/>
        <w:tblCellMar>
          <w:top w:w="28" w:type="dxa"/>
          <w:left w:w="28" w:type="dxa"/>
          <w:bottom w:w="28" w:type="dxa"/>
          <w:right w:w="28" w:type="dxa"/>
        </w:tblCellMar>
      </w:tblPr>
      <w:tblGrid>
        <w:gridCol w:w="3776"/>
        <w:gridCol w:w="146"/>
        <w:gridCol w:w="222"/>
        <w:gridCol w:w="823"/>
        <w:gridCol w:w="349"/>
        <w:gridCol w:w="154"/>
        <w:gridCol w:w="222"/>
        <w:gridCol w:w="823"/>
        <w:gridCol w:w="331"/>
        <w:gridCol w:w="146"/>
        <w:gridCol w:w="211"/>
        <w:gridCol w:w="736"/>
        <w:gridCol w:w="331"/>
        <w:gridCol w:w="146"/>
        <w:gridCol w:w="213"/>
        <w:gridCol w:w="703"/>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17"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349"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154,858</w:t>
            </w:r>
          </w:p>
        </w:tc>
        <w:tc>
          <w:tcPr>
            <w:tcW w:w="349"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173,859</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109,303</w:t>
            </w:r>
          </w:p>
        </w:tc>
        <w:tc>
          <w:tcPr>
            <w:tcW w:w="349"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96,468</w:t>
            </w:r>
          </w:p>
        </w:tc>
        <w:tc>
          <w:tcPr>
            <w:tcW w:w="349"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129,850</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26,865</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387,494</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461,096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349"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right"/>
              <w:rPr/>
            </w:pPr>
            <w:r>
              <w:rPr/>
              <w:t> </w:t>
            </w:r>
          </w:p>
        </w:tc>
        <w:tc>
          <w:tcPr>
            <w:tcW w:w="349"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200"/>
              <w:jc w:val="right"/>
              <w:rPr/>
            </w:pPr>
            <w:r>
              <w:rPr/>
              <w:t> </w:t>
            </w:r>
          </w:p>
        </w:tc>
      </w:tr>
      <w:tr>
        <w:trPr/>
        <w:tc>
          <w:tcPr>
            <w:tcW w:w="377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Adjusted gross profit </w:t>
            </w: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114,898</w:t>
            </w:r>
          </w:p>
        </w:tc>
        <w:tc>
          <w:tcPr>
            <w:tcW w:w="349"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125,739</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(52,512</w:t>
            </w:r>
          </w:p>
        </w:tc>
        <w:tc>
          <w:tcPr>
            <w:tcW w:w="3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vAlign w:val="center"/>
          </w:tcPr>
          <w:p>
            <w:pPr>
              <w:pStyle w:val="TableContents"/>
              <w:bidi w:val="0"/>
              <w:spacing w:before="0" w:after="283"/>
              <w:ind w:left="0" w:right="0" w:firstLine="200"/>
              <w:jc w:val="right"/>
              <w:rPr/>
            </w:pPr>
            <w:r>
              <w:rPr/>
              <w:t> </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41,748</w:t>
            </w:r>
          </w:p>
        </w:tc>
        <w:tc>
          <w:tcPr>
            <w:tcW w:w="349"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74,251</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31,883</w:t>
            </w:r>
          </w:p>
        </w:tc>
        <w:tc>
          <w:tcPr>
            <w:tcW w:w="349"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349"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48,532</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26,229</w:t>
            </w:r>
          </w:p>
        </w:tc>
        <w:tc>
          <w:tcPr>
            <w:tcW w:w="349"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3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3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FFFFFF" w:val="clear"/>
            <w:vAlign w:val="center"/>
          </w:tcPr>
          <w:p>
            <w:pPr>
              <w:pStyle w:val="TableContents"/>
              <w:bidi w:val="0"/>
              <w:spacing w:before="0" w:after="283"/>
              <w:jc w:val="right"/>
              <w:rPr/>
            </w:pPr>
            <w:r>
              <w:rPr/>
              <w:t> </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349"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right"/>
              <w:rPr/>
            </w:pPr>
            <w:r>
              <w:rPr/>
              <w:t> </w:t>
            </w:r>
          </w:p>
        </w:tc>
        <w:tc>
          <w:tcPr>
            <w:tcW w:w="349"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64,087</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7"/>
        </w:rPr>
        <w:t>As a percentage of the total net sales.</w:t>
      </w:r>
      <w:r>
        <w:rPr>
          <w:color w:val="00000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w:t>
      </w:r>
    </w:p>
    <w:tbl>
      <w:tblPr>
        <w:tblW w:w="8712" w:type="dxa"/>
        <w:jc w:val="left"/>
        <w:tblInd w:w="0" w:type="dxa"/>
        <w:tblLayout w:type="fixed"/>
        <w:tblCellMar>
          <w:top w:w="28" w:type="dxa"/>
          <w:left w:w="28" w:type="dxa"/>
          <w:bottom w:w="28" w:type="dxa"/>
          <w:right w:w="28" w:type="dxa"/>
        </w:tblCellMar>
      </w:tblPr>
      <w:tblGrid>
        <w:gridCol w:w="2796"/>
        <w:gridCol w:w="146"/>
        <w:gridCol w:w="154"/>
        <w:gridCol w:w="988"/>
        <w:gridCol w:w="154"/>
        <w:gridCol w:w="154"/>
        <w:gridCol w:w="154"/>
        <w:gridCol w:w="988"/>
        <w:gridCol w:w="146"/>
        <w:gridCol w:w="146"/>
        <w:gridCol w:w="146"/>
        <w:gridCol w:w="736"/>
        <w:gridCol w:w="166"/>
        <w:gridCol w:w="146"/>
        <w:gridCol w:w="256"/>
        <w:gridCol w:w="660"/>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76"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154"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403,559</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154"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367,900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235,622</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both"/>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1,007,081</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tbl>
      <w:tblPr>
        <w:tblW w:w="8663" w:type="dxa"/>
        <w:jc w:val="left"/>
        <w:tblInd w:w="0" w:type="dxa"/>
        <w:tblLayout w:type="fixed"/>
        <w:tblCellMar>
          <w:top w:w="28" w:type="dxa"/>
          <w:left w:w="28" w:type="dxa"/>
          <w:bottom w:w="28" w:type="dxa"/>
          <w:right w:w="28" w:type="dxa"/>
        </w:tblCellMar>
      </w:tblPr>
      <w:tblGrid>
        <w:gridCol w:w="3166"/>
        <w:gridCol w:w="146"/>
        <w:gridCol w:w="352"/>
        <w:gridCol w:w="702"/>
        <w:gridCol w:w="243"/>
        <w:gridCol w:w="243"/>
        <w:gridCol w:w="352"/>
        <w:gridCol w:w="702"/>
        <w:gridCol w:w="146"/>
        <w:gridCol w:w="146"/>
        <w:gridCol w:w="237"/>
        <w:gridCol w:w="424"/>
        <w:gridCol w:w="166"/>
        <w:gridCol w:w="146"/>
        <w:gridCol w:w="256"/>
        <w:gridCol w:w="660"/>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43"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tbl>
      <w:tblPr>
        <w:tblW w:w="8543" w:type="dxa"/>
        <w:jc w:val="left"/>
        <w:tblInd w:w="0" w:type="dxa"/>
        <w:tblLayout w:type="fixed"/>
        <w:tblCellMar>
          <w:top w:w="28" w:type="dxa"/>
          <w:left w:w="28" w:type="dxa"/>
          <w:bottom w:w="28" w:type="dxa"/>
          <w:right w:w="28" w:type="dxa"/>
        </w:tblCellMar>
      </w:tblPr>
      <w:tblGrid>
        <w:gridCol w:w="3046"/>
        <w:gridCol w:w="146"/>
        <w:gridCol w:w="352"/>
        <w:gridCol w:w="702"/>
        <w:gridCol w:w="243"/>
        <w:gridCol w:w="243"/>
        <w:gridCol w:w="352"/>
        <w:gridCol w:w="702"/>
        <w:gridCol w:w="146"/>
        <w:gridCol w:w="146"/>
        <w:gridCol w:w="237"/>
        <w:gridCol w:w="424"/>
        <w:gridCol w:w="166"/>
        <w:gridCol w:w="146"/>
        <w:gridCol w:w="256"/>
        <w:gridCol w:w="660"/>
        <w:gridCol w:w="57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vAlign w:val="center"/>
          </w:tcPr>
          <w:p>
            <w:pPr>
              <w:pStyle w:val="TableContents"/>
              <w:bidi w:val="0"/>
              <w:spacing w:before="0" w:after="283"/>
              <w:jc w:val="both"/>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vAlign w:val="center"/>
          </w:tcPr>
          <w:p>
            <w:pPr>
              <w:pStyle w:val="TableContents"/>
              <w:bidi w:val="0"/>
              <w:spacing w:before="0" w:after="283"/>
              <w:jc w:val="both"/>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43"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of our primary products decreased during the first nine months of 2024 compared to the prior year period driven by the impact of lower selling prices relative to the first nine months of 2023 for all of our products and lower sales volumes for ammonia. Partially offsetting weaker pricing was an increase in UAN sales volume driven by strong demand for fertilizers enhanced by our strategic commercial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in the table above, we recognized a gross profit of $41.7 million for the first nine months of 2024 compared to $74.3 million for the same period in 2023, or a $32.6 million reduction. Overall, our gross profit percentage was 10.8% compared to a gross profit percentage of 16.1% for the same period in 2023. Our adjusted gross profit percentage was 29.7% for the first nine months of 2024 and compared to 27.3% for the same period in 2023. Our overall gross profit for the first nine months of 2024 is lower compared to the same period of 2023 by overall lower sales prices for our products and higher planned Turnaround expenses partially offset by lower natural gas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$31.9 million for the first nine months of 2024, an increase of $4.1 million compared to the same period in 2023. The net increase was primarily driven by increases in professional fees and payroll related items partially offset by a reduction in expense relating to insurance, other miscellaneous expenses and depreciation and amortization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first nine months of 2024 was $26.3 million compared to $31.2 million for the same period in 2023. The decrease primarily relates to reduced interest expense as a result of the repurchase of our 6.25% Senior Secured Notes made beginning in the second quarter of 2023 and during 2024 along with a lower outstanding principal balance our Secured Financing due 2025.</w:t>
      </w:r>
    </w:p>
    <w:p>
      <w:pPr>
        <w:pStyle w:val="TextBody"/>
        <w:bidi w:val="0"/>
        <w:spacing w:before="120" w:after="283"/>
        <w:jc w:val="left"/>
        <w:rPr>
          <w:rFonts w:ascii="Times New Roman" w:hAnsi="Times New Roman"/>
          <w:sz w:val="20"/>
        </w:rPr>
      </w:pPr>
      <w:r>
        <w:rPr>
          <w:rFonts w:ascii="Times New Roman" w:hAnsi="Times New Roman"/>
          <w:b/>
          <w:i/>
          <w:color w:val="000000"/>
          <w:sz w:val="20"/>
        </w:rPr>
        <w:t>Gain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nine months of 2024, we repurchased $96.6 million of our Senior Secured Notes through open market transactions for approximately $92.2 million. As a result, we recognized a gain on extinguishment of debt, net of issuance costs, of approximately $3.0 million. During the first half of 2023, we repurchased $125.0 million of our Senior Secured Notes through open market transactions for approximately $114.3 million. As a result, we recognized a gain on extinguishment of debt, net of issuance costs, of approximately $8.6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net during the first nine months of 2024 and 2023 consists primarily of impairment losses from disposal or abandonment of assets no longer being used in operations partially offset by short-term rental income from railcar subleases. The losses were higher and rental income was lower in the current year compared to the prior year.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Non-operating other income, net for the first nine months of 2024 was $9.1 million compared to $10.9 million for the same period of 2023, primarily related to interest income earned during both periods from our short-term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(Benefit)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 for income taxes for the first nine months of 2024 was $2.6 million compared to the provision for income taxes of $3.6 million for the same period of 2023. The resulting effective tax rate for the first nine months of 2024 was 20.5% compared to 9.8% for the same period of 2023. For the first nine months of 2024, the effective tax rate is lower than the statutory rate primarily due to change in valuation allowance and nondeductible compensation, partially offset by state tax law changes. For the nine months of 2023, the effective tax rate is less than the statutory rate primarily due to deferred benefits from state tax law changes, partially offset by state taxes. See discussion in Note 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 activities for the nine months ended September 30:</w:t>
      </w:r>
    </w:p>
    <w:p>
      <w:pPr>
        <w:pStyle w:val="TextBody"/>
        <w:bidi w:val="0"/>
        <w:jc w:val="both"/>
        <w:rPr/>
      </w:pPr>
      <w:r>
        <w:rPr/>
        <w:t> </w:t>
      </w:r>
    </w:p>
    <w:tbl>
      <w:tblPr>
        <w:tblW w:w="7363" w:type="dxa"/>
        <w:jc w:val="left"/>
        <w:tblInd w:w="0" w:type="dxa"/>
        <w:tblLayout w:type="fixed"/>
        <w:tblCellMar>
          <w:top w:w="28" w:type="dxa"/>
          <w:left w:w="28" w:type="dxa"/>
          <w:bottom w:w="28" w:type="dxa"/>
          <w:right w:w="28" w:type="dxa"/>
        </w:tblCellMar>
      </w:tblPr>
      <w:tblGrid>
        <w:gridCol w:w="3331"/>
        <w:gridCol w:w="146"/>
        <w:gridCol w:w="211"/>
        <w:gridCol w:w="841"/>
        <w:gridCol w:w="166"/>
        <w:gridCol w:w="146"/>
        <w:gridCol w:w="211"/>
        <w:gridCol w:w="841"/>
        <w:gridCol w:w="166"/>
        <w:gridCol w:w="146"/>
        <w:gridCol w:w="211"/>
        <w:gridCol w:w="736"/>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u w:val="single"/>
        </w:rPr>
        <w:t>Net Cash Flow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$82.6 million for the first nine months of 2024 compared to $120.5 million for the same period of 2023, a change of $37.9 million. The decrease was primarily a result of a reduction in net sales, partially offset by lower cost of sales and lower cash interest paid.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investing activities was $18.4 million for the first nine months of 2024 compared to net cash provided of $21.5 million for the same period of 2023, a change of $39.9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nine months of 2024, the net cash used primarily relates to purchases of short-term investments of $190.6 million and expenditures for PP&amp;E of $64.1 million partially offset by proceeds from short-term investments of $236.5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first nine months of 2023, the net cash provided primarily relates to proceeds from short-term investments of $293.3 million, partially offset by purchases of short-term investments of $230.7 million and expenditures for PP&amp;E of $41.0 million.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financing activities was $123.0 million for the first nine months of 2024 compared to net cash used of $159.0 million for the same period of 2023, a change of $36.0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nine months of 2024, the net cash used primarily consists of repurchases of our 6.25% Senior Secured Notes of $92.2 million, payments on other long-term debt and short-term financing of $15.9 million and repurchases of $14.2 million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first nine months of 2023, the net cash used primarily consists of repurchases of our 6.25% Senior Secured Notes of $114.3, payments on other long-term debt and short-term financing of $24.3 million and $20.4 million for the repurchases of common stock.</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our total cash and cash equivalents, short-term investments, long-term debt and stockholders’ equity as of September 30, 2024 and December 31, 2023, respectively:</w:t>
      </w:r>
    </w:p>
    <w:p>
      <w:pPr>
        <w:pStyle w:val="TextBody"/>
        <w:bidi w:val="0"/>
        <w:jc w:val="both"/>
        <w:rPr/>
      </w:pPr>
      <w:r>
        <w:rPr/>
        <w:t> </w:t>
      </w:r>
    </w:p>
    <w:tbl>
      <w:tblPr>
        <w:tblW w:w="8530" w:type="dxa"/>
        <w:jc w:val="left"/>
        <w:tblInd w:w="0" w:type="dxa"/>
        <w:tblLayout w:type="fixed"/>
        <w:tblCellMar>
          <w:top w:w="28" w:type="dxa"/>
          <w:left w:w="28" w:type="dxa"/>
          <w:bottom w:w="28" w:type="dxa"/>
          <w:right w:w="28" w:type="dxa"/>
        </w:tblCellMar>
      </w:tblPr>
      <w:tblGrid>
        <w:gridCol w:w="4636"/>
        <w:gridCol w:w="146"/>
        <w:gridCol w:w="417"/>
        <w:gridCol w:w="1128"/>
        <w:gridCol w:w="166"/>
        <w:gridCol w:w="146"/>
        <w:gridCol w:w="403"/>
        <w:gridCol w:w="1097"/>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5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3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short-term investments</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Senior Secured Notes due 2028 </w:t>
            </w: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Secured Financing due 2025</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including current portion, net</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 discussion contained in Note 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8"/>
        </w:rPr>
      </w:pPr>
      <w:r>
        <w:rPr>
          <w:rFonts w:ascii="Times New Roman" w:hAnsi="Times New Roman"/>
          <w:color w:val="000000"/>
          <w:sz w:val="18"/>
        </w:rPr>
        <w:t>Debt issuance costs as of September 30, 2024 and December 31, 2023 of approximately $0.8 million and $0.5 million, respectively, relating to our Revolving Credit Facility are not included in Unamortized debt issuance cost. They are included in our condensed consolidated balance sheet in Intangible and other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revolving credit facility pursuant to that credit agreement, dated December 21, 2023, between us and the lenders identified on the signature pages thereof and JPMorgan Chase Bank, N.A, as administrative agent (the “Revolving Credit Facility”), with a borrowing base up to an initial maximum of $75 million, with an option to increase the maximum by an additional $25 million (which amount is uncommitted). Availability under the Revolving Credit Facility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September 30, 2024, our Revolving Credit Facility was undrawn and had approximately $34 million of availability. See Note 4 for further discussion on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full year of 2024, we expect capital expenditures to be approximately $65 million to $85 million. This capital spending is primarily planned for reliability and maintenance capital projects. </w:t>
      </w:r>
    </w:p>
    <w:p>
      <w:pPr>
        <w:pStyle w:val="TextBody"/>
        <w:bidi w:val="0"/>
        <w:spacing w:before="120" w:after="283"/>
        <w:jc w:val="left"/>
        <w:rPr>
          <w:rFonts w:ascii="Times New Roman" w:hAnsi="Times New Roman"/>
          <w:color w:val="242424"/>
          <w:sz w:val="20"/>
        </w:rPr>
      </w:pPr>
      <w:r>
        <w:rPr>
          <w:rFonts w:ascii="Times New Roman" w:hAnsi="Times New Roman"/>
          <w:color w:val="242424"/>
          <w:sz w:val="20"/>
        </w:rPr>
        <w:t>From time to time, when the Company exceeds the funding threshold in our natural gas purchase commitments the Company is required to fund cash collateral to our counterparty.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we had approximately $199.4 million of cash and short-term investments. From time to time, we may seek to deploy capital through common stock repurchases or the early redemption of outstanding debt. Such repurchases may be made in open market purchases, privately negotiated transactions or otherwise and will depend on prevailing market conditions, our liquidity requirements, contractual restrictions and other factors. The amounts involved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cash and cash equivalents, short-term investments, the availability on our Revolving Credit Facility and our cash flow from operations will be sufficient to fund our anticipated liquidity needs for the next twelve months.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Compliance with Long - Term Debt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the Revolving Credit Facility requires, among other things, that we meet a financial covenant. The Revolving Credit Facility does not include financial covenant requirements unless a defined covenant trigger event has occurred and is continuing. As of September 30, 2024, no trigger event had occurred.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Loan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Senior Secured Notes due 2028</w:t>
      </w:r>
      <w:r>
        <w:rPr>
          <w:rFonts w:ascii="Times New Roman" w:hAnsi="Times New Roman"/>
          <w:color w:val="000000"/>
          <w:sz w:val="20"/>
        </w:rPr>
        <w:t xml:space="preserve"> – LSB has $478.4 million aggregate principal amount of the 6.25% Senior Secured Notes outstanding as of September 30, 2024. Interest is to be paid semiannually in arrears on May 15</w:t>
      </w:r>
      <w:r>
        <w:rPr>
          <w:rFonts w:ascii="Times New Roman" w:hAnsi="Times New Roman"/>
          <w:color w:val="000000"/>
          <w:sz w:val="11"/>
        </w:rPr>
        <w:t>th</w:t>
      </w:r>
      <w:r>
        <w:rPr>
          <w:rFonts w:ascii="Times New Roman" w:hAnsi="Times New Roman"/>
          <w:color w:val="000000"/>
          <w:sz w:val="20"/>
        </w:rPr>
        <w:t xml:space="preserve"> and October 15</w:t>
      </w:r>
      <w:r>
        <w:rPr>
          <w:rFonts w:ascii="Times New Roman" w:hAnsi="Times New Roman"/>
          <w:color w:val="000000"/>
          <w:sz w:val="11"/>
        </w:rPr>
        <w:t>th</w:t>
      </w:r>
      <w:r>
        <w:rPr>
          <w:rFonts w:ascii="Times New Roman" w:hAnsi="Times New Roman"/>
          <w:color w:val="000000"/>
          <w:sz w:val="20"/>
        </w:rPr>
        <w:t xml:space="preserve">, maturing October 15, 2028.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Secured Financing due 2025 – </w:t>
      </w:r>
      <w:r>
        <w:rPr>
          <w:rFonts w:ascii="Times New Roman" w:hAnsi="Times New Roman"/>
          <w:color w:val="000000"/>
          <w:sz w:val="20"/>
        </w:rPr>
        <w:t xml:space="preserve">We are a party to a $30 million secured financing arrangement with an affiliate of Eldridge. Principal and interest are payable in 60 equal monthly installments with a final balloon payment of approximately $5 million due in August 2025.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Revolving Credit Facility – </w:t>
      </w:r>
      <w:r>
        <w:rPr>
          <w:rFonts w:ascii="Times New Roman" w:hAnsi="Times New Roman"/>
          <w:color w:val="000000"/>
          <w:sz w:val="20"/>
        </w:rPr>
        <w:t>At September 30, 2024, our Revolving Credit Facility was undrawn and had approximately $34 million of availability, based on our eligible collateral, less outstanding letters of credit as of that date. Also see discussion above under “Compliance with Long-Term Debt Covenants.”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Finance leases – </w:t>
      </w:r>
      <w:r>
        <w:rPr>
          <w:rFonts w:ascii="Times New Roman" w:hAnsi="Times New Roman"/>
          <w:color w:val="000000"/>
          <w:sz w:val="20"/>
        </w:rPr>
        <w:t>Our finance leases consist primarily of leases on railcars. Most of our railcar leases are classified as operating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Capital Expenditures – First Nine Months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nine months of 2024, capital expenditures relating to PP&amp;E were $64.1 million. The capital expenditures were funded primarily from cash and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above under “Capitalization” for our expected capital expenditures.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and debt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our Board authorized a $150 million stock repurchase program. The program is intended as a means to maximize shareholder value by returning capital to shareholders.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we did not repurchase any of our outstanding common stock. During the nine months ended September 30, 2024, we repurchased approximately 1.5 million shares of common stock at an average cost of $8.13 per share for a total of approximately $12.1 million. Total repurchase authority remaining under the repurchase program was approximately $109 million as of September 30, 2024. The repurchase program may be suspended, terminated or modified at any time for any reason.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we did not repurchase any of our Senior Secured Notes. During the nine months ended September 30, 2024, we repurchased $96.6 million in principal amount of our Senior Secured Notes for approximately $92.2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 Associated with Environmental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specific federal and state environmental compliance laws, regulations and guidelines. As a result, our expenses were $4.0 million for the first nine months ended September 30, 2024 in connection with environmental projects. For the remainder of 2024, we expect to incur expenses ranging from $0.8 million to $1.1 million in connection with additional environmental projects. However, it is possible that the actual costs could be significantly different than our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fertilizer products sold to the agricultural industry are seasonal, while sales into the industrial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and Payment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2024, we have agreed to indemnify the sureties for payments, up to $9.7 million, made by them in respect of such bonds. All of these insurance bonds are expected to expire or be renewed in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for recently issued accounting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“Critical Accounting Policies and Estimates,” Item 7 of our 2023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realized. Significant judgment is applied in evaluating the need for and the magnitude of appropriate valuation allowances against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reasonably possible that the estimates and assumptions utilized as of September 30, 2024, could change in the near term. Actual results could differ materially from these estimates and judgments, as additional information becomes known.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as defined in Item 303(a)(4)(ii) of Regulation S-K under the Exchange Act.</w:t>
      </w:r>
    </w:p>
    <w:p>
      <w:pPr>
        <w:pStyle w:val="TextBody"/>
        <w:bidi w:val="0"/>
        <w:spacing w:before="120" w:after="283"/>
        <w:jc w:val="left"/>
        <w:rPr>
          <w:rFonts w:ascii="Times New Roman" w:hAnsi="Times New Roman"/>
          <w:b/>
          <w:color w:val="000000"/>
          <w:sz w:val="20"/>
          <w:u w:val="single"/>
        </w:rPr>
      </w:pPr>
      <w:bookmarkStart w:id="9" w:name="item_3_quantitative_qualitative_disclosu"/>
      <w:bookmarkEnd w:id="9"/>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operating cash flows are impacted by changes in market prices of ammonia and natural gas and changes in market interest rates.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Forward Sales Commitments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we enter into forward firm sales commitments for products to be delivered in future periods. As a result, we could be exposed to embedded losses should our product costs exceed the firm sales prices at the end of a reporting period. At September 30, 2024, we had no embedded losses associated with sales commitments with firm sales prices.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and as such, are exempt from derivative accounting requirements. At September 30, 2024, we had no outstanding natural gas contracts which are subject to derivative accounting requirements.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variable interest rate risk with respect to our Revolving Credit Facility when there are outstanding borrowings. As of September 30, 2024, we had no outstanding borrowings on this credit facility and no other variable rate borrowings. We currently do not hedge our interest rate risk associated with our variable interest loan.</w:t>
      </w:r>
    </w:p>
    <w:p>
      <w:pPr>
        <w:pStyle w:val="TextBody"/>
        <w:bidi w:val="0"/>
        <w:spacing w:before="120" w:after="283"/>
        <w:jc w:val="left"/>
        <w:rPr>
          <w:rFonts w:ascii="Times New Roman" w:hAnsi="Times New Roman"/>
          <w:b/>
          <w:color w:val="000000"/>
          <w:sz w:val="20"/>
          <w:u w:val="single"/>
        </w:rPr>
      </w:pPr>
      <w:bookmarkStart w:id="10" w:name="item_4_controls_procedures"/>
      <w:bookmarkEnd w:id="10"/>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2024. Based on this evaluation, the Company's Chief Executive Officer and Chief Financial Officer have concluded that the Company's disclosure controls and procedures were effective as of September 30, 2024, at the reasonable assurance level. There were no changes to our internal control over financial reporting (as such term is defined in Rules 13a-15(f) and 15d-15(f) under the Securities Exchange Act of 1934) during the quarter ended September 30, 2024,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Any such forward-looking statements are not guarantees of future performance and involve risks and uncertainties, many of which are difficult to predict and are generally outside the Company’s control, that could cause actual results to differ materially from those expressed in, or implied of projected by, such forward-looking statements. Forward-Looking Statements contained herein, and the associated risks, uncertainties, assumptions and other important factors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invest in projects that will generate the best returns for our stockholders;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future liquidity outlook;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outlook of our chemical products and related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successfully leverage our existing business platform and portfolio of assets to produce low carbon products and execute our strategy to become a leader in the energy transition in the chemical industry;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amount, timing and effect on the nitrogen market from current nitrogen expansion projects;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from the lack of non-seasonal volume;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belief that competition is based upon service, price, location of production and distribution sites, and product quality and performance;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outlook for the industrial end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availability of raw materials;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broaden the distribution of our products, including our ability to leverage our nitric acid production capacity at our El Dorado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ongoing initiatives to increase the distribution of our products within our industrial end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execution and success of our advanced low-carbon ammonia initiatives;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expectations regarding future ammonia pricing;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result of our product and market diversification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changes in domestic fertilizer production;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increasing output and capacity of our existing production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production volumes at our production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moderate risk inherent in agricultural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sources to fund our cash needs and how this cash will be used;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ability to enter into the additional borrowings;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anticipated cost and timing of our capital projects;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costs covered under warranty provisions;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pass to our customers cost increases in the form of higher prices;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belief as to whether we have sufficient sources for materials and components;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beliefs regarding our estimates and contingencies with respect claims and legal actions in the ordinary course of our business and their effect on our business, financial condition, results of operations or cash flows;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annual natural gas requirements;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development of the market and demand for low-carbon ammonia;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compliance by our facilities with the terms of our permits;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costs of compliance with environmental laws, health laws, security regulations and transportation regulations;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belief as to when Turnarounds will be performed and completed;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expenses in connection with environmental projects;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of litigation and other contingencies, including the potential financial penalties associated with the NOV from ADEQ regarding wastewater discharges from our El Dorado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increase in interest expense;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comply with debt servicing and covenants;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meet debt maturities or redemption obligations when due;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impact of our repurchase program on our stock price and cash reserves: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effects of the ongoing COVID-19 pandemic and related response;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beliefs as to whether we can meet all required covenant tests for the next twelve months.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general economic conditions, both domestic and foreign;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reductions in revenues;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changes in interest rates;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collect in a timely manner a material amount of receivables;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increased competitive pressures;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effects of increases in prices of raw materials;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changes in federal, state and local laws and regulations, or in the interpretation of such laws and regulations;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laws, regulations or other issues related to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releases of pollutants into the environment exceeding our permitted limits;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increases in equipment, maintenance, operating or labor costs not presently anticipated by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requirement to use internally generated funds for purposes not presently anticipated;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inability to secure additional financing for planned capital expenditures or financing obligations due in the near future;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substantial existing indebtedness;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changes in the cost of natural gas and certain precious metals;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limitations due to financial covenants;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competition;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loss of any significant customer;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increases in cost to maintain internal controls over financial reporting;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operating strategy or development plans;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inability to fund the working capital and expansion of our businesses;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the production efficiency of our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results in our contingencies including pending litigation;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unplanned downtime at one or more of our chemical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production rates at any of our chemical plants;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inability to obtain necessary raw materials and purchased components;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increases in cost of raw materials;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changes in our accounting estimates;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significant problems within our production equipment;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fire or natural disasters;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inability to obtain or retain our insurance coverage;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difficulty obtaining necessary permits;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difficulty obtaining third-party financing;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associated with proxy contests initiated by dissident stockholders;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fertilizer production;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reduction in acres planted for crops requiring fertilizer;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decreases in duties for products we sell resulting in an increase in imported products into the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effects from regulatory policies, including tariffs;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geopolitical concerns;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volatility of natural gas prices;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price increases resulting from increased inflation;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weather conditions, including the effects of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increases in imported agricultural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global supply chain disruptions;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factors described in the MD&amp;A contained in this report;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factors described in “Risk Factors” in our Form 10-K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list of terms used in this report.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91"/>
        <w:gridCol w:w="526"/>
        <w:gridCol w:w="7688"/>
      </w:tblGrid>
      <w:tr>
        <w:trPr/>
        <w:tc>
          <w:tcPr>
            <w:tcW w:w="199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688"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ADEQ</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Arkansas Department of Environmental Quality.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Ammonium nitrate.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ASUs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Accounting Standard Updates.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ATR</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AutoThermal Reforming.</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CAO</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consent administrative order.</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Cherokee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Cherokee, Alabama.</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Chevron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Chevron Environmental Management Company.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COVID-19</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novel coronavirus disease of 2019.</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 Dorado Ammonia L.L.C. (now merged into LSB Chemical, L.L.C. a subsidiary of LSB Industries, Inc.).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EDC</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 Dorado Chemical Company (now merged into LSB Chemical, L.L.C. a subsidiary of LSB Industries, Inc.).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 Dorado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El Dorado, Arkansas.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Eldridge</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Eldridge Industries, L.L.C.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Environmental and Health Laws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Numerous federal, state and local environmental, health and safety laws.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EUC</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Environmental Use Control.</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FASB</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Financial Accounting Standards Board.</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FEED</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Front end engineering design.</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Global</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Global Industrial, Inc., a subcontractor asserting mechanics liens for work rendered to the Company.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Hallowell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chemical facility previously owned by two of our subsidiaries located in Kansas.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HDAN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High density ammonium nitrate prills used in the agricultural industry.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Internal Revenue Service.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KDHE</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Kansas Department of Health and Environment.</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LDAN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Low density ammonium nitrate prills used in the mining industry.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Leidos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Leidos Constructors L.L.C.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LSB</w:t>
            </w:r>
            <w:r>
              <w:rPr>
                <w:rFonts w:ascii="Times New Roman" w:hAnsi="Times New Roman"/>
                <w:color w:val="000000"/>
                <w:sz w:val="20"/>
              </w:rPr>
              <w:t xml:space="preserve">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LSB Industries, Inc.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MD&amp;A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Management’s Discussion and Analysis of Financial Condition and Results of Operations.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MMBtu</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Million British thermal units.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MOU</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Memorandum of understanding.</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note in the accompanying notes to the condensed consolidated financial statements.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October Report</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World Agricultural Supply and Demand Estimates Report dated October 11, 2024.</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ODEQ</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Oklahoma Department of Environmental Quality.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PP&amp;E</w:t>
            </w:r>
          </w:p>
        </w:tc>
        <w:tc>
          <w:tcPr>
            <w:tcW w:w="526" w:type="dxa"/>
            <w:tcBorders/>
            <w:vAlign w:val="center"/>
          </w:tcPr>
          <w:p>
            <w:pPr>
              <w:pStyle w:val="TableContents"/>
              <w:bidi w:val="0"/>
              <w:spacing w:before="0" w:after="283"/>
              <w:ind w:left="0" w:right="0" w:firstLine="360"/>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pBdr/>
              <w:bidi w:val="0"/>
              <w:spacing w:before="0" w:after="283"/>
              <w:ind w:left="0" w:right="0" w:hanging="360"/>
              <w:jc w:val="both"/>
              <w:rPr>
                <w:rFonts w:ascii="Times New Roman" w:hAnsi="Times New Roman"/>
                <w:color w:val="000000"/>
                <w:sz w:val="20"/>
              </w:rPr>
            </w:pPr>
            <w:r>
              <w:rPr>
                <w:rFonts w:ascii="Times New Roman" w:hAnsi="Times New Roman"/>
                <w:color w:val="000000"/>
                <w:sz w:val="20"/>
              </w:rPr>
              <w:t>Plant, property and equipment.</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ind w:left="0" w:right="0" w:firstLine="360"/>
              <w:jc w:val="center"/>
              <w:rPr/>
            </w:pPr>
            <w:r>
              <w:rPr/>
              <w:t> </w:t>
            </w:r>
          </w:p>
        </w:tc>
        <w:tc>
          <w:tcPr>
            <w:tcW w:w="7688" w:type="dxa"/>
            <w:tcBorders/>
            <w:vAlign w:val="center"/>
          </w:tcPr>
          <w:p>
            <w:pPr>
              <w:pStyle w:val="TableContents"/>
              <w:pBdr/>
              <w:bidi w:val="0"/>
              <w:spacing w:before="0" w:after="283"/>
              <w:ind w:left="0" w:right="0" w:hanging="360"/>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Pryor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Pryor, Oklahoma.</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U.S. Securities and Exchange Commission.</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Financing due 2025</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secured financing arrangement between EDA and an affiliate of Eldridge which matures in August 2025.</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Senior Secured Notes</w:t>
            </w:r>
            <w:r>
              <w:rPr>
                <w:rFonts w:ascii="Times New Roman" w:hAnsi="Times New Roman"/>
                <w:color w:val="000000"/>
                <w:sz w:val="20"/>
              </w:rPr>
              <w:t xml:space="preserve">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senior secured notes issued on October 14, 2021 and the senior secured notes issued March 8, 2022, taken together both due on October 15, 2028 with a stated interest rates of 6.25% maturing in October 2028.</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SG&amp;A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Selling, general and administrative expense.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Ton</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left"/>
              <w:rPr>
                <w:rFonts w:ascii="Times New Roman" w:hAnsi="Times New Roman"/>
                <w:color w:val="111111"/>
                <w:sz w:val="20"/>
              </w:rPr>
            </w:pPr>
            <w:r>
              <w:rPr>
                <w:rFonts w:ascii="Times New Roman" w:hAnsi="Times New Roman"/>
                <w:color w:val="111111"/>
                <w:sz w:val="20"/>
              </w:rPr>
              <w:t>A unit of weight equal to 2,000 pounds.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Turnaround</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planned major maintenance activity.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Urea ammonium nitrate.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United States.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 Generally Accepted Accounting Principles.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USDA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United States Department of Agriculture.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9"/>
        <w:gridCol w:w="166"/>
        <w:gridCol w:w="8500"/>
      </w:tblGrid>
      <w:tr>
        <w:trPr/>
        <w:tc>
          <w:tcPr>
            <w:tcW w:w="1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500" w:type="dxa"/>
            <w:tcBorders/>
            <w:vAlign w:val="center"/>
          </w:tcPr>
          <w:p>
            <w:pPr>
              <w:pStyle w:val="TableContents"/>
              <w:bidi w:val="0"/>
              <w:spacing w:before="0" w:after="283"/>
              <w:jc w:val="left"/>
              <w:rPr>
                <w:sz w:val="4"/>
                <w:szCs w:val="4"/>
              </w:rPr>
            </w:pPr>
            <w:r>
              <w:rPr>
                <w:sz w:val="4"/>
                <w:szCs w:val="4"/>
              </w:rPr>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Revolving Credit Facility</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secured revolving credit facility pursuant to that credit agreement, dated December 21, 2023, between us and the lenders identified on the signature pages thereof and JPMorgan Chase Bank, N.A, as administrative agent.</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2023 Crop</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2022 and ended in 2023 and primarily relates to corn planted and harvested in 2022.</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2024 Crop</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2023 and will end in 2024 and primarily relates to corn planted and harvested in 2023.</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2025 Crop</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2024 and will end in 2025 and primarily relates to corn planted and harvested in 2024.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jc w:val="both"/>
        <w:rPr/>
      </w:pPr>
      <w:r>
        <w:rPr/>
        <w:t> </w:t>
      </w:r>
    </w:p>
    <w:p>
      <w:pPr>
        <w:pStyle w:val="TextBody"/>
        <w:bidi w:val="0"/>
        <w:jc w:val="both"/>
        <w:rPr>
          <w:rFonts w:ascii="Times New Roman" w:hAnsi="Times New Roman"/>
          <w:sz w:val="20"/>
        </w:rPr>
      </w:pPr>
      <w:bookmarkStart w:id="12" w:name="item_1_legal_proceedings"/>
      <w:bookmarkEnd w:id="12"/>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from time to time subject to various legal proceedings and claims arising in the ordinary course of business, including, but not limited to, examinations by the Internal Revenue Service. For further discussion of our legal matters, see “Note 5. Commitments and Contingencies—Legal Matters” in the notes to the Condensed Consolidated Financial Statements in this Form 10-Q.</w:t>
      </w:r>
    </w:p>
    <w:p>
      <w:pPr>
        <w:pStyle w:val="TextBody"/>
        <w:bidi w:val="0"/>
        <w:jc w:val="left"/>
        <w:rPr/>
      </w:pPr>
      <w:r>
        <w:rPr/>
        <w:t> </w:t>
      </w:r>
    </w:p>
    <w:p>
      <w:pPr>
        <w:pStyle w:val="TextBody"/>
        <w:bidi w:val="0"/>
        <w:jc w:val="left"/>
        <w:rPr>
          <w:rFonts w:ascii="Times New Roman" w:hAnsi="Times New Roman"/>
          <w:sz w:val="20"/>
        </w:rPr>
      </w:pPr>
      <w:bookmarkStart w:id="13" w:name="item_1a_risk_factors"/>
      <w:bookmarkEnd w:id="13"/>
      <w:r>
        <w:rPr>
          <w:rFonts w:ascii="Times New Roman" w:hAnsi="Times New Roman"/>
          <w:b/>
          <w:color w:val="000000"/>
          <w:sz w:val="20"/>
          <w:u w:val="single"/>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is made to Item 1A of our Form 10-K for the year ended December 31, 2023, filed with the SEC on March 6, 2024. There are no material changes from the risk factors disclosed in our 2023 Form 10-K.</w:t>
      </w:r>
    </w:p>
    <w:p>
      <w:pPr>
        <w:pStyle w:val="TextBody"/>
        <w:bidi w:val="0"/>
        <w:spacing w:before="120" w:after="283"/>
        <w:jc w:val="left"/>
        <w:rPr>
          <w:rFonts w:ascii="Times New Roman" w:hAnsi="Times New Roman"/>
          <w:sz w:val="20"/>
        </w:rPr>
      </w:pPr>
      <w:bookmarkStart w:id="14" w:name="item_2_unregistered_sales_equity_securit"/>
      <w:bookmarkEnd w:id="14"/>
      <w:r>
        <w:rPr>
          <w:rFonts w:ascii="Times New Roman" w:hAnsi="Times New Roman"/>
          <w:b/>
          <w:color w:val="000000"/>
          <w:sz w:val="20"/>
          <w:u w:val="single"/>
        </w:rPr>
        <w:t>Item 2. Unregistered Sales of Equity Securities and Use of Proceeds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b/>
          <w:color w:val="000000"/>
          <w:sz w:val="20"/>
          <w:u w:val="single"/>
        </w:rPr>
      </w:pPr>
      <w:bookmarkStart w:id="15" w:name="item_3_defaults_upon_senior_securities"/>
      <w:bookmarkEnd w:id="15"/>
      <w:r>
        <w:rPr>
          <w:rFonts w:ascii="Times New Roman" w:hAnsi="Times New Roman"/>
          <w:b/>
          <w:color w:val="000000"/>
          <w:sz w:val="20"/>
          <w:u w:val="single"/>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u w:val="single"/>
        </w:rPr>
      </w:pPr>
      <w:bookmarkStart w:id="16" w:name="item_4_mine_safety_disclosures"/>
      <w:bookmarkEnd w:id="16"/>
      <w:r>
        <w:rPr>
          <w:rFonts w:ascii="Times New Roman" w:hAnsi="Times New Roman"/>
          <w:b/>
          <w:color w:val="000000"/>
          <w:sz w:val="20"/>
          <w:u w:val="single"/>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sz w:val="20"/>
        </w:rPr>
      </w:pPr>
      <w:bookmarkStart w:id="17" w:name="item_5_orinformation"/>
      <w:bookmarkEnd w:id="17"/>
      <w:r>
        <w:rPr>
          <w:rFonts w:ascii="Times New Roman" w:hAnsi="Times New Roman"/>
          <w:b/>
          <w:color w:val="000000"/>
          <w:sz w:val="20"/>
          <w:u w:val="single"/>
        </w:rPr>
        <w:t>Item 5. Other</w:t>
      </w:r>
      <w:r>
        <w:rPr>
          <w:rFonts w:ascii="Times New Roman" w:hAnsi="Times New Roman"/>
          <w:color w:val="000000"/>
          <w:sz w:val="20"/>
          <w:u w:val="single"/>
        </w:rPr>
        <w:t xml:space="preserve"> </w:t>
      </w:r>
      <w:r>
        <w:rPr>
          <w:rFonts w:ascii="Times New Roman" w:hAnsi="Times New Roman"/>
          <w:b/>
          <w:color w:val="000000"/>
          <w:sz w:val="20"/>
          <w:u w:val="single"/>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During the third quarter ended September 30, 2024, no director or officer (as defined in Exchange Act Rule 16a-1(f)) of the Company adopted or terminated a “Rule 10b5-1 trading arrangement” or “non-Rule 10b5-1 trading arrangement” for the purchase or sale of securities of the Company, within the meaning of Item 408 of Regulation S-K.</w:t>
      </w:r>
      <w:r>
        <w:rPr>
          <w:rFonts w:ascii="Times New Roman" w:hAnsi="Times New Roman"/>
          <w:color w:val="000000"/>
          <w:sz w:val="2"/>
        </w:rPr>
        <w:br/>
      </w:r>
      <w:r>
        <w:rPr>
          <w:rFonts w:ascii="Times New Roman" w:hAnsi="Times New Roman"/>
          <w:color w:val="000000"/>
          <w:sz w:val="20"/>
        </w:rPr>
        <w:t> </w:t>
      </w:r>
    </w:p>
    <w:p>
      <w:pPr>
        <w:pStyle w:val="TextBody"/>
        <w:bidi w:val="0"/>
        <w:jc w:val="left"/>
        <w:rPr/>
      </w:pPr>
      <w:r>
        <w:rPr/>
        <w:t> </w:t>
      </w:r>
    </w:p>
    <w:p>
      <w:pPr>
        <w:pStyle w:val="TextBody"/>
        <w:bidi w:val="0"/>
        <w:spacing w:before="120" w:after="283"/>
        <w:jc w:val="both"/>
        <w:rPr>
          <w:rFonts w:ascii="Times New Roman" w:hAnsi="Times New Roman"/>
          <w:sz w:val="20"/>
        </w:rPr>
      </w:pPr>
      <w:bookmarkStart w:id="18" w:name="item_6exhibits"/>
      <w:bookmarkEnd w:id="18"/>
      <w:r>
        <w:rPr>
          <w:rFonts w:ascii="Times New Roman" w:hAnsi="Times New Roman"/>
          <w:b/>
          <w:color w:val="000000"/>
          <w:sz w:val="20"/>
          <w:u w:val="single"/>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“Index to Exhibits” on page 37.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9" w:name="item_5_or_information"/>
      <w:bookmarkStart w:id="20" w:name="index_item_6"/>
      <w:bookmarkEnd w:id="19"/>
      <w:bookmarkEnd w:id="20"/>
      <w:r>
        <w:rPr>
          <w:rFonts w:ascii="Times New Roman" w:hAnsi="Times New Roman"/>
          <w:b/>
          <w:color w:val="000000"/>
          <w:sz w:val="20"/>
          <w:u w:val="single"/>
        </w:rPr>
        <w:t>Index to Exhibits Item 6.</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0"/>
        <w:gridCol w:w="146"/>
        <w:gridCol w:w="5651"/>
        <w:gridCol w:w="146"/>
        <w:gridCol w:w="3432"/>
      </w:tblGrid>
      <w:tr>
        <w:trPr/>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32" w:type="dxa"/>
            <w:tcBorders/>
            <w:shd w:fill="FFFFFF" w:val="clear"/>
            <w:vAlign w:val="center"/>
          </w:tcPr>
          <w:p>
            <w:pPr>
              <w:pStyle w:val="TableContents"/>
              <w:bidi w:val="0"/>
              <w:spacing w:before="0" w:after="283"/>
              <w:jc w:val="left"/>
              <w:rPr>
                <w:sz w:val="4"/>
                <w:szCs w:val="4"/>
              </w:rPr>
            </w:pPr>
            <w:r>
              <w:rPr>
                <w:sz w:val="4"/>
                <w:szCs w:val="4"/>
              </w:rPr>
            </w:r>
          </w:p>
        </w:tc>
      </w:tr>
      <w:tr>
        <w:trPr/>
        <w:tc>
          <w:tcPr>
            <w:tcW w:w="83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3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the Following</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3(i).1</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LSB Industries, Inc., dated January 21, 1977, as amended August 27, 1987</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3(i).1 to the Company’s Form 10-K filed on February 28, 2013</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3(i).2</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Restated Certificate of Incorporation of LSB Industries, dated September 23, 2021</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3(i).2 to the Company’s Registration Statement on Form S-3 filed on November 16, 2021</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3(ii)</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Bylaws of LSB Industries, Inc., dated July 19, 2021</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the Company’s Form 8-K filed July 20, 2021</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1_1.htm">
              <w:r>
                <w:rPr>
                  <w:rStyle w:val="InternetLink"/>
                  <w:rFonts w:ascii="Times New Roman" w:hAnsi="Times New Roman"/>
                  <w:color w:val="0000FF"/>
                  <w:sz w:val="20"/>
                  <w:u w:val="single"/>
                </w:rPr>
                <w:t>Certification of Mark T. Behrman, Chief Executive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1_2.htm">
              <w:r>
                <w:rPr>
                  <w:rStyle w:val="InternetLink"/>
                  <w:rFonts w:ascii="Times New Roman" w:hAnsi="Times New Roman"/>
                  <w:color w:val="0000FF"/>
                  <w:sz w:val="20"/>
                  <w:u w:val="single"/>
                </w:rPr>
                <w:t>Certification of Cheryl A. Maguire, Chief Financial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2_1.htm">
              <w:r>
                <w:rPr>
                  <w:rStyle w:val="InternetLink"/>
                  <w:rFonts w:ascii="Times New Roman" w:hAnsi="Times New Roman"/>
                  <w:color w:val="0000FF"/>
                  <w:sz w:val="20"/>
                  <w:u w:val="single"/>
                </w:rPr>
                <w:t>Certification of Mark T. Behrman, Chief Executive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2_2.htm">
              <w:r>
                <w:rPr>
                  <w:rStyle w:val="InternetLink"/>
                  <w:rFonts w:ascii="Times New Roman" w:hAnsi="Times New Roman"/>
                  <w:color w:val="0000FF"/>
                  <w:sz w:val="20"/>
                  <w:u w:val="single"/>
                </w:rPr>
                <w:t>Certification of Cheryl A. Maguire, Chief Financial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Filed herewith or furnished herewith.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1" w:name="signatures"/>
      <w:bookmarkEnd w:id="21"/>
      <w:r>
        <w:rPr>
          <w:rFonts w:ascii="Times New Roman" w:hAnsi="Times New Roman"/>
          <w:b/>
          <w:color w:val="000000"/>
          <w:sz w:val="20"/>
          <w:u w:val="single"/>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the Securities Exchange Act of 1934, as amended, the Company has caused the undersigned, duly authorized, to sign this report on its behalf on this 30</w:t>
      </w:r>
      <w:r>
        <w:rPr>
          <w:rFonts w:ascii="Times New Roman" w:hAnsi="Times New Roman"/>
          <w:color w:val="000000"/>
          <w:sz w:val="13"/>
        </w:rPr>
        <w:t>st</w:t>
      </w:r>
      <w:r>
        <w:rPr>
          <w:rFonts w:ascii="Times New Roman" w:hAnsi="Times New Roman"/>
          <w:color w:val="000000"/>
          <w:sz w:val="20"/>
        </w:rPr>
        <w:t xml:space="preserve"> day of October 2024.</w:t>
      </w:r>
    </w:p>
    <w:p>
      <w:pPr>
        <w:pStyle w:val="TextBody"/>
        <w:bidi w:val="0"/>
        <w:jc w:val="both"/>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4456" w:type="dxa"/>
            <w:tcBorders/>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bookmarkStart w:id="22" w:name="lxu-ex31_1.htm"/>
      <w:bookmarkStart w:id="23" w:name="kslxu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Mark T. Behrman,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October 30, 2024</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Director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lxu-ex31_2.htm"/>
      <w:bookmarkStart w:id="25" w:name="kslxu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Cheryl A. Maguire,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October 30, 2024</w:t>
      </w:r>
    </w:p>
    <w:p>
      <w:pPr>
        <w:pStyle w:val="TextBody"/>
        <w:bidi w:val="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lxu-ex32_1.htm"/>
      <w:bookmarkStart w:id="27" w:name="kslxu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September 30, 2024 as filed with the Securities and Exchange Commission on the date hereof (the “Report”). I, Mark T. Behrman, President and Chief Executive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October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lxu-ex32_2.htm"/>
      <w:bookmarkStart w:id="29" w:name="kslxu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September 30, 2024 as filed with the Securities and Exchange Commission on the date hereof (the “Report”), I, Cheryl A. Maguire, Senior Vice President and Chief Financial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 (a) or 15 (d)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October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0714/000119312513084410/d447083dex3i1.htm" TargetMode="External"/><Relationship Id="rId3" Type="http://schemas.openxmlformats.org/officeDocument/2006/relationships/hyperlink" Target="https://www.sec.gov/Archives/edgar/data/0000060714/000119312521331386/d173096dex3i2.htm" TargetMode="External"/><Relationship Id="rId4" Type="http://schemas.openxmlformats.org/officeDocument/2006/relationships/hyperlink" Target="https://www.sec.gov/Archives/edgar/data/60714/000119312521219140/d189542d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22033</Words>
  <Characters>120129</Characters>
  <CharactersWithSpaces>143365</CharactersWithSpaces>
  <Paragraphs>6050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