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w:t>
      </w:r>
    </w:p>
    <w:p>
      <w:pPr>
        <w:spacing w:after="0" w:line="1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1934</w:t>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520" w:right="20" w:hanging="512"/>
        <w:spacing w:after="0" w:line="262" w:lineRule="auto"/>
        <w:tabs>
          <w:tab w:leader="none" w:pos="443"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 w:lineRule="exact"/>
        <w:rPr>
          <w:sz w:val="24"/>
          <w:szCs w:val="24"/>
          <w:color w:val="auto"/>
        </w:rPr>
      </w:pPr>
    </w:p>
    <w:tbl>
      <w:tblPr>
        <w:tblLayout w:type="fixed"/>
        <w:tblInd w:w="35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04"/>
        </w:trPr>
        <w:tc>
          <w:tcPr>
            <w:tcW w:w="334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w w:val="99"/>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LSB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4" w:lineRule="exact"/>
        <w:rPr>
          <w:sz w:val="24"/>
          <w:szCs w:val="24"/>
          <w:color w:val="auto"/>
        </w:rPr>
      </w:pPr>
    </w:p>
    <w:tbl>
      <w:tblPr>
        <w:tblLayout w:type="fixed"/>
        <w:tblInd w:w="500" w:type="dxa"/>
        <w:tblCellMar>
          <w:top w:w="0" w:type="dxa"/>
          <w:left w:w="0" w:type="dxa"/>
          <w:bottom w:w="0" w:type="dxa"/>
          <w:right w:w="0" w:type="dxa"/>
        </w:tblCellMar>
      </w:tblPr>
      <w:tr>
        <w:trPr>
          <w:trHeight w:val="214"/>
        </w:trPr>
        <w:tc>
          <w:tcPr>
            <w:tcW w:w="7080" w:type="dxa"/>
            <w:vAlign w:val="bottom"/>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73-1015226</w:t>
            </w:r>
          </w:p>
        </w:tc>
      </w:tr>
      <w:tr>
        <w:trPr>
          <w:trHeight w:val="148"/>
        </w:trPr>
        <w:tc>
          <w:tcPr>
            <w:tcW w:w="7080" w:type="dxa"/>
            <w:vAlign w:val="bottom"/>
          </w:tcPr>
          <w:p>
            <w:pPr>
              <w:jc w:val="center"/>
              <w:ind w:right="24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80" w:type="dxa"/>
            <w:vAlign w:val="bottom"/>
          </w:tcPr>
          <w:p>
            <w:pPr>
              <w:jc w:val="center"/>
              <w:ind w:left="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080" w:type="dxa"/>
            <w:vAlign w:val="bottom"/>
          </w:tcPr>
          <w:p>
            <w:pPr>
              <w:jc w:val="center"/>
              <w:ind w:right="24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5"/>
        </w:trPr>
        <w:tc>
          <w:tcPr>
            <w:tcW w:w="7080" w:type="dxa"/>
            <w:vAlign w:val="bottom"/>
          </w:tcPr>
          <w:p>
            <w:pPr>
              <w:jc w:val="center"/>
              <w:ind w:right="2480"/>
              <w:spacing w:after="0" w:line="255" w:lineRule="exact"/>
              <w:rPr>
                <w:sz w:val="20"/>
                <w:szCs w:val="20"/>
                <w:color w:val="auto"/>
              </w:rPr>
            </w:pPr>
            <w:r>
              <w:rPr>
                <w:rFonts w:ascii="Times New Roman" w:cs="Times New Roman" w:eastAsia="Times New Roman" w:hAnsi="Times New Roman"/>
                <w:sz w:val="18"/>
                <w:szCs w:val="18"/>
                <w:b w:val="1"/>
                <w:bCs w:val="1"/>
                <w:color w:val="auto"/>
                <w:w w:val="98"/>
              </w:rPr>
              <w:t>3503 NW 63</w:t>
            </w:r>
            <w:r>
              <w:rPr>
                <w:rFonts w:ascii="Times New Roman" w:cs="Times New Roman" w:eastAsia="Times New Roman" w:hAnsi="Times New Roman"/>
                <w:sz w:val="24"/>
                <w:szCs w:val="24"/>
                <w:b w:val="1"/>
                <w:bCs w:val="1"/>
                <w:color w:val="auto"/>
                <w:w w:val="98"/>
                <w:vertAlign w:val="superscript"/>
              </w:rPr>
              <w:t>rd</w:t>
            </w:r>
            <w:r>
              <w:rPr>
                <w:rFonts w:ascii="Times New Roman" w:cs="Times New Roman" w:eastAsia="Times New Roman" w:hAnsi="Times New Roman"/>
                <w:sz w:val="18"/>
                <w:szCs w:val="18"/>
                <w:b w:val="1"/>
                <w:bCs w:val="1"/>
                <w:color w:val="auto"/>
                <w:w w:val="98"/>
              </w:rPr>
              <w:t xml:space="preserve"> Street, Suite 500, Oklahoma City, Oklahoma</w:t>
            </w: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73116</w:t>
            </w:r>
          </w:p>
        </w:tc>
      </w:tr>
      <w:tr>
        <w:trPr>
          <w:trHeight w:val="190"/>
        </w:trPr>
        <w:tc>
          <w:tcPr>
            <w:tcW w:w="7080" w:type="dxa"/>
            <w:vAlign w:val="bottom"/>
          </w:tcPr>
          <w:p>
            <w:pPr>
              <w:jc w:val="center"/>
              <w:ind w:right="24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0"/>
        </w:trPr>
        <w:tc>
          <w:tcPr>
            <w:tcW w:w="7080" w:type="dxa"/>
            <w:vAlign w:val="bottom"/>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(405) 235-4546</w:t>
            </w:r>
          </w:p>
        </w:tc>
        <w:tc>
          <w:tcPr>
            <w:tcW w:w="1480" w:type="dxa"/>
            <w:vAlign w:val="bottom"/>
          </w:tcPr>
          <w:p>
            <w:pPr>
              <w:spacing w:after="0"/>
              <w:rPr>
                <w:sz w:val="24"/>
                <w:szCs w:val="24"/>
                <w:color w:val="auto"/>
              </w:rPr>
            </w:pPr>
          </w:p>
        </w:tc>
      </w:tr>
      <w:tr>
        <w:trPr>
          <w:trHeight w:val="206"/>
        </w:trPr>
        <w:tc>
          <w:tcPr>
            <w:tcW w:w="7080" w:type="dxa"/>
            <w:vAlign w:val="bottom"/>
          </w:tcPr>
          <w:p>
            <w:pPr>
              <w:jc w:val="center"/>
              <w:ind w:left="30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80" w:type="dxa"/>
            <w:vAlign w:val="bottom"/>
          </w:tcPr>
          <w:p>
            <w:pPr>
              <w:spacing w:after="0"/>
              <w:rPr>
                <w:sz w:val="17"/>
                <w:szCs w:val="17"/>
                <w:color w:val="auto"/>
              </w:rPr>
            </w:pPr>
          </w:p>
        </w:tc>
      </w:tr>
    </w:tbl>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4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Common Stock, Par Value $.10</w:t>
            </w:r>
          </w:p>
        </w:tc>
        <w:tc>
          <w:tcPr>
            <w:tcW w:w="120" w:type="dxa"/>
            <w:vAlign w:val="bottom"/>
          </w:tcPr>
          <w:p>
            <w:pPr>
              <w:spacing w:after="0"/>
              <w:rPr>
                <w:sz w:val="16"/>
                <w:szCs w:val="16"/>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LXU</w:t>
            </w:r>
          </w:p>
        </w:tc>
        <w:tc>
          <w:tcPr>
            <w:tcW w:w="120" w:type="dxa"/>
            <w:vAlign w:val="bottom"/>
          </w:tcPr>
          <w:p>
            <w:pPr>
              <w:spacing w:after="0"/>
              <w:rPr>
                <w:sz w:val="16"/>
                <w:szCs w:val="16"/>
                <w:color w:val="auto"/>
              </w:rPr>
            </w:pPr>
          </w:p>
        </w:tc>
        <w:tc>
          <w:tcPr>
            <w:tcW w:w="5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New York Stock Exchange</w:t>
            </w:r>
          </w:p>
        </w:tc>
        <w:tc>
          <w:tcPr>
            <w:tcW w:w="0" w:type="dxa"/>
            <w:vAlign w:val="bottom"/>
          </w:tcPr>
          <w:p>
            <w:pPr>
              <w:spacing w:after="0"/>
              <w:rPr>
                <w:sz w:val="1"/>
                <w:szCs w:val="1"/>
                <w:color w:val="auto"/>
              </w:rPr>
            </w:pPr>
          </w:p>
        </w:tc>
      </w:tr>
      <w:tr>
        <w:trPr>
          <w:trHeight w:val="65"/>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1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New York Stock Exchange</w:t>
            </w:r>
          </w:p>
        </w:tc>
        <w:tc>
          <w:tcPr>
            <w:tcW w:w="0" w:type="dxa"/>
            <w:vAlign w:val="bottom"/>
          </w:tcPr>
          <w:p>
            <w:pPr>
              <w:spacing w:after="0"/>
              <w:rPr>
                <w:sz w:val="1"/>
                <w:szCs w:val="1"/>
                <w:color w:val="auto"/>
              </w:rPr>
            </w:pPr>
          </w:p>
        </w:tc>
      </w:tr>
      <w:tr>
        <w:trPr>
          <w:trHeight w:val="190"/>
        </w:trPr>
        <w:tc>
          <w:tcPr>
            <w:tcW w:w="4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w:t>
            </w:r>
          </w:p>
        </w:tc>
        <w:tc>
          <w:tcPr>
            <w:tcW w:w="120" w:type="dxa"/>
            <w:vAlign w:val="bottom"/>
          </w:tcPr>
          <w:p>
            <w:pPr>
              <w:spacing w:after="0"/>
              <w:rPr>
                <w:sz w:val="16"/>
                <w:szCs w:val="16"/>
                <w:color w:val="auto"/>
              </w:rPr>
            </w:pP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500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880"/>
        <w:spacing w:after="0" w:line="250"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The number of shares outstanding of the registrant's common stock was 71,944,499 shares as of October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FORM 10-Q OF 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340" w:type="dxa"/>
            <w:vAlign w:val="bottom"/>
            <w:gridSpan w:val="4"/>
          </w:tcPr>
          <w:p>
            <w:pPr>
              <w:jc w:val="center"/>
              <w:ind w:right="2420"/>
              <w:spacing w:after="0"/>
              <w:rPr>
                <w:sz w:val="20"/>
                <w:szCs w:val="20"/>
                <w:color w:val="auto"/>
              </w:rPr>
            </w:pPr>
            <w:r>
              <w:rPr>
                <w:rFonts w:ascii="Times New Roman" w:cs="Times New Roman" w:eastAsia="Times New Roman" w:hAnsi="Times New Roman"/>
                <w:sz w:val="18"/>
                <w:szCs w:val="18"/>
                <w:color w:val="auto"/>
                <w:w w:val="99"/>
              </w:rPr>
              <w:t>PART I – Financial Information</w:t>
            </w: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Page</w:t>
            </w: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tcPr>
          <w:p>
            <w:pPr>
              <w:spacing w:after="0"/>
              <w:rPr>
                <w:sz w:val="24"/>
                <w:szCs w:val="24"/>
                <w:color w:val="auto"/>
              </w:rPr>
            </w:pPr>
          </w:p>
        </w:tc>
        <w:tc>
          <w:tcPr>
            <w:tcW w:w="3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53"/>
        </w:trPr>
        <w:tc>
          <w:tcPr>
            <w:tcW w:w="9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7340" w:type="dxa"/>
            <w:vAlign w:val="bottom"/>
            <w:gridSpan w:val="4"/>
          </w:tcPr>
          <w:p>
            <w:pPr>
              <w:jc w:val="center"/>
              <w:ind w:right="2420"/>
              <w:spacing w:after="0"/>
              <w:rPr>
                <w:sz w:val="20"/>
                <w:szCs w:val="20"/>
                <w:color w:val="auto"/>
              </w:rPr>
            </w:pPr>
            <w:r>
              <w:rPr>
                <w:rFonts w:ascii="Times New Roman" w:cs="Times New Roman" w:eastAsia="Times New Roman" w:hAnsi="Times New Roman"/>
                <w:sz w:val="18"/>
                <w:szCs w:val="18"/>
                <w:color w:val="auto"/>
                <w:w w:val="99"/>
              </w:rPr>
              <w:t>PART II – Other Information</w:t>
            </w:r>
          </w:p>
        </w:tc>
        <w:tc>
          <w:tcPr>
            <w:tcW w:w="660" w:type="dxa"/>
            <w:vAlign w:val="bottom"/>
          </w:tcPr>
          <w:p>
            <w:pPr>
              <w:spacing w:after="0"/>
              <w:rPr>
                <w:sz w:val="24"/>
                <w:szCs w:val="24"/>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32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24"/>
                <w:szCs w:val="24"/>
                <w:color w:val="auto"/>
              </w:rPr>
            </w:pPr>
          </w:p>
        </w:tc>
        <w:tc>
          <w:tcPr>
            <w:tcW w:w="8720" w:type="dxa"/>
            <w:vAlign w:val="bottom"/>
            <w:gridSpan w:val="9"/>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0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6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24"/>
                <w:szCs w:val="24"/>
                <w:color w:val="auto"/>
              </w:rPr>
            </w:pPr>
          </w:p>
        </w:tc>
        <w:tc>
          <w:tcPr>
            <w:tcW w:w="734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34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6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885"/>
        </w:trPr>
        <w:tc>
          <w:tcPr>
            <w:tcW w:w="9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840" w:type="dxa"/>
            <w:vAlign w:val="bottom"/>
            <w:gridSpan w:val="10"/>
          </w:tcPr>
          <w:p>
            <w:pPr>
              <w:jc w:val="right"/>
              <w:ind w:right="1700"/>
              <w:spacing w:after="0"/>
              <w:rPr>
                <w:sz w:val="20"/>
                <w:szCs w:val="20"/>
                <w:color w:val="auto"/>
              </w:rPr>
            </w:pPr>
            <w:r>
              <w:rPr>
                <w:rFonts w:ascii="Times New Roman" w:cs="Times New Roman" w:eastAsia="Times New Roman" w:hAnsi="Times New Roman"/>
                <w:sz w:val="18"/>
                <w:szCs w:val="18"/>
                <w:color w:val="auto"/>
              </w:rPr>
              <w:t>2</w:t>
            </w: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(Information at September 30, 2025 is unaudited)</w:t>
      </w:r>
    </w:p>
    <w:p>
      <w:pPr>
        <w:spacing w:after="0" w:line="5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ind w:right="40"/>
              <w:spacing w:after="0" w:line="142" w:lineRule="exact"/>
              <w:rPr>
                <w:sz w:val="20"/>
                <w:szCs w:val="20"/>
                <w:color w:val="auto"/>
              </w:rPr>
            </w:pPr>
            <w:r>
              <w:rPr>
                <w:rFonts w:ascii="Times New Roman" w:cs="Times New Roman" w:eastAsia="Times New Roman" w:hAnsi="Times New Roman"/>
                <w:sz w:val="13"/>
                <w:szCs w:val="13"/>
                <w:b w:val="1"/>
                <w:bCs w:val="1"/>
                <w:color w:val="auto"/>
              </w:rPr>
              <w:t>(In</w:t>
            </w:r>
          </w:p>
        </w:tc>
        <w:tc>
          <w:tcPr>
            <w:tcW w:w="1740" w:type="dxa"/>
            <w:vAlign w:val="bottom"/>
            <w:gridSpan w:val="3"/>
          </w:tcPr>
          <w:p>
            <w:pPr>
              <w:jc w:val="right"/>
              <w:ind w:right="1119"/>
              <w:spacing w:after="0" w:line="142"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10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27,951</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20,230</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124,015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163,971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47,029</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39,083</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00" w:type="dxa"/>
            <w:vAlign w:val="bottom"/>
          </w:tcPr>
          <w:p>
            <w:pPr>
              <w:spacing w:after="0"/>
              <w:rPr>
                <w:sz w:val="17"/>
                <w:szCs w:val="17"/>
                <w:color w:val="auto"/>
              </w:rPr>
            </w:pPr>
          </w:p>
        </w:tc>
        <w:tc>
          <w:tcPr>
            <w:tcW w:w="1640" w:type="dxa"/>
            <w:vAlign w:val="bottom"/>
            <w:gridSpan w:val="2"/>
          </w:tcPr>
          <w:p>
            <w:pPr>
              <w:jc w:val="right"/>
              <w:ind w:right="157"/>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(323)</w:t>
            </w:r>
          </w:p>
        </w:tc>
      </w:tr>
      <w:tr>
        <w:trPr>
          <w:trHeight w:val="196"/>
        </w:trPr>
        <w:tc>
          <w:tcPr>
            <w:tcW w:w="20" w:type="dxa"/>
            <w:vAlign w:val="bottom"/>
          </w:tcPr>
          <w:p>
            <w:pPr>
              <w:spacing w:after="0"/>
              <w:rPr>
                <w:sz w:val="17"/>
                <w:szCs w:val="17"/>
                <w:color w:val="auto"/>
              </w:rPr>
            </w:pPr>
          </w:p>
        </w:tc>
        <w:tc>
          <w:tcPr>
            <w:tcW w:w="7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46,645</w:t>
            </w: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38,760</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Finished goods</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18,391</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22,382</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Raw materials</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 inventories</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19,799</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24,901</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Supplies, prepaid items and other:</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Prepaid insurance</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14,345</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Precious metals</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11,596</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Supplies</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33,163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31,995</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 supplies, prepaid items and other</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49,359</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61,852</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Assets held for sale</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20" w:type="dxa"/>
            <w:vAlign w:val="bottom"/>
          </w:tcPr>
          <w:p>
            <w:pPr>
              <w:spacing w:after="0"/>
              <w:rPr>
                <w:sz w:val="17"/>
                <w:szCs w:val="17"/>
                <w:color w:val="auto"/>
              </w:rPr>
            </w:pPr>
          </w:p>
        </w:tc>
        <w:tc>
          <w:tcPr>
            <w:tcW w:w="724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270,620</w:t>
            </w: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309,714</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833,252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847,570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assets</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44,444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Intangible and other assets, net</w:t>
            </w:r>
          </w:p>
        </w:tc>
        <w:tc>
          <w:tcPr>
            <w:tcW w:w="1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other assets</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45,676</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29,904</w:t>
            </w:r>
          </w:p>
        </w:tc>
        <w:tc>
          <w:tcPr>
            <w:tcW w:w="10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1,149,548</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1,187,188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59,994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83,498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Short-term financing</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12,146</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33,107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30,874</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9,116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135,634</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447,582</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476,163</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accrued and other liabilities</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65,020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61,908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5)</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$.10 par value per share; 150 million shares authorized,</w:t>
            </w:r>
          </w:p>
        </w:tc>
        <w:tc>
          <w:tcPr>
            <w:tcW w:w="1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91.2 million shares issued</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9,117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9,117</w:t>
            </w:r>
          </w:p>
        </w:tc>
        <w:tc>
          <w:tcPr>
            <w:tcW w:w="100" w:type="dxa"/>
            <w:vAlign w:val="bottom"/>
            <w:shd w:val="clear" w:color="auto" w:fill="CFF0FC"/>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505,072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504,578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216,143</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207,662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730,332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721,357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Less treasury stock, at cost:</w:t>
            </w: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19.2 million shares (19.5 million shares at December 31, 2024)</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225,723</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229,717</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504,609</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491,640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1,149,548</w:t>
            </w:r>
          </w:p>
        </w:tc>
        <w:tc>
          <w:tcPr>
            <w:tcW w:w="2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1,187,188</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-3188335</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-3188335</wp:posOffset>
            </wp:positionV>
            <wp:extent cx="59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-2914015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-2896870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-2914015</wp:posOffset>
            </wp:positionV>
            <wp:extent cx="596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-2896870</wp:posOffset>
            </wp:positionV>
            <wp:extent cx="59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-2116455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-2116455</wp:posOffset>
            </wp:positionV>
            <wp:extent cx="596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-693420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-693420</wp:posOffset>
            </wp:positionV>
            <wp:extent cx="596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-161925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-161925</wp:posOffset>
            </wp:positionV>
            <wp:extent cx="596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981" w:right="6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2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8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60" w:type="dxa"/>
            <w:vAlign w:val="bottom"/>
            <w:gridSpan w:val="6"/>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155,431</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109,217</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450,159</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387,494</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345,746</w:t>
            </w:r>
          </w:p>
        </w:tc>
        <w:tc>
          <w:tcPr>
            <w:tcW w:w="100" w:type="dxa"/>
            <w:vAlign w:val="bottom"/>
          </w:tcPr>
          <w:p>
            <w:pPr>
              <w:spacing w:after="0"/>
              <w:rPr>
                <w:sz w:val="18"/>
                <w:szCs w:val="18"/>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(7,945)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41,748</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31,883</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0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(24,423)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26,229</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(3,013)</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Non-operating other income, net</w:t>
            </w: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(9,143)</w:t>
            </w: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(12,833)</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(4,482)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(2,629)</w:t>
            </w:r>
          </w:p>
        </w:tc>
      </w:tr>
      <w:tr>
        <w:trPr>
          <w:trHeight w:val="20"/>
        </w:trPr>
        <w:tc>
          <w:tcPr>
            <w:tcW w:w="4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(25,382)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(10,204)</w:t>
            </w:r>
          </w:p>
        </w:tc>
      </w:tr>
      <w:tr>
        <w:trPr>
          <w:trHeight w:val="20"/>
        </w:trPr>
        <w:tc>
          <w:tcPr>
            <w:tcW w:w="4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4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-1464945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-1464945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-1464945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-1182370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-1182370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-1182370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-25400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-8255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-25400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-8255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3"/>
                <w:szCs w:val="13"/>
                <w:color w:val="auto"/>
              </w:rPr>
            </w:pPr>
          </w:p>
        </w:tc>
        <w:tc>
          <w:tcPr>
            <w:tcW w:w="8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w:t>
            </w:r>
          </w:p>
        </w:tc>
        <w:tc>
          <w:tcPr>
            <w:tcW w:w="14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60" w:type="dxa"/>
            <w:vAlign w:val="bottom"/>
          </w:tcPr>
          <w:p>
            <w:pPr>
              <w:spacing w:after="0"/>
              <w:rPr>
                <w:sz w:val="12"/>
                <w:szCs w:val="12"/>
                <w:color w:val="auto"/>
              </w:rPr>
            </w:pP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2024</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91,168</w:t>
            </w:r>
          </w:p>
        </w:tc>
        <w:tc>
          <w:tcPr>
            <w:tcW w:w="1460" w:type="dxa"/>
            <w:vAlign w:val="bottom"/>
            <w:gridSpan w:val="3"/>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(19,528)</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9,117</w:t>
            </w:r>
          </w:p>
        </w:tc>
        <w:tc>
          <w:tcPr>
            <w:tcW w:w="320" w:type="dxa"/>
            <w:vAlign w:val="bottom"/>
            <w:gridSpan w:val="2"/>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504,578</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207,662</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(229,717)</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491,640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(1,640)</w:t>
            </w: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1,733</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equity compensation</w:t>
            </w:r>
          </w:p>
        </w:tc>
        <w:tc>
          <w:tcPr>
            <w:tcW w:w="94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(4,344)</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Shares withheld upon vesting</w:t>
            </w:r>
          </w:p>
        </w:tc>
        <w:tc>
          <w:tcPr>
            <w:tcW w:w="94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spacing w:after="0"/>
              <w:rPr>
                <w:sz w:val="10"/>
                <w:szCs w:val="10"/>
                <w:color w:val="auto"/>
              </w:rPr>
            </w:pPr>
          </w:p>
        </w:tc>
        <w:tc>
          <w:tcPr>
            <w:tcW w:w="12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(133)</w:t>
            </w: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(1,170)</w:t>
            </w:r>
          </w:p>
        </w:tc>
        <w:tc>
          <w:tcPr>
            <w:tcW w:w="18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(1,170)</w:t>
            </w: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80"/>
              <w:spacing w:after="0" w:line="158" w:lineRule="exact"/>
              <w:rPr>
                <w:sz w:val="20"/>
                <w:szCs w:val="20"/>
                <w:color w:val="auto"/>
              </w:rPr>
            </w:pPr>
            <w:r>
              <w:rPr>
                <w:rFonts w:ascii="Times New Roman" w:cs="Times New Roman" w:eastAsia="Times New Roman" w:hAnsi="Times New Roman"/>
                <w:sz w:val="14"/>
                <w:szCs w:val="14"/>
                <w:color w:val="auto"/>
              </w:rPr>
              <w:t>of equity compensation</w:t>
            </w:r>
          </w:p>
        </w:tc>
        <w:tc>
          <w:tcPr>
            <w:tcW w:w="940" w:type="dxa"/>
            <w:vAlign w:val="bottom"/>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1220" w:type="dxa"/>
            <w:vAlign w:val="bottom"/>
            <w:gridSpan w:val="2"/>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2025</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91,168</w:t>
            </w:r>
          </w:p>
        </w:tc>
        <w:tc>
          <w:tcPr>
            <w:tcW w:w="240" w:type="dxa"/>
            <w:vAlign w:val="bottom"/>
          </w:tcPr>
          <w:p>
            <w:pPr>
              <w:spacing w:after="0"/>
              <w:rPr>
                <w:sz w:val="12"/>
                <w:szCs w:val="12"/>
                <w:color w:val="auto"/>
              </w:rPr>
            </w:pPr>
          </w:p>
        </w:tc>
        <w:tc>
          <w:tcPr>
            <w:tcW w:w="12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(19,292)</w:t>
            </w:r>
          </w:p>
        </w:tc>
        <w:tc>
          <w:tcPr>
            <w:tcW w:w="1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501,967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206,022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(226,543)</w:t>
            </w: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490,563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Employee stock purchase plan</w:t>
            </w:r>
          </w:p>
        </w:tc>
        <w:tc>
          <w:tcPr>
            <w:tcW w:w="9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equity compensation</w:t>
            </w:r>
          </w:p>
        </w:tc>
        <w:tc>
          <w:tcPr>
            <w:tcW w:w="94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Shares withheld upon vesting</w:t>
            </w:r>
          </w:p>
        </w:tc>
        <w:tc>
          <w:tcPr>
            <w:tcW w:w="94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spacing w:after="0"/>
              <w:rPr>
                <w:sz w:val="10"/>
                <w:szCs w:val="10"/>
                <w:color w:val="auto"/>
              </w:rPr>
            </w:pPr>
          </w:p>
        </w:tc>
        <w:tc>
          <w:tcPr>
            <w:tcW w:w="12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80"/>
              <w:spacing w:after="0" w:line="158" w:lineRule="exact"/>
              <w:rPr>
                <w:sz w:val="20"/>
                <w:szCs w:val="20"/>
                <w:color w:val="auto"/>
              </w:rPr>
            </w:pPr>
            <w:r>
              <w:rPr>
                <w:rFonts w:ascii="Times New Roman" w:cs="Times New Roman" w:eastAsia="Times New Roman" w:hAnsi="Times New Roman"/>
                <w:sz w:val="14"/>
                <w:szCs w:val="14"/>
                <w:color w:val="auto"/>
              </w:rPr>
              <w:t>of equity compensation</w:t>
            </w:r>
          </w:p>
        </w:tc>
        <w:tc>
          <w:tcPr>
            <w:tcW w:w="940" w:type="dxa"/>
            <w:vAlign w:val="bottom"/>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1220" w:type="dxa"/>
            <w:vAlign w:val="bottom"/>
            <w:gridSpan w:val="2"/>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2025</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91,168</w:t>
            </w:r>
          </w:p>
        </w:tc>
        <w:tc>
          <w:tcPr>
            <w:tcW w:w="240" w:type="dxa"/>
            <w:vAlign w:val="bottom"/>
          </w:tcPr>
          <w:p>
            <w:pPr>
              <w:spacing w:after="0"/>
              <w:rPr>
                <w:sz w:val="12"/>
                <w:szCs w:val="12"/>
                <w:color w:val="auto"/>
              </w:rPr>
            </w:pPr>
          </w:p>
        </w:tc>
        <w:tc>
          <w:tcPr>
            <w:tcW w:w="12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(19,233)</w:t>
            </w:r>
          </w:p>
        </w:tc>
        <w:tc>
          <w:tcPr>
            <w:tcW w:w="1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503,496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209,028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(225,841)</w:t>
            </w: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495,800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7,115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Employee stock purchase plan</w:t>
            </w:r>
          </w:p>
        </w:tc>
        <w:tc>
          <w:tcPr>
            <w:tcW w:w="9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equity compensation</w:t>
            </w:r>
          </w:p>
        </w:tc>
        <w:tc>
          <w:tcPr>
            <w:tcW w:w="94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Shares withheld upon vesting of</w:t>
            </w:r>
          </w:p>
        </w:tc>
        <w:tc>
          <w:tcPr>
            <w:tcW w:w="940" w:type="dxa"/>
            <w:vAlign w:val="bottom"/>
            <w:shd w:val="clear" w:color="auto" w:fill="CFF0FC"/>
          </w:tcPr>
          <w:p>
            <w:pPr>
              <w:spacing w:after="0"/>
              <w:rPr>
                <w:sz w:val="10"/>
                <w:szCs w:val="10"/>
                <w:color w:val="auto"/>
              </w:rPr>
            </w:pPr>
          </w:p>
        </w:tc>
        <w:tc>
          <w:tcPr>
            <w:tcW w:w="1460" w:type="dxa"/>
            <w:vAlign w:val="bottom"/>
            <w:gridSpan w:val="3"/>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(29)</w:t>
            </w:r>
          </w:p>
        </w:tc>
        <w:tc>
          <w:tcPr>
            <w:tcW w:w="18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40"/>
              <w:spacing w:after="0" w:line="158" w:lineRule="exact"/>
              <w:rPr>
                <w:sz w:val="20"/>
                <w:szCs w:val="20"/>
                <w:color w:val="auto"/>
              </w:rPr>
            </w:pPr>
            <w:r>
              <w:rPr>
                <w:rFonts w:ascii="Times New Roman" w:cs="Times New Roman" w:eastAsia="Times New Roman" w:hAnsi="Times New Roman"/>
                <w:sz w:val="14"/>
                <w:szCs w:val="14"/>
                <w:color w:val="auto"/>
              </w:rPr>
              <w:t>restricted stock units</w:t>
            </w:r>
          </w:p>
        </w:tc>
        <w:tc>
          <w:tcPr>
            <w:tcW w:w="940" w:type="dxa"/>
            <w:vAlign w:val="bottom"/>
            <w:shd w:val="clear" w:color="auto" w:fill="CFF0FC"/>
          </w:tcPr>
          <w:p>
            <w:pPr>
              <w:spacing w:after="0"/>
              <w:rPr>
                <w:sz w:val="13"/>
                <w:szCs w:val="13"/>
                <w:color w:val="auto"/>
              </w:rPr>
            </w:pPr>
          </w:p>
        </w:tc>
        <w:tc>
          <w:tcPr>
            <w:tcW w:w="1460" w:type="dxa"/>
            <w:vAlign w:val="bottom"/>
            <w:gridSpan w:val="3"/>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8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2025</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91,168</w:t>
            </w:r>
          </w:p>
        </w:tc>
        <w:tc>
          <w:tcPr>
            <w:tcW w:w="240" w:type="dxa"/>
            <w:vAlign w:val="bottom"/>
            <w:tcBorders>
              <w:top w:val="single" w:sz="8" w:color="CFF0FC"/>
              <w:bottom w:val="single" w:sz="8" w:color="CFF0FC"/>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(19,224)</w:t>
            </w:r>
          </w:p>
        </w:tc>
        <w:tc>
          <w:tcPr>
            <w:tcW w:w="24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9,117</w:t>
            </w:r>
          </w:p>
        </w:tc>
        <w:tc>
          <w:tcPr>
            <w:tcW w:w="2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505,072</w:t>
            </w: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216,143</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(225,723)</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504,609</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2023</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91,168</w:t>
            </w:r>
          </w:p>
        </w:tc>
        <w:tc>
          <w:tcPr>
            <w:tcW w:w="1460" w:type="dxa"/>
            <w:vAlign w:val="bottom"/>
            <w:gridSpan w:val="3"/>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(18,051)</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9,117</w:t>
            </w:r>
          </w:p>
        </w:tc>
        <w:tc>
          <w:tcPr>
            <w:tcW w:w="320" w:type="dxa"/>
            <w:vAlign w:val="bottom"/>
            <w:gridSpan w:val="2"/>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501,026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227,015</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(218,827)</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518,331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1,394</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common stock</w:t>
            </w:r>
          </w:p>
        </w:tc>
        <w:tc>
          <w:tcPr>
            <w:tcW w:w="940" w:type="dxa"/>
            <w:vAlign w:val="bottom"/>
          </w:tcPr>
          <w:p>
            <w:pPr>
              <w:spacing w:after="0"/>
              <w:rPr>
                <w:sz w:val="12"/>
                <w:szCs w:val="12"/>
                <w:color w:val="auto"/>
              </w:rPr>
            </w:pPr>
          </w:p>
        </w:tc>
        <w:tc>
          <w:tcPr>
            <w:tcW w:w="14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(690)</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(5,397)</w:t>
            </w:r>
          </w:p>
        </w:tc>
        <w:tc>
          <w:tcPr>
            <w:tcW w:w="1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(5,397)</w:t>
            </w: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equity compensation</w:t>
            </w:r>
          </w:p>
        </w:tc>
        <w:tc>
          <w:tcPr>
            <w:tcW w:w="9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(1,323)</w:t>
            </w: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1,323</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withheld upon vesting</w:t>
            </w:r>
          </w:p>
        </w:tc>
        <w:tc>
          <w:tcPr>
            <w:tcW w:w="940" w:type="dxa"/>
            <w:vAlign w:val="bottom"/>
          </w:tcPr>
          <w:p>
            <w:pPr>
              <w:spacing w:after="0"/>
              <w:rPr>
                <w:sz w:val="10"/>
                <w:szCs w:val="10"/>
                <w:color w:val="auto"/>
              </w:rPr>
            </w:pPr>
          </w:p>
        </w:tc>
        <w:tc>
          <w:tcPr>
            <w:tcW w:w="240" w:type="dxa"/>
            <w:vAlign w:val="bottom"/>
            <w:vMerge w:val="restart"/>
          </w:tcPr>
          <w:p>
            <w:pPr>
              <w:spacing w:after="0"/>
              <w:rPr>
                <w:sz w:val="10"/>
                <w:szCs w:val="10"/>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(231)</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(1,766)</w:t>
            </w:r>
          </w:p>
        </w:tc>
        <w:tc>
          <w:tcPr>
            <w:tcW w:w="18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(1,766)</w:t>
            </w:r>
          </w:p>
        </w:tc>
        <w:tc>
          <w:tcPr>
            <w:tcW w:w="0" w:type="dxa"/>
            <w:vAlign w:val="bottom"/>
          </w:tcPr>
          <w:p>
            <w:pPr>
              <w:spacing w:after="0"/>
              <w:rPr>
                <w:sz w:val="1"/>
                <w:szCs w:val="1"/>
                <w:color w:val="auto"/>
              </w:rPr>
            </w:pPr>
          </w:p>
        </w:tc>
      </w:tr>
      <w:tr>
        <w:trPr>
          <w:trHeight w:val="158"/>
        </w:trPr>
        <w:tc>
          <w:tcPr>
            <w:tcW w:w="3080" w:type="dxa"/>
            <w:vAlign w:val="bottom"/>
          </w:tcPr>
          <w:p>
            <w:pPr>
              <w:ind w:left="80"/>
              <w:spacing w:after="0" w:line="158" w:lineRule="exact"/>
              <w:rPr>
                <w:sz w:val="20"/>
                <w:szCs w:val="20"/>
                <w:color w:val="auto"/>
              </w:rPr>
            </w:pPr>
            <w:r>
              <w:rPr>
                <w:rFonts w:ascii="Times New Roman" w:cs="Times New Roman" w:eastAsia="Times New Roman" w:hAnsi="Times New Roman"/>
                <w:sz w:val="14"/>
                <w:szCs w:val="14"/>
                <w:color w:val="auto"/>
              </w:rPr>
              <w:t>of equity compensation</w:t>
            </w:r>
          </w:p>
        </w:tc>
        <w:tc>
          <w:tcPr>
            <w:tcW w:w="9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2024</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91,168</w:t>
            </w:r>
          </w:p>
        </w:tc>
        <w:tc>
          <w:tcPr>
            <w:tcW w:w="2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(18,863)</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9,117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501,097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232,638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(224,667)</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518,185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2,099</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common stock</w:t>
            </w:r>
          </w:p>
        </w:tc>
        <w:tc>
          <w:tcPr>
            <w:tcW w:w="940" w:type="dxa"/>
            <w:vAlign w:val="bottom"/>
          </w:tcPr>
          <w:p>
            <w:pPr>
              <w:spacing w:after="0"/>
              <w:rPr>
                <w:sz w:val="12"/>
                <w:szCs w:val="12"/>
                <w:color w:val="auto"/>
              </w:rPr>
            </w:pPr>
          </w:p>
        </w:tc>
        <w:tc>
          <w:tcPr>
            <w:tcW w:w="14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(802)</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(6,734)</w:t>
            </w:r>
          </w:p>
        </w:tc>
        <w:tc>
          <w:tcPr>
            <w:tcW w:w="1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(6,734)</w:t>
            </w:r>
          </w:p>
        </w:tc>
        <w:tc>
          <w:tcPr>
            <w:tcW w:w="0" w:type="dxa"/>
            <w:vAlign w:val="bottom"/>
          </w:tcPr>
          <w:p>
            <w:pPr>
              <w:spacing w:after="0"/>
              <w:rPr>
                <w:sz w:val="1"/>
                <w:szCs w:val="1"/>
                <w:color w:val="auto"/>
              </w:rPr>
            </w:pPr>
          </w:p>
        </w:tc>
      </w:tr>
      <w:tr>
        <w:trPr>
          <w:trHeight w:val="126"/>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Shares issued restricted stock units</w:t>
            </w:r>
          </w:p>
        </w:tc>
        <w:tc>
          <w:tcPr>
            <w:tcW w:w="940" w:type="dxa"/>
            <w:vAlign w:val="bottom"/>
            <w:shd w:val="clear" w:color="auto" w:fill="CFF0FC"/>
          </w:tcPr>
          <w:p>
            <w:pPr>
              <w:spacing w:after="0"/>
              <w:rPr>
                <w:sz w:val="10"/>
                <w:szCs w:val="10"/>
                <w:color w:val="auto"/>
              </w:rPr>
            </w:pP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(331)</w:t>
            </w:r>
          </w:p>
        </w:tc>
        <w:tc>
          <w:tcPr>
            <w:tcW w:w="16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and ESPP participants</w:t>
            </w:r>
          </w:p>
        </w:tc>
        <w:tc>
          <w:tcPr>
            <w:tcW w:w="94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equity compensation</w:t>
            </w:r>
          </w:p>
        </w:tc>
        <w:tc>
          <w:tcPr>
            <w:tcW w:w="94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0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Shares withheld upon vesting</w:t>
            </w:r>
          </w:p>
        </w:tc>
        <w:tc>
          <w:tcPr>
            <w:tcW w:w="94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spacing w:after="0"/>
              <w:rPr>
                <w:sz w:val="10"/>
                <w:szCs w:val="10"/>
                <w:color w:val="auto"/>
              </w:rPr>
            </w:pPr>
          </w:p>
        </w:tc>
        <w:tc>
          <w:tcPr>
            <w:tcW w:w="12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(410)</w:t>
            </w:r>
          </w:p>
        </w:tc>
        <w:tc>
          <w:tcPr>
            <w:tcW w:w="18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58"/>
        </w:trPr>
        <w:tc>
          <w:tcPr>
            <w:tcW w:w="3080" w:type="dxa"/>
            <w:vAlign w:val="bottom"/>
            <w:shd w:val="clear" w:color="auto" w:fill="CFF0FC"/>
          </w:tcPr>
          <w:p>
            <w:pPr>
              <w:ind w:left="80"/>
              <w:spacing w:after="0" w:line="158" w:lineRule="exact"/>
              <w:rPr>
                <w:sz w:val="20"/>
                <w:szCs w:val="20"/>
                <w:color w:val="auto"/>
              </w:rPr>
            </w:pPr>
            <w:r>
              <w:rPr>
                <w:rFonts w:ascii="Times New Roman" w:cs="Times New Roman" w:eastAsia="Times New Roman" w:hAnsi="Times New Roman"/>
                <w:sz w:val="14"/>
                <w:szCs w:val="14"/>
                <w:color w:val="auto"/>
              </w:rPr>
              <w:t>of equity compensation</w:t>
            </w:r>
          </w:p>
        </w:tc>
        <w:tc>
          <w:tcPr>
            <w:tcW w:w="940" w:type="dxa"/>
            <w:vAlign w:val="bottom"/>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1220" w:type="dxa"/>
            <w:vAlign w:val="bottom"/>
            <w:gridSpan w:val="2"/>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2024</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91,168</w:t>
            </w:r>
          </w:p>
        </w:tc>
        <w:tc>
          <w:tcPr>
            <w:tcW w:w="240" w:type="dxa"/>
            <w:vAlign w:val="bottom"/>
          </w:tcPr>
          <w:p>
            <w:pPr>
              <w:spacing w:after="0"/>
              <w:rPr>
                <w:sz w:val="12"/>
                <w:szCs w:val="12"/>
                <w:color w:val="auto"/>
              </w:rPr>
            </w:pPr>
          </w:p>
        </w:tc>
        <w:tc>
          <w:tcPr>
            <w:tcW w:w="12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(19,547)</w:t>
            </w:r>
          </w:p>
        </w:tc>
        <w:tc>
          <w:tcPr>
            <w:tcW w:w="1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501,422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242,193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(229,939)</w:t>
            </w: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522,793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(25,382)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(25,382)</w:t>
            </w:r>
          </w:p>
        </w:tc>
        <w:tc>
          <w:tcPr>
            <w:tcW w:w="0" w:type="dxa"/>
            <w:vAlign w:val="bottom"/>
          </w:tcPr>
          <w:p>
            <w:pPr>
              <w:spacing w:after="0"/>
              <w:rPr>
                <w:sz w:val="1"/>
                <w:szCs w:val="1"/>
                <w:color w:val="auto"/>
              </w:rPr>
            </w:pPr>
          </w:p>
        </w:tc>
      </w:tr>
      <w:tr>
        <w:trPr>
          <w:trHeight w:val="148"/>
        </w:trPr>
        <w:tc>
          <w:tcPr>
            <w:tcW w:w="308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1,550</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1,550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2024</w:t>
            </w:r>
          </w:p>
        </w:tc>
        <w:tc>
          <w:tcPr>
            <w:tcW w:w="9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91,168</w:t>
            </w:r>
          </w:p>
        </w:tc>
        <w:tc>
          <w:tcPr>
            <w:tcW w:w="2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(19,547)</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9,117</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502,972</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216,811</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(229,939)</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498,961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-3556635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-3556635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-3556635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-3556635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-3556635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-3556635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-3556635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-2896870</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-2896870</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-2896870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-2896870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-2896870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-2896870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-2236470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-2236470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-2236470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-2236470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-2236470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-2236470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-419100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-419100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-419100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-419100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-419100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-419100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-24765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-7620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-128270</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-24765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-7620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-128270</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-128270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-128270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-128270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-128270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77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196"/>
        </w:trPr>
        <w:tc>
          <w:tcPr>
            <w:tcW w:w="7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6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(10,204)</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(2,880)</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(3,013)</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52,484</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short-term investments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Write-downs of property, plant and equipment</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provided (used) by changes in operating assets and liabilities: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(3,890)</w:t>
            </w: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insurance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12,832</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Supplies, prepaid items and other</w:t>
            </w: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(1,955)</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(842)</w:t>
            </w: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(15,206)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interest</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assets and other liabilities</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8"/>
                <w:szCs w:val="18"/>
                <w:color w:val="auto"/>
              </w:rPr>
            </w:pP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77,575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82,600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(56,325)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(64,087)</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short-term investments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211,423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236,493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(171,825)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(190,646)</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(18,380)</w:t>
            </w:r>
          </w:p>
        </w:tc>
      </w:tr>
      <w:tr>
        <w:trPr>
          <w:trHeight w:val="216"/>
        </w:trPr>
        <w:tc>
          <w:tcPr>
            <w:tcW w:w="77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revolving debt facility</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revolving debt facility</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Repurchases of 6.25% Senior Secured Notes</w:t>
            </w: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(32,076)</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(92,216)</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other long-term debt</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(9,024)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(3,986)</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 on short-term financing</w:t>
            </w: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(10,761)</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(11,870)</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treasury stock, net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(12,032)</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Taxes paid on equity awards</w:t>
            </w: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(2,176)</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debt-related costs</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r>
      <w:tr>
        <w:trPr>
          <w:trHeight w:val="210"/>
        </w:trPr>
        <w:tc>
          <w:tcPr>
            <w:tcW w:w="7760" w:type="dxa"/>
            <w:vAlign w:val="bottom"/>
            <w:tcBorders>
              <w:top w:val="single" w:sz="8" w:color="CFF0FC"/>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(52,912)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(122,969)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(58,749)</w:t>
            </w:r>
          </w:p>
        </w:tc>
      </w:tr>
      <w:tr>
        <w:trPr>
          <w:trHeight w:val="216"/>
        </w:trPr>
        <w:tc>
          <w:tcPr>
            <w:tcW w:w="7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27,951</w:t>
            </w:r>
          </w:p>
        </w:tc>
        <w:tc>
          <w:tcPr>
            <w:tcW w:w="16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42,283</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9460" w:type="dxa"/>
            <w:vAlign w:val="bottom"/>
            <w:gridSpan w:val="4"/>
          </w:tcPr>
          <w:p>
            <w:pPr>
              <w:ind w:left="250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75"/>
        </w:trPr>
        <w:tc>
          <w:tcPr>
            <w:tcW w:w="77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-3479800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-1259205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0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All references to “LSB Industries,” “LSB,” the “Company,” “we,” “us,” and “our” refer to LSB Industries, Inc. and its subsidiaries on a consolidated basis, except where the context makes clear that the reference is only to LSB Industries, Inc. itself and not its subsidiaries. The accompanying unaudited interim financial statements and notes of LSB have been prepared pursuant to the rules and regulations of the Securities and Exchange Commission (the “SEC”). Pursuant to such rules and regulations, certain disclosures normally included in financial statements prepared in accordance with United States generally accepted accounting principles (“U.S. GAAP”) have been omitted. The accompanying unaudited condensed consolidated interim financial statements and notes should be read in conjunction with the financial statements and notes included in the Company’s Annual Report on Form 10-K for the year ended December 31, 2024 (our “2024 Form 10-K”), filed with the SEC on February 27, 2025. The accompanying unaudited interim financial statements in this report reflect all adjustments that are, in the opinion of management, necessary for a fair statement of the Company’s results of operations and cash flows for the three and nine months ended September 30, 2025 and 2024 and the Company’s financial position as of September 30, 2025.</w:t>
      </w:r>
    </w:p>
    <w:p>
      <w:pPr>
        <w:spacing w:after="0" w:line="3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Consolidation – </w:t>
      </w:r>
      <w:r>
        <w:rPr>
          <w:rFonts w:ascii="Times New Roman" w:cs="Times New Roman" w:eastAsia="Times New Roman" w:hAnsi="Times New Roman"/>
          <w:sz w:val="18"/>
          <w:szCs w:val="18"/>
          <w:color w:val="auto"/>
        </w:rPr>
        <w:t>LSB Industries, Inc. and its subsidiaries are consolidated in the accompanying unaudited condensed consolidated interim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All intercompany accounts and transactions have been eliminated. Certain prior period amounts reported in our unaudited condensed consolidated interim financial statements and notes thereto have been reclassified to conform to current period presentation.</w:t>
      </w:r>
    </w:p>
    <w:p>
      <w:pPr>
        <w:spacing w:after="0" w:line="4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Nature of Business – </w:t>
      </w:r>
      <w:r>
        <w:rPr>
          <w:rFonts w:ascii="Times New Roman" w:cs="Times New Roman" w:eastAsia="Times New Roman" w:hAnsi="Times New Roman"/>
          <w:sz w:val="18"/>
          <w:szCs w:val="18"/>
          <w:color w:val="auto"/>
        </w:rPr>
        <w:t>We are engaged in the manufacture and sale of chemical products. The chemical products we primarily manufacture, market and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(i) ammonia and urea ammonia nitrate (“UAN”) for agricultural applications, and (ii) high purity and commercial grade ammonia, high purity ammonium nitrate, sulfuric acids, concentrated, blended and regular nitric acid, mixed nitrating acids, carbon dioxide, and industrial grade ammonium nitrate (“LDAN”) and ammonium nitrate (“AN”) solutions for industrial applications. We manufacture and distribute products in four facilities; three of which we own and are located in El Dorado, Arkansas (the “El Dorado Facility”); Cherokee, Alabama (the “Cherokee Facility”); and Pryor, Oklahoma (the “Pryor Facility”); and one of which we operate on behalf of Covestro LLC in Baytown, Texas.</w:t>
      </w:r>
    </w:p>
    <w:p>
      <w:pPr>
        <w:spacing w:after="0" w:line="6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customers include farmers, ranchers, fertilizer dealers and distributors primarily in the ranch land and grain production markets in the United States; industrial users of acids throughout the United States and parts of Canada; and explosives manufacturers in United States and other parts of North America.</w:t>
      </w:r>
    </w:p>
    <w:p>
      <w:pPr>
        <w:spacing w:after="0" w:line="2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Seasonality – </w:t>
      </w:r>
      <w:r>
        <w:rPr>
          <w:rFonts w:ascii="Times New Roman" w:cs="Times New Roman" w:eastAsia="Times New Roman" w:hAnsi="Times New Roman"/>
          <w:sz w:val="18"/>
          <w:szCs w:val="18"/>
          <w:color w:val="auto"/>
        </w:rPr>
        <w:t>These interim results are not necessarily indicative of results for a full year due, in part, to the seasonality of our sales of agricultural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4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 </w:t>
      </w:r>
      <w:r>
        <w:rPr>
          <w:rFonts w:ascii="Times New Roman" w:cs="Times New Roman" w:eastAsia="Times New Roman" w:hAnsi="Times New Roman"/>
          <w:sz w:val="18"/>
          <w:szCs w:val="18"/>
          <w:color w:val="auto"/>
        </w:rPr>
        <w:t>The preparation of consolidated financial statements in conformity with U.S.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4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 </w:t>
      </w:r>
      <w:r>
        <w:rPr>
          <w:rFonts w:ascii="Times New Roman" w:cs="Times New Roman" w:eastAsia="Times New Roman" w:hAnsi="Times New Roman"/>
          <w:sz w:val="18"/>
          <w:szCs w:val="18"/>
          <w:color w:val="auto"/>
        </w:rPr>
        <w:t>Investments, which consist of highly liquid investments with original maturities of three months or less, are considered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w:t>
      </w:r>
    </w:p>
    <w:p>
      <w:pPr>
        <w:spacing w:after="0" w:line="4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Short-Term Investments </w:t>
      </w:r>
      <w:r>
        <w:rPr>
          <w:rFonts w:ascii="Times New Roman" w:cs="Times New Roman" w:eastAsia="Times New Roman" w:hAnsi="Times New Roman"/>
          <w:sz w:val="18"/>
          <w:szCs w:val="18"/>
          <w:color w:val="auto"/>
        </w:rPr>
        <w:t>– Investments, which consist of U.S. treasury securities with remaining maturity at the time of purchase greater than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but less than 12 months, are considered short-term investments and are classified as Level 1 under the fair value hierarchy. These investments are classified as held to maturity, consistent with our intent to hold these investments to maturity. U.S. treasury bills with remaining maturity at the time of purchase of three months or less are included in cash and cash equivalents. Due to the nature of these investments as U.S. treasury securities, no impairment is anticipated. See “Note 6. Financial Instruments” for more information regarding our short-term investments.</w:t>
      </w:r>
    </w:p>
    <w:p>
      <w:pPr>
        <w:spacing w:after="0" w:line="4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 Substantially all of our accounts receivable consists of trade receivables from customers. We have recognized an appropriate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for estimated uncollectible accounts to reflect any estimate of expected credit losses. Our estimate is based on historical experience and periodic assessment, particularly on accounts that are past due (based upon the terms of the sale). Our periodic assessment is based on our best estimate of amounts that are not recoverable, which includes a present collectability review and forward-looking assessment, where applicable. We write off accounts receivable when we deem them uncollectible and record recoveries of accounts receivable previously written off when received.</w:t>
      </w:r>
    </w:p>
    <w:p>
      <w:pPr>
        <w:spacing w:after="0" w:line="58"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 Long-lived assets are reviewed for impairment whenever events or changes in circumstances indicate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carrying amount of an asset (asset group) may not be recoverable. An asset’s fair value must be determined when the carrying amount of an asset (asset group) exceeds the estimated undiscounted future cash flows expected to result from the use of the asset (asset group) and/or its eventual disposition. If assets to be held and used are considered to be impaired, the impairment to be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recognized is the amount by which the carrying amounts of the assets exceed the fair values of the assets as measured by the present value of future net cash flows expected to be generated by the assets or their appraised value. In general, our asset groups are reviewed for impairment on a facility-by-facility basis (such as the Cherokee, El Dorado or Pryor Facility) unless it is determined that the asset being evaluated will generate cash flows that are independent from the rest of the facility.</w:t>
      </w:r>
    </w:p>
    <w:p>
      <w:pPr>
        <w:spacing w:after="0" w:line="7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addition, if the event or change in circumstance relates to the probable sale of an asset (or group of assets), the specific asset (or group of assets) is reviewed for impairment.</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we recorded asset write-downs in the amount of $0.4 million and $3.0 million, respectively. For the three and nine months ended September 30, 2024, we recorded asset write-downs in the amount of $5.6 million and $8.6 million, respectively. These asset write-downs are included in “Other (income) expense, net” on our condensed consolidated statements of operations.</w:t>
      </w:r>
    </w:p>
    <w:p>
      <w:pPr>
        <w:spacing w:after="0" w:line="17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Assets Held For Sale </w:t>
      </w:r>
      <w:r>
        <w:rPr>
          <w:rFonts w:ascii="Times New Roman" w:cs="Times New Roman" w:eastAsia="Times New Roman" w:hAnsi="Times New Roman"/>
          <w:sz w:val="18"/>
          <w:szCs w:val="18"/>
          <w:color w:val="auto"/>
        </w:rPr>
        <w:t>– In general, assets held for sale are reported at the lower of the carrying amounts of the assets or fair values less costs to sell.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nine months ended September 30, 2025, we entered into purchase and sale agreements for the disposition of real estate and tangible property at two of our former agricultural retail locations that ceased operations. We closed on the sale of the first location on October 20, 2025 and expect to close on the second location before the end of the year. The total purchase price for the real estate and tangible personal property at both locations is approximately $4.2 million. The assets classified as held for sale on the condensed consolidated balance sheet as of September 30, 2025, reflect the net book value of the disposal group at the two locations.</w:t>
      </w:r>
    </w:p>
    <w:p>
      <w:pPr>
        <w:spacing w:after="0" w:line="7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Short-Term Financing </w:t>
      </w:r>
      <w:r>
        <w:rPr>
          <w:rFonts w:ascii="Times New Roman" w:cs="Times New Roman" w:eastAsia="Times New Roman" w:hAnsi="Times New Roman"/>
          <w:sz w:val="18"/>
          <w:szCs w:val="18"/>
          <w:color w:val="auto"/>
        </w:rPr>
        <w:t>– Our short-term financing represents the short-term note related to financing of our insurance premium, which is renewed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annually.</w:t>
      </w:r>
    </w:p>
    <w:p>
      <w:pPr>
        <w:spacing w:after="0" w:line="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color w:val="auto"/>
        </w:rPr>
        <w:t>– Certain conditions may exist which may result in a loss, but which will only be resolved when future events occur. We assess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liabilities, and such assessment inherently involves an exercise of judgment. If the assessment of a contingency indicates that it is probable that a loss has been incurred, we accrue for such contingent loss when such loss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Derivatives, Hedges and Financial Instruments </w:t>
      </w:r>
      <w:r>
        <w:rPr>
          <w:rFonts w:ascii="Times New Roman" w:cs="Times New Roman" w:eastAsia="Times New Roman" w:hAnsi="Times New Roman"/>
          <w:sz w:val="18"/>
          <w:szCs w:val="18"/>
          <w:color w:val="auto"/>
        </w:rPr>
        <w:t>– In order to mitigate a portion of the commodity price risk associated with natural gas, which we utilize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our manufacturing process, we periodically enter into natural gas forward contracts or volume purchase commitments. Such contracts are required to be accounted for as derivatives under applicable accounting guidance unless they are eligible for and we elect the normal purchase normal sale (“NPNS”) exception. We are eligible for the NPNS exception when these contracts provide for the purchase of natural gas that will be delivered in quantities expected to be used over a reasonable period of time in the normal course of business and are documented as such. In the event that we have natural gas derivatives that we do not elect or do not qualify for the NPNS exception, we would account for such contracts as derivatives by recognizing them in the balance sheet at fair value with changes in fair value recognized in the statement of operations. Such derivatives are not designated as hedges for accounting purposes.</w:t>
      </w:r>
    </w:p>
    <w:p>
      <w:pPr>
        <w:spacing w:after="0" w:line="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using the following hierarchy, which is based upon the transparency of inputs to the valuation as of the measurement date:</w:t>
      </w:r>
    </w:p>
    <w:p>
      <w:pPr>
        <w:spacing w:after="0" w:line="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Valuations of contracts classified as Level 1 are based on quoted prices in active markets for identical contracts.</w:t>
      </w:r>
    </w:p>
    <w:p>
      <w:pPr>
        <w:spacing w:after="0" w:line="117" w:lineRule="exact"/>
        <w:rPr>
          <w:sz w:val="20"/>
          <w:szCs w:val="20"/>
          <w:color w:val="auto"/>
        </w:rPr>
      </w:pPr>
    </w:p>
    <w:p>
      <w:pPr>
        <w:ind w:left="380"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Valuations of contracts classified as Level 2 are based on quoted prices for similar contracts and valuation inputs other than quoted prices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observable for these contracts.</w:t>
      </w:r>
    </w:p>
    <w:p>
      <w:pPr>
        <w:spacing w:after="0" w:line="47" w:lineRule="exact"/>
        <w:rPr>
          <w:sz w:val="20"/>
          <w:szCs w:val="20"/>
          <w:color w:val="auto"/>
        </w:rPr>
      </w:pPr>
    </w:p>
    <w:p>
      <w:pPr>
        <w:ind w:left="380" w:right="7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Valuations of assets and liabilities classified as Level 3 are based on prices or valuation techniques that require inputs that are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unobservable and significant to the overall fair value measurement.</w:t>
      </w:r>
    </w:p>
    <w:p>
      <w:pPr>
        <w:spacing w:after="0" w:line="4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We are the lessee in most of the lease arrangements we enter into. We determine if an arrangement is a lease at inception or modification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and classify each lease as either an operating or finance lease based on the terms of the contract. We reassess lease classification subsequent to commencement upon a change to the expected lease term or a modification to the contract. A contract contains a lease if the contract conveys the right to control the use of the identified property or equipment, explicitly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implicitly, for a period of time in exchange for consideration. Control of an underlying asset is conveyed if we obtain the rights to direct the use of and obtain substantially all of the economic benefit from the use of the underlying asset.</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 operating lease asset represents our right to use the underlying asset as a lessee for the lease term and an operating lease liability represents our obligation to make lease payments arising from the lease. Currently, most of our leases are classified as operating leases and primarily relate to railcars, other equipment and office space. Our leases that are classified as finance leases primarily relate to railcars. Variable payments are excluded from the present value of lease payments and are recognized in the period in which the payment is made. Our current leases do not contain residual value guarantees. Most of our leases do not include options to extend or terminate the lease prior to the end of the term. Leases with a term of 12 months or less are not recognized in the balance sheet.</w:t>
      </w:r>
    </w:p>
    <w:p>
      <w:pPr>
        <w:spacing w:after="0" w:line="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a lessee, we use our incremental borrowing rate based on the lease term and other information available at the commencement date in determining the present value of lease payments. Lease expense is recognized on a straight-line basis over the applicable lease term.</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From time to time when we have excess freight capacity, we may sublease a portion of our railcars fleet on a short-term basis to other parties. The income from these subleases is recorded as a component of “Other expense, net” in our condensed consolidated statements of operations. For the three and nine months ended September 30, 2025, sublease income was $0.1 million and $0.3 million, respectively. For the three and nine months ended September 30, 2024, sublease income was $0.1 million and $0.9 million, respectively.</w:t>
      </w:r>
    </w:p>
    <w:p>
      <w:pPr>
        <w:spacing w:after="0" w:line="7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September 30, 2025, we had an executed operating lease for railcars with a lease term greater than one year with aggregate lease payments of approximately $4.0 million which lease has not yet commenced.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ASU 2023-06 - </w:t>
      </w:r>
      <w:r>
        <w:rPr>
          <w:rFonts w:ascii="Times New Roman" w:cs="Times New Roman" w:eastAsia="Times New Roman" w:hAnsi="Times New Roman"/>
          <w:sz w:val="18"/>
          <w:szCs w:val="18"/>
          <w:color w:val="auto"/>
        </w:rPr>
        <w:t>In October 2023, the Financial Accounting Standards Board (“FASB”) issued Accounting Standards Update (“ASU”) 2023-06,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Improvements—Codification Amendments in Response to the SEC’s Disclosure Update and Simplification Initiative</w:t>
      </w:r>
      <w:r>
        <w:rPr>
          <w:rFonts w:ascii="Times New Roman" w:cs="Times New Roman" w:eastAsia="Times New Roman" w:hAnsi="Times New Roman"/>
          <w:sz w:val="18"/>
          <w:szCs w:val="18"/>
          <w:color w:val="auto"/>
        </w:rPr>
        <w:t>, which modifies the disclosure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 requirements of a variety of topics in the codification. Certain of the amendments represent clarifications to or technical corrections of the current requirements. For all entities, if by June 30, 2027, the SEC has not removed the applicable requirement from Regulation S-X or Regulation S-K, the pending content of the related amendment will be removed from the codification and will not become effective for any entity. These amendments should be applied prospectively. We are currently evaluating the timing and the effect of adoption of this ASU on our consolidated financial statements and related disclosures.</w:t>
      </w:r>
    </w:p>
    <w:p>
      <w:pPr>
        <w:spacing w:after="0" w:line="7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ASU 2023-09 </w:t>
      </w:r>
      <w:r>
        <w:rPr>
          <w:rFonts w:ascii="Times New Roman" w:cs="Times New Roman" w:eastAsia="Times New Roman" w:hAnsi="Times New Roman"/>
          <w:sz w:val="18"/>
          <w:szCs w:val="18"/>
          <w:color w:val="auto"/>
        </w:rPr>
        <w:t>- In December 2023, the FASB issued ASU 2023-09,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focuses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income tax disclosures around effective tax rates and cash income taxes paid. This ASU will be effective for us on a prospective basis for annual periods beginning after December 15, 2024. We will adopt this ASU prospectively for the period ending December 31, 2025, and it will impact only our disclosures, with no impact to our financial condition and results of operations. We do not expect the impact of this update to be material, as the improvements are enhancements to existing disclosures in the financial statements.</w:t>
      </w:r>
    </w:p>
    <w:p>
      <w:pPr>
        <w:spacing w:after="0" w:line="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ASU 2024-03 - </w:t>
      </w: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This ASU requires an entity to disclose the amounts of purchases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employee compensation, depreciation, and intangible asset amortization included in each relevant expense caption. It also requires an entity to include certain amounts that are already required to be disclosed under current U.S.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While this ASU will impact only our disclosures and not our financial condition and results of operations, we are currently evaluating the timing and effect of adopting this ASU.</w:t>
      </w:r>
    </w:p>
    <w:p>
      <w:pPr>
        <w:spacing w:after="0" w:line="7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ASU 2025-05 - </w:t>
      </w:r>
      <w:r>
        <w:rPr>
          <w:rFonts w:ascii="Times New Roman" w:cs="Times New Roman" w:eastAsia="Times New Roman" w:hAnsi="Times New Roman"/>
          <w:sz w:val="18"/>
          <w:szCs w:val="18"/>
          <w:color w:val="auto"/>
        </w:rPr>
        <w:t>In July 2025, the FASB issued ASU 2025-05,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Financial Instruments—Credit Losses (Topic 326): Measurements of Credit Losses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Accounts Receivable and Contract Assets (“ASU 2025-05”)</w:t>
      </w:r>
      <w:r>
        <w:rPr>
          <w:rFonts w:ascii="Times New Roman" w:cs="Times New Roman" w:eastAsia="Times New Roman" w:hAnsi="Times New Roman"/>
          <w:sz w:val="18"/>
          <w:szCs w:val="18"/>
          <w:color w:val="auto"/>
        </w:rPr>
        <w:t>. The amendments in this ASU provide a practical expedient related to the estimation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losses for current accounts receivable and current contract assets that arise from transactions accounted for under Accounting Standards Codification 606. Under ASU 2025-05, an entity is required to disclose whether it has elected to use the practical expedient. An entity that makes the accounting policy election is required to disclose the date through which subsequent cash collections are evaluated. ASU 2025-05 is effective for us beginning in the fiscal year ending December 31, 2026. We are currently evaluating the impacts of the adoption of this ASU on our consolidated financial statements and related disclosures.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Changes to U.S. GAAP are established by the FASB in the form of ASUs to the FASB’s Accounting Standards Codification. We considered all ASUs issued and outstanding or that became effective since January 1, 2025 through the date of these financial statements and determined them not to be applicable or materially impact our financial statements other than those ASUs specifically addressed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Income (Loss) per Common Share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322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28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(25,382)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4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Numerator for basic and diluted net</w:t>
            </w:r>
          </w:p>
        </w:tc>
        <w:tc>
          <w:tcPr>
            <w:tcW w:w="840" w:type="dxa"/>
            <w:vAlign w:val="bottom"/>
            <w:vMerge w:val="restart"/>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3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(25,382)</w:t>
            </w: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5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(10,204)</w:t>
            </w:r>
          </w:p>
        </w:tc>
        <w:tc>
          <w:tcPr>
            <w:tcW w:w="0" w:type="dxa"/>
            <w:vAlign w:val="bottom"/>
          </w:tcPr>
          <w:p>
            <w:pPr>
              <w:spacing w:after="0"/>
              <w:rPr>
                <w:sz w:val="1"/>
                <w:szCs w:val="1"/>
                <w:color w:val="auto"/>
              </w:rPr>
            </w:pPr>
          </w:p>
        </w:tc>
      </w:tr>
      <w:tr>
        <w:trPr>
          <w:trHeight w:val="234"/>
        </w:trPr>
        <w:tc>
          <w:tcPr>
            <w:tcW w:w="4940" w:type="dxa"/>
            <w:vAlign w:val="bottom"/>
            <w:shd w:val="clear" w:color="auto" w:fill="CFF0FC"/>
          </w:tcPr>
          <w:p>
            <w:pPr>
              <w:ind w:left="180"/>
              <w:spacing w:after="0" w:line="194" w:lineRule="exact"/>
              <w:rPr>
                <w:sz w:val="20"/>
                <w:szCs w:val="20"/>
                <w:color w:val="auto"/>
              </w:rPr>
            </w:pPr>
            <w:r>
              <w:rPr>
                <w:rFonts w:ascii="Times New Roman" w:cs="Times New Roman" w:eastAsia="Times New Roman" w:hAnsi="Times New Roman"/>
                <w:sz w:val="18"/>
                <w:szCs w:val="18"/>
                <w:color w:val="auto"/>
              </w:rPr>
              <w:t>income (loss) per common share</w:t>
            </w:r>
          </w:p>
        </w:tc>
        <w:tc>
          <w:tcPr>
            <w:tcW w:w="840" w:type="dxa"/>
            <w:vAlign w:val="bottom"/>
            <w:vMerge w:val="continue"/>
            <w:shd w:val="clear" w:color="auto" w:fill="CFF0FC"/>
          </w:tcPr>
          <w:p>
            <w:pPr>
              <w:spacing w:after="0"/>
              <w:rPr>
                <w:sz w:val="20"/>
                <w:szCs w:val="20"/>
                <w:color w:val="auto"/>
              </w:rPr>
            </w:pPr>
          </w:p>
        </w:tc>
        <w:tc>
          <w:tcPr>
            <w:tcW w:w="540" w:type="dxa"/>
            <w:vAlign w:val="bottom"/>
            <w:vMerge w:val="continue"/>
            <w:shd w:val="clear" w:color="auto" w:fill="CFF0FC"/>
          </w:tcPr>
          <w:p>
            <w:pPr>
              <w:spacing w:after="0"/>
              <w:rPr>
                <w:sz w:val="20"/>
                <w:szCs w:val="20"/>
                <w:color w:val="auto"/>
              </w:rPr>
            </w:pPr>
          </w:p>
        </w:tc>
        <w:tc>
          <w:tcPr>
            <w:tcW w:w="360" w:type="dxa"/>
            <w:vAlign w:val="bottom"/>
            <w:gridSpan w:val="2"/>
            <w:vMerge w:val="continue"/>
            <w:shd w:val="clear" w:color="auto" w:fill="CFF0FC"/>
          </w:tcPr>
          <w:p>
            <w:pPr>
              <w:spacing w:after="0"/>
              <w:rPr>
                <w:sz w:val="20"/>
                <w:szCs w:val="20"/>
                <w:color w:val="auto"/>
              </w:rPr>
            </w:pPr>
          </w:p>
        </w:tc>
        <w:tc>
          <w:tcPr>
            <w:tcW w:w="1480" w:type="dxa"/>
            <w:vAlign w:val="bottom"/>
            <w:gridSpan w:val="2"/>
            <w:vMerge w:val="continue"/>
            <w:shd w:val="clear" w:color="auto" w:fill="CFF0FC"/>
          </w:tcPr>
          <w:p>
            <w:pPr>
              <w:spacing w:after="0"/>
              <w:rPr>
                <w:sz w:val="20"/>
                <w:szCs w:val="20"/>
                <w:color w:val="auto"/>
              </w:rPr>
            </w:pPr>
          </w:p>
        </w:tc>
        <w:tc>
          <w:tcPr>
            <w:tcW w:w="240" w:type="dxa"/>
            <w:vAlign w:val="bottom"/>
            <w:vMerge w:val="continue"/>
            <w:shd w:val="clear" w:color="auto" w:fill="CFF0FC"/>
          </w:tcPr>
          <w:p>
            <w:pPr>
              <w:spacing w:after="0"/>
              <w:rPr>
                <w:sz w:val="20"/>
                <w:szCs w:val="20"/>
                <w:color w:val="auto"/>
              </w:rPr>
            </w:pPr>
          </w:p>
        </w:tc>
        <w:tc>
          <w:tcPr>
            <w:tcW w:w="1120" w:type="dxa"/>
            <w:vAlign w:val="bottom"/>
            <w:vMerge w:val="continue"/>
            <w:shd w:val="clear" w:color="auto" w:fill="CFF0FC"/>
          </w:tcPr>
          <w:p>
            <w:pPr>
              <w:spacing w:after="0"/>
              <w:rPr>
                <w:sz w:val="20"/>
                <w:szCs w:val="20"/>
                <w:color w:val="auto"/>
              </w:rPr>
            </w:pPr>
          </w:p>
        </w:tc>
        <w:tc>
          <w:tcPr>
            <w:tcW w:w="560" w:type="dxa"/>
            <w:vAlign w:val="bottom"/>
            <w:gridSpan w:val="2"/>
            <w:vMerge w:val="continue"/>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940" w:type="dxa"/>
            <w:vAlign w:val="bottom"/>
            <w:tcBorders>
              <w:top w:val="single" w:sz="8" w:color="CFF0FC"/>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Denominator for basic net income (loss) per</w:t>
            </w:r>
          </w:p>
        </w:tc>
        <w:tc>
          <w:tcPr>
            <w:tcW w:w="84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71,963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71,672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71,904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72,070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94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color w:val="auto"/>
              </w:rPr>
              <w:t>common share - adjusted weighted-average shares</w:t>
            </w:r>
          </w:p>
        </w:tc>
        <w:tc>
          <w:tcPr>
            <w:tcW w:w="8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Effect of dilutive securities:</w:t>
            </w: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Unvested restricted stock and stock units</w:t>
            </w: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4940" w:type="dxa"/>
            <w:vAlign w:val="bottom"/>
            <w:tcBorders>
              <w:top w:val="single" w:sz="8" w:color="CFF0FC"/>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Denominator for diluted net income (loss) per</w:t>
            </w:r>
          </w:p>
        </w:tc>
        <w:tc>
          <w:tcPr>
            <w:tcW w:w="8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72,473</w:t>
            </w:r>
          </w:p>
        </w:tc>
        <w:tc>
          <w:tcPr>
            <w:tcW w:w="24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71,672</w:t>
            </w:r>
          </w:p>
        </w:tc>
        <w:tc>
          <w:tcPr>
            <w:tcW w:w="24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72,249</w:t>
            </w:r>
          </w:p>
        </w:tc>
        <w:tc>
          <w:tcPr>
            <w:tcW w:w="24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72,070</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4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color w:val="auto"/>
              </w:rPr>
              <w:t>common share - adjusted weighted-average shares</w:t>
            </w:r>
          </w:p>
        </w:tc>
        <w:tc>
          <w:tcPr>
            <w:tcW w:w="8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-1876425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-1859915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-1876425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-1859915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-1876425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-1859915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-882015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-882015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-882015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securities were not included in the computation of diluted net income (loss) per common share as their effect would have been antidilutive: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338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60" w:type="dxa"/>
            <w:vAlign w:val="bottom"/>
            <w:tcBorders>
              <w:bottom w:val="single" w:sz="8" w:color="auto"/>
            </w:tcBorders>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340" w:type="dxa"/>
            <w:vAlign w:val="bottom"/>
          </w:tcPr>
          <w:p>
            <w:pPr>
              <w:spacing w:after="0"/>
              <w:rPr>
                <w:sz w:val="12"/>
                <w:szCs w:val="12"/>
                <w:color w:val="auto"/>
              </w:rPr>
            </w:pPr>
          </w:p>
        </w:tc>
        <w:tc>
          <w:tcPr>
            <w:tcW w:w="1620" w:type="dxa"/>
            <w:vAlign w:val="bottom"/>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760" w:type="dxa"/>
            <w:vAlign w:val="bottom"/>
            <w:gridSpan w:val="2"/>
          </w:tcPr>
          <w:p>
            <w:pPr>
              <w:jc w:val="right"/>
              <w:ind w:right="5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34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and stock units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246,449</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1,630,923</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962,939</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1,004,478</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13,000</w:t>
            </w:r>
          </w:p>
        </w:tc>
      </w:tr>
      <w:tr>
        <w:trPr>
          <w:trHeight w:val="250"/>
        </w:trPr>
        <w:tc>
          <w:tcPr>
            <w:tcW w:w="43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246,449</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1,643,923</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962,939</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1,017,478</w:t>
            </w:r>
          </w:p>
        </w:tc>
      </w:tr>
      <w:tr>
        <w:trPr>
          <w:trHeight w:val="413"/>
        </w:trPr>
        <w:tc>
          <w:tcPr>
            <w:tcW w:w="4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3. Accrued and Other Liabilities</w:t>
            </w:r>
          </w:p>
        </w:tc>
        <w:tc>
          <w:tcPr>
            <w:tcW w:w="16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365"/>
        </w:trPr>
        <w:tc>
          <w:tcPr>
            <w:tcW w:w="4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r>
      <w:tr>
        <w:trPr>
          <w:trHeight w:val="142"/>
        </w:trPr>
        <w:tc>
          <w:tcPr>
            <w:tcW w:w="4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840" w:type="dxa"/>
            <w:vAlign w:val="bottom"/>
            <w:gridSpan w:val="5"/>
          </w:tcPr>
          <w:p>
            <w:pPr>
              <w:jc w:val="right"/>
              <w:ind w:right="1153"/>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2"/>
                <w:szCs w:val="12"/>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180" w:type="dxa"/>
            <w:vAlign w:val="bottom"/>
            <w:shd w:val="clear" w:color="auto" w:fill="CFF0FC"/>
          </w:tcPr>
          <w:p>
            <w:pPr>
              <w:spacing w:after="0"/>
              <w:rPr>
                <w:sz w:val="18"/>
                <w:szCs w:val="18"/>
                <w:color w:val="auto"/>
              </w:rPr>
            </w:pPr>
          </w:p>
        </w:tc>
        <w:tc>
          <w:tcPr>
            <w:tcW w:w="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100" w:type="dxa"/>
            <w:vAlign w:val="bottom"/>
          </w:tcPr>
          <w:p>
            <w:pPr>
              <w:spacing w:after="0"/>
              <w:rPr>
                <w:sz w:val="18"/>
                <w:szCs w:val="18"/>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0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100" w:type="dxa"/>
            <w:vAlign w:val="bottom"/>
          </w:tcPr>
          <w:p>
            <w:pPr>
              <w:spacing w:after="0"/>
              <w:rPr>
                <w:sz w:val="18"/>
                <w:szCs w:val="18"/>
                <w:color w:val="auto"/>
              </w:rPr>
            </w:pPr>
          </w:p>
        </w:tc>
      </w:tr>
      <w:tr>
        <w:trPr>
          <w:trHeight w:val="209"/>
        </w:trPr>
        <w:tc>
          <w:tcPr>
            <w:tcW w:w="43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33,563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31,330</w:t>
            </w:r>
          </w:p>
        </w:tc>
        <w:tc>
          <w:tcPr>
            <w:tcW w:w="10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Less noncurrent portion</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8"/>
                <w:szCs w:val="18"/>
                <w:color w:val="auto"/>
              </w:rPr>
            </w:pPr>
          </w:p>
        </w:tc>
      </w:tr>
      <w:tr>
        <w:trPr>
          <w:trHeight w:val="24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accrued and other liabilities</w:t>
            </w:r>
          </w:p>
        </w:tc>
        <w:tc>
          <w:tcPr>
            <w:tcW w:w="1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33,107</w:t>
            </w:r>
          </w:p>
        </w:tc>
        <w:tc>
          <w:tcPr>
            <w:tcW w:w="180" w:type="dxa"/>
            <w:vAlign w:val="bottom"/>
            <w:shd w:val="clear" w:color="auto" w:fill="CFF0FC"/>
          </w:tcPr>
          <w:p>
            <w:pPr>
              <w:spacing w:after="0"/>
              <w:rPr>
                <w:sz w:val="21"/>
                <w:szCs w:val="21"/>
                <w:color w:val="auto"/>
              </w:rPr>
            </w:pPr>
          </w:p>
        </w:tc>
        <w:tc>
          <w:tcPr>
            <w:tcW w:w="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30,874</w:t>
            </w:r>
          </w:p>
        </w:tc>
        <w:tc>
          <w:tcPr>
            <w:tcW w:w="100" w:type="dxa"/>
            <w:vAlign w:val="bottom"/>
            <w:shd w:val="clear" w:color="auto" w:fill="CFF0FC"/>
          </w:tcPr>
          <w:p>
            <w:pPr>
              <w:spacing w:after="0"/>
              <w:rPr>
                <w:sz w:val="21"/>
                <w:szCs w:val="21"/>
                <w:color w:val="auto"/>
              </w:rPr>
            </w:pPr>
          </w:p>
        </w:tc>
      </w:tr>
      <w:tr>
        <w:trPr>
          <w:trHeight w:val="629"/>
        </w:trPr>
        <w:tc>
          <w:tcPr>
            <w:tcW w:w="4340" w:type="dxa"/>
            <w:vAlign w:val="bottom"/>
            <w:tcBorders>
              <w:top w:val="single" w:sz="8" w:color="CFF0FC"/>
            </w:tcBorders>
          </w:tcPr>
          <w:p>
            <w:pPr>
              <w:spacing w:after="0"/>
              <w:rPr>
                <w:sz w:val="24"/>
                <w:szCs w:val="24"/>
                <w:color w:val="auto"/>
              </w:rPr>
            </w:pPr>
          </w:p>
        </w:tc>
        <w:tc>
          <w:tcPr>
            <w:tcW w:w="1620" w:type="dxa"/>
            <w:vAlign w:val="bottom"/>
            <w:tcBorders>
              <w:top w:val="single" w:sz="8" w:color="CFF0FC"/>
            </w:tcBorders>
          </w:tcPr>
          <w:p>
            <w:pPr>
              <w:jc w:val="right"/>
              <w:ind w:right="156"/>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CFF0FC"/>
            </w:tcBorders>
          </w:tcPr>
          <w:p>
            <w:pPr>
              <w:spacing w:after="0"/>
              <w:rPr>
                <w:sz w:val="24"/>
                <w:szCs w:val="24"/>
                <w:color w:val="auto"/>
              </w:rPr>
            </w:pPr>
          </w:p>
        </w:tc>
        <w:tc>
          <w:tcPr>
            <w:tcW w:w="160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3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-2545080</wp:posOffset>
            </wp:positionV>
            <wp:extent cx="102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-2527935</wp:posOffset>
            </wp:positionV>
            <wp:extent cx="1028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-2545080</wp:posOffset>
            </wp:positionV>
            <wp:extent cx="939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-2527935</wp:posOffset>
            </wp:positionV>
            <wp:extent cx="939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-2545080</wp:posOffset>
            </wp:positionV>
            <wp:extent cx="946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-2527935</wp:posOffset>
            </wp:positionV>
            <wp:extent cx="946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debt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142"/>
        </w:trPr>
        <w:tc>
          <w:tcPr>
            <w:tcW w:w="7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(A)</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Notes due 2028, with an interest rate of 6.25% (B)</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446,080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478,440</w:t>
            </w:r>
          </w:p>
        </w:tc>
        <w:tc>
          <w:tcPr>
            <w:tcW w:w="100" w:type="dxa"/>
            <w:vAlign w:val="bottom"/>
          </w:tcPr>
          <w:p>
            <w:pPr>
              <w:spacing w:after="0"/>
              <w:rPr>
                <w:sz w:val="18"/>
                <w:szCs w:val="18"/>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Secured Financing due 2025, with an interest rate of 8.75% (C)</w:t>
            </w:r>
          </w:p>
        </w:tc>
        <w:tc>
          <w:tcPr>
            <w:tcW w:w="2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 (D)</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Pr>
          <w:p>
            <w:pPr>
              <w:spacing w:after="0"/>
              <w:rPr>
                <w:sz w:val="18"/>
                <w:szCs w:val="18"/>
                <w:color w:val="auto"/>
              </w:rPr>
            </w:pPr>
          </w:p>
        </w:tc>
      </w:tr>
      <w:tr>
        <w:trPr>
          <w:trHeight w:val="216"/>
        </w:trPr>
        <w:tc>
          <w:tcPr>
            <w:tcW w:w="7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Unamortized debt issuance costs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(4,165)</w:t>
            </w:r>
          </w:p>
        </w:tc>
        <w:tc>
          <w:tcPr>
            <w:tcW w:w="3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(5,572)</w:t>
            </w:r>
          </w:p>
        </w:tc>
      </w:tr>
      <w:tr>
        <w:trPr>
          <w:trHeight w:val="209"/>
        </w:trPr>
        <w:tc>
          <w:tcPr>
            <w:tcW w:w="72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448,399</w:t>
            </w: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485,279</w:t>
            </w:r>
          </w:p>
        </w:tc>
        <w:tc>
          <w:tcPr>
            <w:tcW w:w="100" w:type="dxa"/>
            <w:vAlign w:val="bottom"/>
            <w:tcBorders>
              <w:top w:val="single" w:sz="8" w:color="CFF0FC"/>
            </w:tcBorders>
          </w:tcPr>
          <w:p>
            <w:pPr>
              <w:spacing w:after="0"/>
              <w:rPr>
                <w:sz w:val="18"/>
                <w:szCs w:val="18"/>
                <w:color w:val="auto"/>
              </w:rPr>
            </w:pPr>
          </w:p>
        </w:tc>
      </w:tr>
      <w:tr>
        <w:trPr>
          <w:trHeight w:val="216"/>
        </w:trPr>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due after one year,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447,582</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476,163</w:t>
            </w:r>
          </w:p>
        </w:tc>
        <w:tc>
          <w:tcPr>
            <w:tcW w:w="10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-453390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_____________________________</w:t>
      </w:r>
    </w:p>
    <w:p>
      <w:pPr>
        <w:spacing w:after="0" w:line="87" w:lineRule="exact"/>
        <w:rPr>
          <w:sz w:val="20"/>
          <w:szCs w:val="20"/>
          <w:color w:val="auto"/>
        </w:rPr>
      </w:pPr>
    </w:p>
    <w:p>
      <w:pPr>
        <w:ind w:left="380" w:right="400" w:hanging="372"/>
        <w:spacing w:after="0" w:line="261" w:lineRule="auto"/>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issuance costs as of September 30, 2025 and December 31, 2024 of approximately $0.5 million and $0.6 million, respectively, relating to our Revolving Credit Facility (defined below) are not included in Unamortized debt issuance costs. Such costs are included in our condensed consolidated balance sheet in “Intangible and other assets, net.”</w:t>
      </w:r>
    </w:p>
    <w:p>
      <w:pPr>
        <w:spacing w:after="0" w:line="59" w:lineRule="exact"/>
        <w:rPr>
          <w:sz w:val="20"/>
          <w:szCs w:val="20"/>
          <w:color w:val="auto"/>
        </w:rPr>
      </w:pPr>
    </w:p>
    <w:p>
      <w:pPr>
        <w:ind w:left="380" w:right="40" w:hanging="372"/>
        <w:spacing w:after="0" w:line="254" w:lineRule="auto"/>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revolving credit facility pursuant to a credit agreement, dated December 21, 2023, between us, the lenders identified on the signature pages thereof and JPMorgan Chase Bank, N.A, as administrative agent (the “Revolving Credit Facility”) provides for borrowings up to an initial maximum of $75 million, with an option to increase the maximum by an additional $25 million (which amount is uncommitted). Availability under the Revolving Credit Facility is subject to a borrowing base and is also subject to an availability block of $7.5 million (which can be removed by us at our sole discretion, subject to the satisfaction of certain conditions) (the “Availability Block”). The Availability Block is applied against the $75 million maximum. The Revolving Credit Facility provides for a sub-facility for the issuance of letters of credit in an aggregate amount not to exceed $10 million, with the outstanding amount of any such letters of credit reducing availability for borrowings. As of September 30, 2025, our Revolving Credit Facility was undrawn and had approximately $45 million of availability, based on our eligible collateral.</w:t>
      </w:r>
    </w:p>
    <w:p>
      <w:pPr>
        <w:spacing w:after="0" w:line="83" w:lineRule="exact"/>
        <w:rPr>
          <w:rFonts w:ascii="Times New Roman" w:cs="Times New Roman" w:eastAsia="Times New Roman" w:hAnsi="Times New Roman"/>
          <w:sz w:val="18"/>
          <w:szCs w:val="18"/>
          <w:b w:val="1"/>
          <w:bCs w:val="1"/>
          <w:color w:val="auto"/>
        </w:rPr>
      </w:pPr>
    </w:p>
    <w:p>
      <w:pPr>
        <w:ind w:left="38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Revolving Credit Facility matures on December 21, 2028, subject to springing maturity to the date that is 90 days prior to the stated maturity date of our existing Senior Secured Notes (defined below), which is currently October 15, 2028 (unless such Senior Secured Notes have been repaid or redeemed in full prior thereto). Borrowings outstanding under the Revolving Credit Facility will bear interest at a rate per annum equal to, at our option, either (a) term Secured Overnight Financing Rate (“SOFR”) for a period of one month (with a fallback to the prime rate if such rate is unavailable), plus 0.10%, plus an applicable margin of 1.625% or (b) term SOFR for a period of one, three or six months (at our election), plus 0.10%, plus an applicable margin of 1.625%, in each case with a floor of 0.00%.</w:t>
      </w:r>
    </w:p>
    <w:p>
      <w:pPr>
        <w:spacing w:after="0" w:line="79" w:lineRule="exact"/>
        <w:rPr>
          <w:rFonts w:ascii="Times New Roman" w:cs="Times New Roman" w:eastAsia="Times New Roman" w:hAnsi="Times New Roman"/>
          <w:sz w:val="18"/>
          <w:szCs w:val="18"/>
          <w:b w:val="1"/>
          <w:bCs w:val="1"/>
          <w:color w:val="auto"/>
        </w:rPr>
      </w:pPr>
    </w:p>
    <w:p>
      <w:pPr>
        <w:jc w:val="both"/>
        <w:ind w:left="38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LSB Industries, Inc. and all of its subsidiaries (collectively, the “Borrowers”) are co-borrowers under the Revolving Credit Facility. Obligations under the Revolving Credit Facility are secured by a first priority security interest in substantially all of our current assets, including accounts receivable and inventory, subject to certain exceptions.</w:t>
      </w:r>
    </w:p>
    <w:p>
      <w:pPr>
        <w:spacing w:after="0" w:line="67" w:lineRule="exact"/>
        <w:rPr>
          <w:rFonts w:ascii="Times New Roman" w:cs="Times New Roman" w:eastAsia="Times New Roman" w:hAnsi="Times New Roman"/>
          <w:sz w:val="18"/>
          <w:szCs w:val="18"/>
          <w:b w:val="1"/>
          <w:bCs w:val="1"/>
          <w:color w:val="auto"/>
        </w:rPr>
      </w:pPr>
    </w:p>
    <w:p>
      <w:pPr>
        <w:ind w:left="38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Revolving Credit Facility contains a financial covenant, which requires that, solely if we elect to remove the Availability Block, then the Borrowers must maintain a minimum fixed charge coverage ratio of not less than 1.00:1.00. The financial covenant, if triggered, is tested monthly. The financial covenant was not triggered as of September 30, 2025.</w:t>
      </w:r>
    </w:p>
    <w:p>
      <w:pPr>
        <w:spacing w:after="0" w:line="67" w:lineRule="exact"/>
        <w:rPr>
          <w:rFonts w:ascii="Times New Roman" w:cs="Times New Roman" w:eastAsia="Times New Roman" w:hAnsi="Times New Roman"/>
          <w:sz w:val="18"/>
          <w:szCs w:val="18"/>
          <w:b w:val="1"/>
          <w:bCs w:val="1"/>
          <w:color w:val="auto"/>
        </w:rPr>
      </w:pPr>
    </w:p>
    <w:p>
      <w:pPr>
        <w:jc w:val="both"/>
        <w:ind w:left="380" w:right="200" w:hanging="372"/>
        <w:spacing w:after="0" w:line="266" w:lineRule="auto"/>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previously issued at par an aggregate total of $700 million principal value of our Senior Secured Notes due 2028 (“Senior Secured Notes”). The Senior Secured Notes, which mature in October 2028, bear interest at a rate of 6.25% paid in arrears on May 15 and October 15 of each year. From time to time, we have engaged in open market repurchases to extinguish a portion of the outstanding balance.</w:t>
      </w:r>
    </w:p>
    <w:p>
      <w:pPr>
        <w:spacing w:after="0" w:line="67" w:lineRule="exact"/>
        <w:rPr>
          <w:rFonts w:ascii="Times New Roman" w:cs="Times New Roman" w:eastAsia="Times New Roman" w:hAnsi="Times New Roman"/>
          <w:sz w:val="18"/>
          <w:szCs w:val="18"/>
          <w:b w:val="1"/>
          <w:bCs w:val="1"/>
          <w:color w:val="auto"/>
        </w:rPr>
      </w:pPr>
    </w:p>
    <w:p>
      <w:pPr>
        <w:ind w:left="38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did not repurchase any of our Senior Secured Notes during the three months ended September 30, 2025. During the nine months ended September 30, 2025, we repurchased $32.4 million in principal amount of our Senior Secured Notes for approximately $32.1 million, which was accounted for as an extinguishment of debt. While the repurchases were at prices slightly below par value, including our write-off of the associated remaining portion of unamortized debt issuance costs, we recognized a loss on extinguishment of debt of approximately $0.1 million.</w:t>
      </w:r>
    </w:p>
    <w:p>
      <w:pPr>
        <w:spacing w:after="0" w:line="71" w:lineRule="exact"/>
        <w:rPr>
          <w:rFonts w:ascii="Times New Roman" w:cs="Times New Roman" w:eastAsia="Times New Roman" w:hAnsi="Times New Roman"/>
          <w:sz w:val="18"/>
          <w:szCs w:val="18"/>
          <w:b w:val="1"/>
          <w:bCs w:val="1"/>
          <w:color w:val="auto"/>
        </w:rPr>
      </w:pPr>
    </w:p>
    <w:p>
      <w:pPr>
        <w:jc w:val="both"/>
        <w:ind w:left="38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did not repurchase any of our Senior Secured Notes during the three months ended September 30, 2024. During the nine months ended September 30, 2024, we repurchased $96.6 million in principal amount of our Senior Secured Notes for approximately $92.2 million, which was accounted for as an extinguishment of debt. Including our write-off of the associated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remaining portion of unamortized debt issuance costs, we recognized a gain on extinguishment of debt approximately $3.0 million.</w:t>
      </w:r>
    </w:p>
    <w:p>
      <w:pPr>
        <w:spacing w:after="0" w:line="117" w:lineRule="exact"/>
        <w:rPr>
          <w:sz w:val="20"/>
          <w:szCs w:val="20"/>
          <w:color w:val="auto"/>
        </w:rPr>
      </w:pPr>
    </w:p>
    <w:p>
      <w:pPr>
        <w:ind w:left="380" w:right="140" w:hanging="372"/>
        <w:spacing w:after="0" w:line="282" w:lineRule="auto"/>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2020, we entered into a $30 million, 60-month secured financing arrangement with an affiliate of Eldridge Industries, L.L.C. (“Eldridge”). During the third quarter of 2025 we made the final balloon payment of approximately $5 million.</w:t>
      </w:r>
    </w:p>
    <w:p>
      <w:pPr>
        <w:spacing w:after="0" w:line="53"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Finance leases consist primarily of leases on railcars.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11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Outstanding Natural Gas Purchase Commitments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of our natural gas contracts qualify as normal purchases under U.S. GAAP and thus are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instruments for which we mark-to-market. At September 30, 2025, these contracts included volume purchase commitments with fixed prices of approximately 0.9 million MMBtus of natural gas that cover a period from October 2025 through December 2025. The weighted-average fixed price of the natural gas covered by these contracts was $3.45 per MMBtu, for a total of $3.0 million. Based on market prices at September 30, 2025, the weighted-average price of the fixed contracts was $3.26 per MMBtu, for a total of $2.8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Legal Matters - </w:t>
      </w:r>
      <w:r>
        <w:rPr>
          <w:rFonts w:ascii="Times New Roman" w:cs="Times New Roman" w:eastAsia="Times New Roman" w:hAnsi="Times New Roman"/>
          <w:sz w:val="18"/>
          <w:szCs w:val="18"/>
          <w:color w:val="auto"/>
        </w:rPr>
        <w:t>The following is a summary of certain legal matters involving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Environmental Matters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claims for damages to persons or property, including natural resources, may result from the environmental, health and safety effects of our operations.</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8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Historically, we have incurred significant capital expenditures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September 30, 2025, our accrued liabilities for environmental matters totaled approximately $0.6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Discharge Water Matters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 “EPA”). These permits limit the type and volume of effluents that can be discharged and control the method of such discharge.</w:t>
      </w:r>
    </w:p>
    <w:p>
      <w:pPr>
        <w:spacing w:after="0" w:line="7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2017, the Company filed a Permit Renewal Application for its Non-Hazardous Injection Well Permit at the Pryor Facility. Although the Injection Well Permit expired in 2018, we continue to operate the injection well in accordance with an executed November 2023 Consent Order with the Oklahoma Department of Environmental Quality (“ODEQ”) that allows for the continued use of the injection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well until a wastewater treatment process is designed, built and operational. The Company continues to work with the ODEQ under the terms of the Consent Order. We have identified and selected a wastewater treatment technology using biological processes that can and will treat the nitrogen-containing wastewater streams at our Pryor Facility. We are unable to estimate the costs related to the replacement of the disposal well at this time as we are in the early stages of design for the wastewater treatment process with a wastewater process design engineering firm. We have also commenced preliminary discussions with the ODEQ on permitting the treated wastewater discharges, but have not received any confirmation from the ODEQ on their preliminary acceptance of our treated wastewater stream.</w:t>
      </w:r>
    </w:p>
    <w:p>
      <w:pPr>
        <w:spacing w:after="0" w:line="7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2006, the Company entered into a Consent Administrative Order (“CAO”) that recognizes the presence of nitrate contamination in the shallow groundwater at our El Dorado Facility. The CAO required us to perform semi-annual groundwater monitoring, continue operation of a groundwater recovery system, submit a human health and ecological risk assessment and submit a remedial action plan. The risk assessment was submitted in 2007. In 2015, the Arkansas Department of Environmental Quality (“ADEQ”) stated that the El Dorado Facility was meeting the requirements of the CAO and should continue semi-annual monitoring. A CAO was signed in 2018, which required an Evaluation Report of the data and effectiveness of the groundwater remedy for nitrate contamination. During 2019, the Evaluation Report was submitted to the ADEQ and the ADEQ approved the report. In August 2023, the Company received a Notice of Violation (“NOV”) for wastewater discharges from our El Dorado Facility. We have been in discussions with the ADEQ about our response to the NOV. The ADEQ provided notice of the cash penalty amount related to the NOV, which amount was not material and was paid in the third quarter of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Other Environmental Matters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w:t>
      </w:r>
    </w:p>
    <w:p>
      <w:pPr>
        <w:spacing w:after="0" w:line="7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periodic review with the KDHE. At this time there is no review scheduled.</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final remedy, including the EUC, the finalization of the cost estimates and any required financial assurances remains under discussion with the KDHE.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received a NOV for ten findings identified from an inspection conducted by the EPA Region IV at our Cherokee Facility in late 2022. We provided written responses to each finding in the inspection report issued in connection with such inspection and to the Notice of Potential Violations and held direct communications with the EPA related to the matter. A meeting was held with the EPA in January 2024 to discuss the NOV and our subsequent responsive actions. During the meeting, the EPA proposed two alternatives for the penalties related to the violations. We accepted one of the proposed alternatives, which included a cash fine and an investment in a community project, for which we accrued an estimate as of December 31, 2023. Both the cash fine and the investment in the community project, which amounts were not material, were paid as of September 30,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Other Pending, Threatened or Settled Litigation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the foregoing, we are also involved in various other claims and legal actions (including matters involving gain contingencies) in the ordinary course of our business. While it is possible that the actual claims results could differ from our estimates, after consultation with legal counsel, we believe that any such differences will not have a material effect on our business, financial condition, results of operations or cash flows.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jc w:val="both"/>
        <w:ind w:left="200" w:right="9300" w:hanging="192"/>
        <w:spacing w:after="0" w:line="400" w:lineRule="auto"/>
        <w:tabs>
          <w:tab w:leader="none" w:pos="193"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Instruments Natural Gas Contracts</w:t>
      </w:r>
    </w:p>
    <w:p>
      <w:pPr>
        <w:ind w:right="140"/>
        <w:spacing w:after="0" w:line="261" w:lineRule="auto"/>
        <w:rPr>
          <w:sz w:val="20"/>
          <w:szCs w:val="20"/>
          <w:color w:val="auto"/>
        </w:rPr>
      </w:pPr>
      <w:r>
        <w:rPr>
          <w:rFonts w:ascii="Times New Roman" w:cs="Times New Roman" w:eastAsia="Times New Roman" w:hAnsi="Times New Roman"/>
          <w:sz w:val="18"/>
          <w:szCs w:val="18"/>
          <w:color w:val="auto"/>
        </w:rPr>
        <w:t>Periodically, we enter into certain forward natural gas contracts or volume purchase commitments, which are derivatives. We utilize these natural gas contracts as economic hedges for risk management purposes, but the contracts are not designated as hedging instruments. At September 30, 2025 and December 31, 2024, we had no outstanding forward natural gas contracts or volume purchase commitments accounted for as derivatives. When present in the past, the valuations of the natural gas contracts were classified as a Level 2 fair value measurement.</w:t>
      </w:r>
    </w:p>
    <w:p>
      <w:pPr>
        <w:spacing w:after="0" w:line="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September 30, 2025 and December 31, 2024, we did not have any financial instruments with fair values materially different from their carrying amounts (which excludes issuance costs, if applicable) except for our Senior Secured Notes. Fair value of our Senior Secured Notes is classified as a Level 2 fair value measurement while the treasury securities that comprise our cash equivalents and short-term investments are a Level 1 fair value measurement. The fair value of financial instruments is not indicative of the overall fair value of our assets and liabilities since financial instruments do not include all assets, including intangibles, and all liabilities.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2"/>
        </w:trPr>
        <w:tc>
          <w:tcPr>
            <w:tcW w:w="3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37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142"/>
        </w:trPr>
        <w:tc>
          <w:tcPr>
            <w:tcW w:w="3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Millions)</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370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Senior Secured Notes </w:t>
            </w:r>
            <w:r>
              <w:rPr>
                <w:rFonts w:ascii="Times New Roman" w:cs="Times New Roman" w:eastAsia="Times New Roman" w:hAnsi="Times New Roman"/>
                <w:sz w:val="21"/>
                <w:szCs w:val="21"/>
                <w:color w:val="auto"/>
                <w:vertAlign w:val="superscript"/>
              </w:rPr>
              <w:t>(1)</w:t>
            </w:r>
          </w:p>
        </w:tc>
        <w:tc>
          <w:tcPr>
            <w:tcW w:w="2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439</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461</w:t>
            </w: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124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164</w:t>
            </w:r>
          </w:p>
        </w:tc>
      </w:tr>
      <w:tr>
        <w:trPr>
          <w:trHeight w:val="104"/>
        </w:trPr>
        <w:tc>
          <w:tcPr>
            <w:tcW w:w="3700" w:type="dxa"/>
            <w:vAlign w:val="bottom"/>
          </w:tcPr>
          <w:p>
            <w:pPr>
              <w:spacing w:after="0"/>
              <w:rPr>
                <w:sz w:val="20"/>
                <w:szCs w:val="20"/>
                <w:color w:val="auto"/>
              </w:rPr>
            </w:pPr>
            <w:r>
              <w:rPr>
                <w:rFonts w:ascii="Times New Roman" w:cs="Times New Roman" w:eastAsia="Times New Roman" w:hAnsi="Times New Roman"/>
                <w:sz w:val="8"/>
                <w:szCs w:val="8"/>
                <w:color w:val="auto"/>
              </w:rPr>
              <w:t>_____________________________</w:t>
            </w: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80"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a quoted price of 98.5 at September 30, 2025 and 96.4 at December 31, 2024. Also see discussion in Note 4 (B).</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(benefit) for income taxes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tcBorders>
              <w:bottom w:val="single" w:sz="8" w:color="auto"/>
            </w:tcBorders>
            <w:gridSpan w:val="5"/>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360" w:type="dxa"/>
            <w:vAlign w:val="bottom"/>
          </w:tcPr>
          <w:p>
            <w:pPr>
              <w:spacing w:after="0"/>
              <w:rPr>
                <w:sz w:val="12"/>
                <w:szCs w:val="12"/>
                <w:color w:val="auto"/>
              </w:rPr>
            </w:pPr>
          </w:p>
        </w:tc>
        <w:tc>
          <w:tcPr>
            <w:tcW w:w="106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4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80" w:type="dxa"/>
            <w:vAlign w:val="bottom"/>
            <w:gridSpan w:val="3"/>
          </w:tcPr>
          <w:p>
            <w:pPr>
              <w:jc w:val="right"/>
              <w:ind w:right="72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16"/>
        </w:trPr>
        <w:tc>
          <w:tcPr>
            <w:tcW w:w="43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1060" w:type="dxa"/>
            <w:vAlign w:val="bottom"/>
          </w:tcPr>
          <w:p>
            <w:pPr>
              <w:jc w:val="right"/>
              <w:ind w:right="89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Borders>
              <w:bottom w:val="single" w:sz="8" w:color="CFF0FC"/>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10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251</w:t>
            </w:r>
          </w:p>
        </w:tc>
      </w:tr>
      <w:tr>
        <w:trPr>
          <w:trHeight w:val="210"/>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w:t>
            </w:r>
          </w:p>
        </w:tc>
        <w:tc>
          <w:tcPr>
            <w:tcW w:w="1060" w:type="dxa"/>
            <w:vAlign w:val="bottom"/>
          </w:tcPr>
          <w:p>
            <w:pPr>
              <w:jc w:val="right"/>
              <w:ind w:right="89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14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718</w:t>
            </w:r>
          </w:p>
        </w:tc>
        <w:tc>
          <w:tcPr>
            <w:tcW w:w="10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251</w:t>
            </w:r>
          </w:p>
        </w:tc>
      </w:tr>
      <w:tr>
        <w:trPr>
          <w:trHeight w:val="210"/>
        </w:trPr>
        <w:tc>
          <w:tcPr>
            <w:tcW w:w="4360" w:type="dxa"/>
            <w:vAlign w:val="bottom"/>
            <w:tcBorders>
              <w:right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36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106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2,244</w:t>
            </w:r>
          </w:p>
        </w:tc>
        <w:tc>
          <w:tcPr>
            <w:tcW w:w="114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06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3,019</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16"/>
        </w:trPr>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09"/>
        </w:trPr>
        <w:tc>
          <w:tcPr>
            <w:tcW w:w="436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Deferred</w:t>
            </w:r>
          </w:p>
        </w:tc>
        <w:tc>
          <w:tcPr>
            <w:tcW w:w="106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2,402</w:t>
            </w:r>
          </w:p>
        </w:tc>
        <w:tc>
          <w:tcPr>
            <w:tcW w:w="114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6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3,113</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w:t>
            </w:r>
          </w:p>
        </w:tc>
      </w:tr>
      <w:tr>
        <w:trPr>
          <w:trHeight w:val="20"/>
        </w:trPr>
        <w:tc>
          <w:tcPr>
            <w:tcW w:w="4360" w:type="dxa"/>
            <w:vAlign w:val="bottom"/>
            <w:tcBorders>
              <w:right w:val="single" w:sz="8" w:color="CFF0FC"/>
            </w:tcBorders>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10"/>
        </w:trPr>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60" w:type="dxa"/>
            <w:vAlign w:val="bottom"/>
          </w:tcPr>
          <w:p>
            <w:pPr>
              <w:jc w:val="right"/>
              <w:ind w:right="89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2,536</w:t>
            </w:r>
          </w:p>
        </w:tc>
        <w:tc>
          <w:tcPr>
            <w:tcW w:w="114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0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3,337</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0"/>
        </w:trPr>
        <w:tc>
          <w:tcPr>
            <w:tcW w:w="4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-1019175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-1019175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-1019175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-170815</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tax provision for the nine months ended September 30, 2025, was $3.3 million (28.2% provision on pre-tax income). The tax benefit for the nine months ended September 30, 2024 was $2.6 million (20.5% benefit on pre-tax loss). For 2025, the effective tax rate was higher than the statutory tax rate primarily due to nondeductible compensation expense and state taxes. For 2024, the effective tax rate was lower than the statutory tax rate primarily due to change in valuation allowance and nondeductible compensation, partially offset by state tax law changes.</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have determined that it is more-likely-than-not that all of our federal deferred tax assets and a portion of our state deferred tax assets will be utilized. We estimate an approximately $0.6 million increase in the related valuation allowance associated with these state deferred tax assets will be recorded during the year as part of the estimated annual effective tax rate applied to ordinary income.</w:t>
      </w:r>
    </w:p>
    <w:p>
      <w:pPr>
        <w:spacing w:after="0" w:line="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LSB Industries, Inc. and certain of its subsidiaries file income tax returns in the U.S. federal jurisdiction and various state jurisdictions. With few exceptions, the 2021-2024 years remain open for all purposes of examination by the U.S. Internal Revenue Service (“IRS”) and other major tax jurisdictions. Additionally, the 2013-2020 years remain subject to examination for determining the amount of net operating loss and other carryforwards.</w:t>
      </w:r>
    </w:p>
    <w:p>
      <w:pPr>
        <w:spacing w:after="0" w:line="6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July 4, 2025, “An Act to provide for reconciliation pursuant to title II of H. Con. Res. 14” and commonly referred to as the One Big Beautiful Bill Act (“OBBBA”) was enacted into law in the United States. The OBBBA includes significant provisions, such as the permanent extension of certain expiring provisions of the Tax Cuts and Jobs Act, modifications to the international tax framework and favorable changes to bonus depreciation, domestic research cost expensing, and the business interest limitation. The legislation has multiple effective dates, with certain provisions effective in 2025 and others implemented through 2027. There was not a significant impact to our income tax expense or effective tax rate for the nine months ended September 30, 2025 associated with the OBBBA.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Net Sales</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primarily derive our revenues from the sales of various chemical products. The Company’s net sales disaggregation is consistent with other financial information utilized or provided outside of our condensed consolidated financial statements. Accordingly, this approach is reflected in disaggregated net sales, mirroring how the Company manages its net sales by product through contracts with customers.</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net sales disaggregated by our products, which disaggregation is consistent with other financial information utilized or provided outside of our consolidated financial statements: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4"/>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3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AN &amp; Nitric Acid</w:t>
            </w:r>
          </w:p>
        </w:tc>
        <w:tc>
          <w:tcPr>
            <w:tcW w:w="196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57,522</w:t>
            </w:r>
          </w:p>
        </w:tc>
        <w:tc>
          <w:tcPr>
            <w:tcW w:w="11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47,981</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176,847</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154,858</w:t>
            </w:r>
          </w:p>
        </w:tc>
        <w:tc>
          <w:tcPr>
            <w:tcW w:w="0" w:type="dxa"/>
            <w:vAlign w:val="bottom"/>
          </w:tcPr>
          <w:p>
            <w:pPr>
              <w:spacing w:after="0"/>
              <w:rPr>
                <w:sz w:val="1"/>
                <w:szCs w:val="1"/>
                <w:color w:val="auto"/>
              </w:rPr>
            </w:pPr>
          </w:p>
        </w:tc>
      </w:tr>
      <w:tr>
        <w:trPr>
          <w:trHeight w:val="216"/>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51,423</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25,303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147,550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109,303</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Ammonia</w:t>
            </w:r>
          </w:p>
        </w:tc>
        <w:tc>
          <w:tcPr>
            <w:tcW w:w="9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37,072</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28,490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97,174</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96,468</w:t>
            </w:r>
          </w:p>
        </w:tc>
        <w:tc>
          <w:tcPr>
            <w:tcW w:w="0" w:type="dxa"/>
            <w:vAlign w:val="bottom"/>
          </w:tcPr>
          <w:p>
            <w:pPr>
              <w:spacing w:after="0"/>
              <w:rPr>
                <w:sz w:val="1"/>
                <w:szCs w:val="1"/>
                <w:color w:val="auto"/>
              </w:rPr>
            </w:pPr>
          </w:p>
        </w:tc>
      </w:tr>
      <w:tr>
        <w:trPr>
          <w:trHeight w:val="216"/>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9,414</w:t>
            </w: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7,443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28,588</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26,865</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net sales</w:t>
            </w:r>
          </w:p>
        </w:tc>
        <w:tc>
          <w:tcPr>
            <w:tcW w:w="9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155,431</w:t>
            </w:r>
          </w:p>
        </w:tc>
        <w:tc>
          <w:tcPr>
            <w:tcW w:w="11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99"/>
              </w:rPr>
              <w:t>109,217</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450,159</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387,494</w:t>
            </w: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-24765</wp:posOffset>
            </wp:positionV>
            <wp:extent cx="939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939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our contracts with a duration greater than one year at contract inception, the average remaining expected duration was approximately 31 months at September 30, 2025.</w:t>
      </w:r>
    </w:p>
    <w:p>
      <w:pPr>
        <w:spacing w:after="0" w:line="54"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Liabilities associated with contracts with customers (contract liabilities) primarily relate to deferred revenue and customer deposits associated with cash payments received in advance from customers for product shipments. Our contract liabilities were minimal as of September 30, 2025. We had approximately $1.1 million of contract liabilities as of December 31, 2024. For the three and nine months ended September 30, 2025, revenues of $0.1 million and $1.1 million, respectively, were recognized and included in the balances as of June 30, 2025 and December 31, 2024. For the three and nine months ended September 30, 2024, revenues of $0.1 million and $0.8 million, respectively, were recognized and included in the balances as of June 30, 2024 and December 31, 2023. Our contract assets consist of unconditional rights to payment from our customers, which are reflected as accounts receivable in our condensed consolidated balance sheets.</w:t>
      </w:r>
    </w:p>
    <w:p>
      <w:pPr>
        <w:spacing w:after="0" w:line="8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For most of our contracts with customers, the transaction price from the inception of a contract is constrained to a short period of time (generally one month) as these contracts contain terms with variable consideration related to both price and quantity. At September 30, 2025, we had remaining performance obligations with certain customer contracts, excluding contracts with original durations of less than one year and for service contracts for which we have elected the practical expedient for consideration recognized in revenue as invoiced. As of September 30, 2025, the remaining performance obligations totaled approximately $118.9 million, of which approximately 52% relates to 2025 through 2027, approximately 27% relates to 2028 through 2029, with the remainder thereafter.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2025, we paid off our outstanding financing arrangement with an affiliate of Eldridge as discussed in footnote (C) of Note 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Supplemental Cash Flow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additional information relating to cash flow activities: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payments (refunds) for:</w:t>
            </w:r>
          </w:p>
        </w:tc>
        <w:tc>
          <w:tcPr>
            <w:tcW w:w="2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on long-term debt and other, net of capitalized interest</w:t>
            </w:r>
          </w:p>
        </w:tc>
        <w:tc>
          <w:tcPr>
            <w:tcW w:w="2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17,904</w:t>
            </w:r>
          </w:p>
        </w:tc>
        <w:tc>
          <w:tcPr>
            <w:tcW w:w="7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21,289</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net</w:t>
            </w:r>
          </w:p>
        </w:tc>
        <w:tc>
          <w:tcPr>
            <w:tcW w:w="2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8"/>
                <w:szCs w:val="18"/>
                <w:color w:val="auto"/>
              </w:rPr>
            </w:pPr>
          </w:p>
        </w:tc>
      </w:tr>
      <w:tr>
        <w:trPr>
          <w:trHeight w:val="216"/>
        </w:trPr>
        <w:tc>
          <w:tcPr>
            <w:tcW w:w="546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acquired and not yet paid at end of period</w:t>
            </w:r>
          </w:p>
        </w:tc>
        <w:tc>
          <w:tcPr>
            <w:tcW w:w="2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18,706</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25,302</w:t>
            </w:r>
          </w:p>
        </w:tc>
        <w:tc>
          <w:tcPr>
            <w:tcW w:w="100" w:type="dxa"/>
            <w:vAlign w:val="bottom"/>
          </w:tcPr>
          <w:p>
            <w:pPr>
              <w:spacing w:after="0"/>
              <w:rPr>
                <w:sz w:val="18"/>
                <w:szCs w:val="18"/>
                <w:color w:val="auto"/>
              </w:rPr>
            </w:pPr>
          </w:p>
        </w:tc>
      </w:tr>
      <w:tr>
        <w:trPr>
          <w:trHeight w:val="216"/>
        </w:trPr>
        <w:tc>
          <w:tcPr>
            <w:tcW w:w="5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2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7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(3,013)</w:t>
            </w:r>
          </w:p>
        </w:tc>
      </w:tr>
      <w:tr>
        <w:trPr>
          <w:trHeight w:val="648"/>
        </w:trPr>
        <w:tc>
          <w:tcPr>
            <w:tcW w:w="5460" w:type="dxa"/>
            <w:vAlign w:val="bottom"/>
          </w:tcPr>
          <w:p>
            <w:pPr>
              <w:spacing w:after="0"/>
              <w:rPr>
                <w:sz w:val="24"/>
                <w:szCs w:val="24"/>
                <w:color w:val="auto"/>
              </w:rPr>
            </w:pPr>
          </w:p>
        </w:tc>
        <w:tc>
          <w:tcPr>
            <w:tcW w:w="228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4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managed on a consolidated basis with a single reportable segment, chemical manufacturing, which is not an aggregation of individual operating segments. There have been no changes in the basis of segmentation or in the basis of measurement of segment profit or loss since the filing of our 2024 Form 10-K. Information about reported segment revenue, measures of a segment’s profit or loss, significant segment expenses, and measure of a segment's assets: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37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720" w:type="dxa"/>
            <w:vAlign w:val="bottom"/>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10"/>
        </w:trPr>
        <w:tc>
          <w:tcPr>
            <w:tcW w:w="478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4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3"/>
          </w:tcPr>
          <w:p>
            <w:pPr>
              <w:ind w:left="11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16"/>
        </w:trPr>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$155,431</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$109,217</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$450,159</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$387,494</w:t>
            </w:r>
          </w:p>
        </w:tc>
      </w:tr>
      <w:tr>
        <w:trPr>
          <w:trHeight w:val="216"/>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98"/>
        </w:trPr>
        <w:tc>
          <w:tcPr>
            <w:tcW w:w="47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Cost of sales excluding depreciation, amortization</w:t>
            </w: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34"/>
        </w:trPr>
        <w:tc>
          <w:tcPr>
            <w:tcW w:w="4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and turnaround expense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109,453</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84,214</w:t>
            </w: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321,310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272,596</w:t>
            </w: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52,512</w:t>
            </w:r>
          </w:p>
        </w:tc>
      </w:tr>
      <w:tr>
        <w:trPr>
          <w:trHeight w:val="216"/>
        </w:trPr>
        <w:tc>
          <w:tcPr>
            <w:tcW w:w="4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Turnaround expense</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6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16,284</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4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20,638</w:t>
            </w:r>
          </w:p>
        </w:tc>
      </w:tr>
      <w:tr>
        <w:trPr>
          <w:trHeight w:val="209"/>
        </w:trPr>
        <w:tc>
          <w:tcPr>
            <w:tcW w:w="4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cost of sales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129,888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117,162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387,059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345,746</w:t>
            </w:r>
          </w:p>
        </w:tc>
      </w:tr>
      <w:tr>
        <w:trPr>
          <w:trHeight w:val="210"/>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Wages and benefits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17,045</w:t>
            </w:r>
          </w:p>
        </w:tc>
      </w:tr>
      <w:tr>
        <w:trPr>
          <w:trHeight w:val="216"/>
        </w:trPr>
        <w:tc>
          <w:tcPr>
            <w:tcW w:w="4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6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4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14,838</w:t>
            </w:r>
          </w:p>
        </w:tc>
      </w:tr>
      <w:tr>
        <w:trPr>
          <w:trHeight w:val="21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30,330</w:t>
            </w:r>
          </w:p>
        </w:tc>
        <w:tc>
          <w:tcPr>
            <w:tcW w:w="1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31,883</w:t>
            </w:r>
          </w:p>
        </w:tc>
      </w:tr>
      <w:tr>
        <w:trPr>
          <w:trHeight w:val="209"/>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23,313</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26,229</w:t>
            </w: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(gain) on extinguishments of debt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(3,013)</w:t>
            </w:r>
          </w:p>
        </w:tc>
      </w:tr>
      <w:tr>
        <w:trPr>
          <w:trHeight w:val="216"/>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from asset write-down and disposals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8,582</w:t>
            </w: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16"/>
        </w:trPr>
        <w:tc>
          <w:tcPr>
            <w:tcW w:w="4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segment items (a)</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6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4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(9,100)</w:t>
            </w:r>
          </w:p>
        </w:tc>
      </w:tr>
      <w:tr>
        <w:trPr>
          <w:trHeight w:val="21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net income (loss)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(25,382)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(10,204)</w:t>
            </w:r>
          </w:p>
        </w:tc>
      </w:tr>
      <w:tr>
        <w:trPr>
          <w:trHeight w:val="210"/>
        </w:trPr>
        <w:tc>
          <w:tcPr>
            <w:tcW w:w="478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7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080" w:type="dxa"/>
            <w:vAlign w:val="bottom"/>
            <w:tcBorders>
              <w:bottom w:val="single" w:sz="8" w:color="auto"/>
            </w:tcBorders>
            <w:gridSpan w:val="3"/>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$(25,382)</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-2128520</wp:posOffset>
            </wp:positionV>
            <wp:extent cx="939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-2128520</wp:posOffset>
            </wp:positionV>
            <wp:extent cx="939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-2128520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-1562735</wp:posOffset>
            </wp:positionV>
            <wp:extent cx="939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-1562735</wp:posOffset>
            </wp:positionV>
            <wp:extent cx="939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-1562735</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-722630</wp:posOffset>
            </wp:positionV>
            <wp:extent cx="93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-722630</wp:posOffset>
            </wp:positionV>
            <wp:extent cx="93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-722630</wp:posOffset>
            </wp:positionV>
            <wp:extent cx="85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-156845</wp:posOffset>
            </wp:positionV>
            <wp:extent cx="939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-156845</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-10795</wp:posOffset>
            </wp:positionV>
            <wp:extent cx="410591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105910" cy="26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8"/>
          <w:szCs w:val="8"/>
          <w:color w:val="auto"/>
        </w:rPr>
        <w:t>_____________________________</w:t>
      </w:r>
    </w:p>
    <w:p>
      <w:pPr>
        <w:spacing w:after="0"/>
        <w:rPr>
          <w:sz w:val="20"/>
          <w:szCs w:val="20"/>
          <w:color w:val="auto"/>
        </w:rPr>
      </w:pPr>
      <w:r>
        <w:rPr>
          <w:rFonts w:ascii="Times New Roman" w:cs="Times New Roman" w:eastAsia="Times New Roman" w:hAnsi="Times New Roman"/>
          <w:sz w:val="14"/>
          <w:szCs w:val="14"/>
          <w:color w:val="auto"/>
        </w:rPr>
        <w:t>(a) For the periods presented, amount consisted primarily of interest and sublease income.</w:t>
      </w:r>
    </w:p>
    <w:p>
      <w:pPr>
        <w:spacing w:after="0" w:line="3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measure of our chemical manufacturing segment assets is reported on the condensed consolidated balance sheet as total assets. Expenditures for long-lived chemical manufacturing segment assets are reported on our condensed consolidated statement of cash flows.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discussion is intended to provide a reader of our financial statements with management’s perspective on our financial condition, results of operations, liquidity, and certain other factors that may affect our future results. Investors should read the following discussion and analysis in conjunction with the consolidated financial statements and related notes included in “</w:t>
      </w:r>
      <w:r>
        <w:rPr>
          <w:rFonts w:ascii="Times New Roman" w:cs="Times New Roman" w:eastAsia="Times New Roman" w:hAnsi="Times New Roman"/>
          <w:sz w:val="18"/>
          <w:szCs w:val="18"/>
          <w:i w:val="1"/>
          <w:iCs w:val="1"/>
          <w:color w:val="auto"/>
        </w:rPr>
        <w:t>Item 1. Financial Statements</w:t>
      </w:r>
      <w:r>
        <w:rPr>
          <w:rFonts w:ascii="Times New Roman" w:cs="Times New Roman" w:eastAsia="Times New Roman" w:hAnsi="Times New Roman"/>
          <w:sz w:val="18"/>
          <w:szCs w:val="18"/>
          <w:color w:val="auto"/>
        </w:rPr>
        <w:t>.” Notes referenced in this discussion and analysis refer to the notes to consolidated financial statements that are found in “</w:t>
      </w:r>
      <w:r>
        <w:rPr>
          <w:rFonts w:ascii="Times New Roman" w:cs="Times New Roman" w:eastAsia="Times New Roman" w:hAnsi="Times New Roman"/>
          <w:sz w:val="18"/>
          <w:szCs w:val="18"/>
          <w:i w:val="1"/>
          <w:iCs w:val="1"/>
          <w:color w:val="auto"/>
        </w:rPr>
        <w:t>Item 1. Financial Statements—Notes to Condensed Consolidated Financial Statements</w:t>
      </w:r>
      <w:r>
        <w:rPr>
          <w:rFonts w:ascii="Times New Roman" w:cs="Times New Roman" w:eastAsia="Times New Roman" w:hAnsi="Times New Roman"/>
          <w:sz w:val="18"/>
          <w:szCs w:val="18"/>
          <w:color w:val="auto"/>
        </w:rPr>
        <w:t>.” Certain statements contained in this discussion may be deemed to be forward-looking statements. See “</w:t>
      </w:r>
      <w:r>
        <w:rPr>
          <w:rFonts w:ascii="Times New Roman" w:cs="Times New Roman" w:eastAsia="Times New Roman" w:hAnsi="Times New Roman"/>
          <w:sz w:val="18"/>
          <w:szCs w:val="18"/>
          <w:i w:val="1"/>
          <w:iCs w:val="1"/>
          <w:color w:val="auto"/>
        </w:rPr>
        <w:t>Special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Actual results could differ materially from those discussed in or implied by forward-looking statements as a result of various factors,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discussed below and in our Annual Report on Form 10-K for the year ended December 31, 2024, particularly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Unless we state otherwise or the context otherwise requires, the terms “LSB,” “we,” “us,” “our” and the “Company” refer to LSB Industries, Inc. and its consolidated subsidiaries.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LSB is headquartered in Oklahoma City, Oklahoma and we manufacture and sell chemical products for the agricultural and industrial markets. We own and operate three multi-plant facilities in Cherokee, Alabama (the “Cherokee Facility”), El Dorado, Arkansas (the “El Dorado Facility”) and Pryor, Oklahoma (the “Pryor Facility”) and operate a facility on behalf of Covestro LLC in Baytown, Texas. Our products are sold through distributors and directly to end customers primarily throughout the United States and other parts of North America.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Initiatives for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future results of operations and financial condition to benefit from the following key initiatives:</w:t>
      </w:r>
    </w:p>
    <w:p>
      <w:pPr>
        <w:spacing w:after="0" w:line="115" w:lineRule="exact"/>
        <w:rPr>
          <w:sz w:val="20"/>
          <w:szCs w:val="20"/>
          <w:color w:val="auto"/>
        </w:rPr>
      </w:pPr>
    </w:p>
    <w:p>
      <w:pPr>
        <w:ind w:left="1020" w:right="240" w:hanging="503"/>
        <w:spacing w:after="0" w:line="28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Investing to improve Environmental, Health &amp; Safety and Reliability at our Facilities while Supplying our Customers with Products of the Highest Quality.</w:t>
      </w:r>
    </w:p>
    <w:p>
      <w:pPr>
        <w:spacing w:after="0" w:line="65" w:lineRule="exact"/>
        <w:rPr>
          <w:rFonts w:ascii="Times New Roman" w:cs="Times New Roman" w:eastAsia="Times New Roman" w:hAnsi="Times New Roman"/>
          <w:sz w:val="18"/>
          <w:szCs w:val="18"/>
          <w:color w:val="auto"/>
        </w:rPr>
      </w:pPr>
    </w:p>
    <w:p>
      <w:pPr>
        <w:ind w:left="1260" w:right="40" w:hanging="368"/>
        <w:spacing w:after="0" w:line="261" w:lineRule="auto"/>
        <w:tabs>
          <w:tab w:leader="none" w:pos="1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prioritize high safety standards that not only enable us to protect what matters, which is the well-being of our employees, but also translates into improved plant performance. We remain focused on our safety programs to move closer to attaining zero injuries. We have been investing and plan to continue to invest additional capital at all three of our facilities during 2025 to build upon the progress we have had in implementing enhanced safety programs during the last several years.</w:t>
      </w:r>
    </w:p>
    <w:p>
      <w:pPr>
        <w:spacing w:after="0" w:line="71" w:lineRule="exact"/>
        <w:rPr>
          <w:rFonts w:ascii="Times New Roman" w:cs="Times New Roman" w:eastAsia="Times New Roman" w:hAnsi="Times New Roman"/>
          <w:sz w:val="18"/>
          <w:szCs w:val="18"/>
          <w:color w:val="auto"/>
        </w:rPr>
      </w:pPr>
    </w:p>
    <w:p>
      <w:pPr>
        <w:ind w:left="1260" w:right="60" w:hanging="368"/>
        <w:spacing w:after="0" w:line="258" w:lineRule="auto"/>
        <w:tabs>
          <w:tab w:leader="none" w:pos="1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multiple initiatives underway focused on continuing to improve the reliability of our plants as we advance towards our ammonia on-stream operating rate target and increase our production volumes of ammonia and other downstream products. Progress towards these targets would enable us to produce greater volumes of product for sale while lowering our unit cost of production thereby increasing our overall profitability. Additionally, our product quality program continues to focus on providing products to our customers that meet our quality standards.</w:t>
      </w:r>
    </w:p>
    <w:p>
      <w:pPr>
        <w:spacing w:after="0" w:line="73" w:lineRule="exact"/>
        <w:rPr>
          <w:rFonts w:ascii="Times New Roman" w:cs="Times New Roman" w:eastAsia="Times New Roman" w:hAnsi="Times New Roman"/>
          <w:sz w:val="18"/>
          <w:szCs w:val="18"/>
          <w:color w:val="auto"/>
        </w:rPr>
      </w:pPr>
    </w:p>
    <w:p>
      <w:pPr>
        <w:ind w:left="1020" w:right="60" w:hanging="503"/>
        <w:spacing w:after="0" w:line="25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Optimization and Increase the Breadth of Distribution of our Product Mix. </w:t>
      </w:r>
      <w:r>
        <w:rPr>
          <w:rFonts w:ascii="Times New Roman" w:cs="Times New Roman" w:eastAsia="Times New Roman" w:hAnsi="Times New Roman"/>
          <w:sz w:val="18"/>
          <w:szCs w:val="18"/>
          <w:color w:val="auto"/>
        </w:rPr>
        <w:t>We have initiatives underway to increase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of our products within our industrial end markets, among other product mix optimization strategies. We believe that these initiatives and strategies, combined with continued expansion of our customer relationships, the robust market analysis capabilities we have developed, and the establishment of in-market tank storage and distribution terminals, will make us more effective in identifying and capitalizing on the most profitable distribution opportunities for our products, while making our financial results more stable and predictable. Additionally, we have completed and are advancing several capital improvement projects with the intention of increasing our sales volumes of higher value downstream products resulting in improvements in our overall profit margins.</w:t>
      </w:r>
    </w:p>
    <w:p>
      <w:pPr>
        <w:spacing w:after="0" w:line="74" w:lineRule="exact"/>
        <w:rPr>
          <w:rFonts w:ascii="Times New Roman" w:cs="Times New Roman" w:eastAsia="Times New Roman" w:hAnsi="Times New Roman"/>
          <w:sz w:val="18"/>
          <w:szCs w:val="18"/>
          <w:color w:val="auto"/>
        </w:rPr>
      </w:pPr>
    </w:p>
    <w:p>
      <w:pPr>
        <w:ind w:left="1020" w:right="120" w:hanging="503"/>
        <w:spacing w:after="0" w:line="25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Development of Low Carbon Ammonia and Other Products. </w:t>
      </w:r>
      <w:r>
        <w:rPr>
          <w:rFonts w:ascii="Times New Roman" w:cs="Times New Roman" w:eastAsia="Times New Roman" w:hAnsi="Times New Roman"/>
          <w:sz w:val="18"/>
          <w:szCs w:val="18"/>
          <w:color w:val="auto"/>
        </w:rPr>
        <w:t>The reduction of greenhouse gas emissions, particularly related to carbon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dioxide, has been and we expect will increasingly become a global environmental priority. Ammonia has continued to emerge as one of the more viable alternatives to serve as a hydrogen-based energy source for a variety of applications due to its higher energy density and ease of storage relative to hydrogen gas. Low carbon ammonia can be used as a coal and natural gas substitute in power generation, a zero-carbon fuel in the maritime sector, and as a carbon free fertilizer. If low carbon ammonia were to be adopted for these and other energy needs globally, some studies have indicated that future demand could increase from current levels of global annual production of ammonia.</w:t>
      </w:r>
    </w:p>
    <w:p>
      <w:pPr>
        <w:spacing w:after="0" w:line="76" w:lineRule="exact"/>
        <w:rPr>
          <w:rFonts w:ascii="Times New Roman" w:cs="Times New Roman" w:eastAsia="Times New Roman" w:hAnsi="Times New Roman"/>
          <w:sz w:val="18"/>
          <w:szCs w:val="18"/>
          <w:color w:val="auto"/>
        </w:rPr>
      </w:pPr>
    </w:p>
    <w:p>
      <w:pPr>
        <w:ind w:left="1020" w:right="1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carbon ammonia is produced using natural gas and conventional processes but includes an additional stage where the carbon dioxide emissions are captured and permanently stored in deep underground rock formations. We believe that the resulting low carbon emission product can be sold at a premium to conventional ammonia, to customers seeking to reduce their carbon footprint, particularly in the power generation, marine, industrial, mining and agricultural end markets. Additionally, we believe that producers of low carbon ammonia will be eligible for government incentives aimed at promoting carbon capture and sequestration (“CCS”).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ind w:left="1020" w:right="220"/>
        <w:spacing w:after="0" w:line="254" w:lineRule="auto"/>
        <w:rPr>
          <w:sz w:val="20"/>
          <w:szCs w:val="20"/>
          <w:color w:val="auto"/>
        </w:rPr>
      </w:pPr>
      <w:r>
        <w:rPr>
          <w:rFonts w:ascii="Times New Roman" w:cs="Times New Roman" w:eastAsia="Times New Roman" w:hAnsi="Times New Roman"/>
          <w:sz w:val="18"/>
          <w:szCs w:val="18"/>
          <w:color w:val="auto"/>
        </w:rPr>
        <w:t>We believe we are well-positioned to capitalize on this opportunity given our potential to retrofit our existing plants, which we believe can reduce our time to market for low carbon ammonia and also reduce the upfront capital expenditures necessary to enable us to produce this product. We are currently pursuing projects that could enable us to become a producer and marketer of low carbon ammonia and other derivative products. These projects include a low carbon ammonia project at our El Dorado Facility in collaboration with Lapis Carbon Solutions (“Lapis”) that we expect to be operational by the end of 2026. In January 2025, we achieved pre-certification status under the Fertilizer Institute’s Verified Ammonia Carbon Intensity program. This is a voluntary certification of the carbon footprint of ammonia production at a specific facility, from well to production gate. Our El Dorado ammonia plant is one of four North American plants to have received such a status.</w:t>
      </w:r>
    </w:p>
    <w:p>
      <w:pPr>
        <w:spacing w:after="0" w:line="82" w:lineRule="exact"/>
        <w:rPr>
          <w:sz w:val="20"/>
          <w:szCs w:val="20"/>
          <w:color w:val="auto"/>
        </w:rPr>
      </w:pPr>
    </w:p>
    <w:p>
      <w:pPr>
        <w:ind w:left="1020" w:right="40" w:hanging="503"/>
        <w:spacing w:after="0" w:line="25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Evaluate and Pursue Organic Capacity Expansion. </w:t>
      </w:r>
      <w:r>
        <w:rPr>
          <w:rFonts w:ascii="Times New Roman" w:cs="Times New Roman" w:eastAsia="Times New Roman" w:hAnsi="Times New Roman"/>
          <w:sz w:val="18"/>
          <w:szCs w:val="18"/>
          <w:color w:val="auto"/>
        </w:rPr>
        <w:t>We have been evaluating opportunities across all our facilities to increase production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through the implementation of several potential debottlenecking projects, particularly at our El Dorado Facility. Initial feasibility studies have pointed to potentially attractive returns for some of these projects. However, given the current high-cost environment and limited resources, coupled with our outlook for moderating selling prices, during 2024 we elected to put the El Dorado expansion projects on hold. We will continue evaluating these projects over the course of 2025 to determine our prospects of moving forward with one or more of them in the future.</w:t>
      </w:r>
    </w:p>
    <w:p>
      <w:pPr>
        <w:spacing w:after="0" w:line="74"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Evaluate Acquisitions of Strategic Assets or Companies. </w:t>
      </w:r>
      <w:r>
        <w:rPr>
          <w:rFonts w:ascii="Times New Roman" w:cs="Times New Roman" w:eastAsia="Times New Roman" w:hAnsi="Times New Roman"/>
          <w:sz w:val="18"/>
          <w:szCs w:val="18"/>
          <w:color w:val="auto"/>
        </w:rPr>
        <w:t>From time to time, we evaluate opportunities to acquire strategic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where we believe those acquisitions will enhance our value and provide attractive returns to our stockholders. We also consider assets and companies that can provide us with geographic expansion, extend an existing product line, add one or more new product lines, leverage our existing ammonia production capabilities, or complement our existing business lines, among other accretive opportunities.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Low Carbon Ammonia Initiatives</w:t>
      </w:r>
    </w:p>
    <w:p>
      <w:pPr>
        <w:spacing w:after="0" w:line="1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May 2024, we announced an agreement to supply, for a five-year period commencing January 1, 2025, up to 150,000 short tons per year of low carbon ammonium nitrate solution (“ANS”) to Freeport Minerals Corporation (“Freeport”). In early 2025 we began supplying conventional ANS to Freeport from our El Dorado Facility, and expect to phase in the low carbon contracted volume in late 2026. Freeport intends to use the low carbon ANS purchased from us for its United States copper mining operations.</w:t>
      </w:r>
    </w:p>
    <w:p>
      <w:pPr>
        <w:spacing w:after="0" w:line="12"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In April 2022, we entered into an agreement with Lapis to develop a project to capture and sequester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at our El Dorado Facility. Lapis, backed by Cresta Fund Management, a Dallas-based middle-market infrastructure investment firm, will invest the majority of the capital required for project development. The project is expected to be completed and operational by the end of 2026, subject to the approval of a Class VI permit, at which time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injections are expected to begin. Once operational, the project at the El Dorado site will initially capture and sequester approximately 400,000 to 500,000 metric tons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per year in underground saline aquifers.</w:t>
      </w:r>
    </w:p>
    <w:p>
      <w:pPr>
        <w:spacing w:after="0" w:line="23"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The sequestered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generated from the facility’s ammonia production is expected to qualify for federal tax credits under Internal Revenue Code Section 45Q, which are $85 per metric ton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captured and sequestered. Lapis, as the majority owner of the CCS equipment, will earn the 45Q tax credits and will pay us a fee for each ton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captured and sequestered by the end of 2026. Once in operation, the sequestered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is expected to reduce our overall scope 1 GHG emissions by approximately 25% from current levels. In addition, sequestering approximately 400,000 to 500,000 metric tons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annually is expected to enable us to produce approximately 305,000 to 380,000 metric tons of low carbon ammonia annually, a product that could potentially be sold at higher price levels than conventional ammonia. In February 2023, a key milestone was achieved in the advancement of our low carbon ammonia project at El Dorado by filing a pre-construction Class VI permit application with the United States Environmental Protection Agency (the “EPA”). The EPA recognized the application as complete in March 2023 and is currently in the review process. In June 2025, Lapis completed the drilling of a stratigraphic injection well at the El Dorado site and has been gathering data to support the EPA in its continuing technical review of our Class VI application. Once the project receives EPA approval, we intend to use this well for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injections.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Outlook</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Demand for our industrial products remains consistent despite global economic concerns. Nitric acid demand has been robust, reflecting strong domestic production driven by proposed anti-dumping duties on imported methylene diphenyl diisocyanate (MDI) (for which nitric acid is a raw material in its production process), import tariffs and the resilience of the U.S. economy. Demand for AN for use in mining applications is robust across all commodities, particularly metals, with copper and gold in limited supply globally. Gold and copper prices are at or near historical highs with strong outlooks for future demand to underpin current production levels and potential new projects that increase production volumes. Demand for AN is also benefiting from quarrying/aggregate production for infrastructure upgrade and expansion. These factors should continue to support AN demand through the remainder of 2025 and into 2026. Economic uncertainty continues to be heightened by the potential impacts of tariffs on global trade flows, consumer prices and production input costs. However, we believe that we have a meaningful degree of downside protection in our industrial business given our diverse customer base which is almost entirely located in the United States, the nature of our contracts and our ability to shift our production mix to products where demand and pricing are strongest.</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9" w:name="page20"/>
    <w:bookmarkEnd w:id="19"/>
    <w:p>
      <w:pPr>
        <w:ind w:right="20"/>
        <w:spacing w:after="0" w:line="261" w:lineRule="auto"/>
        <w:rPr>
          <w:sz w:val="20"/>
          <w:szCs w:val="20"/>
          <w:color w:val="auto"/>
        </w:rPr>
      </w:pPr>
      <w:r>
        <w:rPr>
          <w:rFonts w:ascii="Times New Roman" w:cs="Times New Roman" w:eastAsia="Times New Roman" w:hAnsi="Times New Roman"/>
          <w:sz w:val="18"/>
          <w:szCs w:val="18"/>
          <w:color w:val="auto"/>
        </w:rPr>
        <w:t>Ammonia prices currently reflect constrained global inventories resulting from reduced supply from the Middle East, higher cost of production in Europe and delays to the start-up of new production capacity. Supply constraints are expected to continue through the end of 2025, however, this could change and pricing may be impacted by the start-up of new production capacity in both the U.S. and internationally, with at least one new world scale plant expected to come online before the end of 2025.</w:t>
      </w:r>
    </w:p>
    <w:p>
      <w:pPr>
        <w:spacing w:after="0" w:line="11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Pricing for ammonia derivative fertilizer products has been strong. UAN prices have strengthened above year-ago levels, reflecting steady exports, lower imports and strong demand, resulting in tight U.S. supply fundamentals and below average distribution channel inventory levels throughout the U.S. which are expected to remain into 2026. UAN prices have also been positively impacted by robust global demand for urea.</w:t>
      </w:r>
    </w:p>
    <w:p>
      <w:pPr>
        <w:spacing w:after="0" w:line="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Corn market dynamics appear supportive of strong fertilizer demand. The United States Department of Agriculture’s (“USDA”) recent revision of domestic spring planting season estimates to approximately 98 million planted acres of corn, up 9% from 2024, is not expected to hinder demand for the fall program, which remains subject to seasonal weather outcomes. The outlook for U.S. corn calls for a small increase in stocks to use as a result of strong 2025 plantings and harvest expectations. We expect to see a reduction in planted acres in 2026 closer to recent averages of 91 million to 93 million acres underpinning nitrogen fertilizer demand levels in line with recent years.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Industry Factors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Fertilizer</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From a farmer’s perspective, the demand for fertilizer is affected by the aggregate crop planting decisions including farm economics, weather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7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Additionally, changes in corn prices, as well as soybean, cotton and wheat prices, can affect the number of acres of corn planted in a given year and the number of acres planted will drive the level of nitrogen fertilizer consumption, likely affecting prices.</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According to the World Agricultural Supply and Demand Estimates Report dated September 12, 2025 (the “September Report”), farmers planted approximately 98.7 million acres of corn in the 2025 planting season, up 8.9% compared to the 2024 planting season. According to the September Report, the USDA estimates the U.S. ending stocks for the 2025 Harvest will be approximately 53.6 million metric tons, a 59.1% increase from the 2024 Harvest. The USDA's expected yield per acre for the 2025 Harvest is 186.7 bushels, up approximately 4.1% from a year ago.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September 2025 estimates are associated with the corn market: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 Crop</w:t>
            </w:r>
          </w:p>
        </w:tc>
        <w:tc>
          <w:tcPr>
            <w:tcW w:w="2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Crop</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Crop</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4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Harvest)</w:t>
            </w:r>
          </w:p>
        </w:tc>
        <w:tc>
          <w:tcPr>
            <w:tcW w:w="2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Harvest)</w:t>
            </w:r>
          </w:p>
        </w:tc>
        <w:tc>
          <w:tcPr>
            <w:tcW w:w="22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 Harvest)</w:t>
            </w:r>
          </w:p>
        </w:tc>
        <w:tc>
          <w:tcPr>
            <w:tcW w:w="220" w:type="dxa"/>
            <w:vAlign w:val="bottom"/>
          </w:tcPr>
          <w:p>
            <w:pPr>
              <w:spacing w:after="0"/>
              <w:rPr>
                <w:sz w:val="15"/>
                <w:szCs w:val="15"/>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7"/>
        </w:trPr>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U.S. Area Planted </w:t>
            </w:r>
            <w:r>
              <w:rPr>
                <w:rFonts w:ascii="Times New Roman" w:cs="Times New Roman" w:eastAsia="Times New Roman" w:hAnsi="Times New Roman"/>
                <w:sz w:val="14"/>
                <w:szCs w:val="14"/>
                <w:i w:val="1"/>
                <w:iCs w:val="1"/>
                <w:color w:val="auto"/>
              </w:rPr>
              <w:t>(Million acres)</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Report (1)</w:t>
            </w:r>
          </w:p>
        </w:tc>
        <w:tc>
          <w:tcPr>
            <w:tcW w:w="22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Report (1)</w:t>
            </w:r>
          </w:p>
        </w:tc>
        <w:tc>
          <w:tcPr>
            <w:tcW w:w="220" w:type="dxa"/>
            <w:vAlign w:val="bottom"/>
          </w:tcPr>
          <w:p>
            <w:pPr>
              <w:spacing w:after="0"/>
              <w:rPr>
                <w:sz w:val="19"/>
                <w:szCs w:val="19"/>
                <w:color w:val="auto"/>
              </w:rPr>
            </w:pPr>
          </w:p>
        </w:tc>
        <w:tc>
          <w:tcPr>
            <w:tcW w:w="11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Change (2)</w:t>
            </w: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Report (1)</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Change (3)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80" w:type="dxa"/>
            <w:vAlign w:val="bottom"/>
            <w:vMerge w:val="continue"/>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U.S. Yield per Acre </w:t>
            </w:r>
            <w:r>
              <w:rPr>
                <w:rFonts w:ascii="Times New Roman" w:cs="Times New Roman" w:eastAsia="Times New Roman" w:hAnsi="Times New Roman"/>
                <w:sz w:val="14"/>
                <w:szCs w:val="14"/>
                <w:i w:val="1"/>
                <w:iCs w:val="1"/>
                <w:color w:val="auto"/>
              </w:rPr>
              <w:t>(Bushels)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6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6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U.S. Production </w:t>
            </w:r>
            <w:r>
              <w:rPr>
                <w:rFonts w:ascii="Times New Roman" w:cs="Times New Roman" w:eastAsia="Times New Roman" w:hAnsi="Times New Roman"/>
                <w:sz w:val="14"/>
                <w:szCs w:val="14"/>
                <w:i w:val="1"/>
                <w:iCs w:val="1"/>
                <w:color w:val="auto"/>
              </w:rPr>
              <w:t>(Million bushels)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14,867</w:t>
            </w:r>
          </w:p>
        </w:tc>
        <w:tc>
          <w:tcPr>
            <w:tcW w:w="1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15,341</w:t>
            </w:r>
          </w:p>
        </w:tc>
        <w:tc>
          <w:tcPr>
            <w:tcW w:w="1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U.S. Ending Stocks </w:t>
            </w:r>
            <w:r>
              <w:rPr>
                <w:rFonts w:ascii="Times New Roman" w:cs="Times New Roman" w:eastAsia="Times New Roman" w:hAnsi="Times New Roman"/>
                <w:sz w:val="14"/>
                <w:szCs w:val="14"/>
                <w:i w:val="1"/>
                <w:iCs w:val="1"/>
                <w:color w:val="auto"/>
              </w:rPr>
              <w:t>(Million metric tons)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59.1%</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6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World Ending Stocks </w:t>
            </w:r>
            <w:r>
              <w:rPr>
                <w:rFonts w:ascii="Times New Roman" w:cs="Times New Roman" w:eastAsia="Times New Roman" w:hAnsi="Times New Roman"/>
                <w:sz w:val="14"/>
                <w:szCs w:val="14"/>
                <w:i w:val="1"/>
                <w:iCs w:val="1"/>
                <w:color w:val="auto"/>
              </w:rPr>
              <w:t>(Million metric tons)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60" w:right="60" w:hanging="378"/>
        <w:spacing w:after="0" w:line="255"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obtained from the September Report for the 2026/2025 (“2026 Crop”), 2024/2025 ("2025 Crop") and 2023/2024 (“2024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spacing w:after="0" w:line="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change between the 2026 Crop amounts compared to the 2025 Crop amounts.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change between the 2026 Crop amounts compared to the 2024 Crop amounts.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20"/>
        <w:spacing w:after="0" w:line="261" w:lineRule="auto"/>
        <w:rPr>
          <w:sz w:val="20"/>
          <w:szCs w:val="20"/>
          <w:color w:val="auto"/>
        </w:rPr>
      </w:pPr>
      <w:r>
        <w:rPr>
          <w:rFonts w:ascii="Times New Roman" w:cs="Times New Roman" w:eastAsia="Times New Roman" w:hAnsi="Times New Roman"/>
          <w:sz w:val="18"/>
          <w:szCs w:val="18"/>
          <w:color w:val="auto"/>
        </w:rPr>
        <w:t>The current USDA corn outlook for the U.S. calls for greater supplies, larger exports, and a slight reduction in ending stocks. Corn beginning stocks are higher based on a lower use forecast for the 2024 Harvest, with reductions in imports and corn used for ethanol partially offset by an increase in exports. Corn production for the 2025 Harvest is forecast at 16.8 billion bushels. If realized, harvested area would be the highest since 1933 and planted area of 98.7 million acres the highest since 1936.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Industrial Products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industrial products sales volumes are dependent upon general economic conditions, primarily in the housing, automotive and paper industries. Demand for our industrial products is stable despite persistent global economic challenges. Nitric acid demand has been robust, reflecting strong domestic production. Our sales prices generally vary with the market price of ammonia or natural gas, as applicable, in our pricing arrangements with customers.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LDAN and AN solution, which are primarily used as AN fuel oil and specialty emulsions for usage in the quarry and the construction industries, are used for metals mining and to a lesser extent, for coal. Demand for AN for use in mining applications has been bolstered by positive exposure to copper, gold and iron ore, as well as continued attractive market fundamentals for aggregate production relating to infrastructure construction. Economic uncertainty has recently been heightened by the potential impacts of tariffs on global trade flows, consumer prices and production input costs. However, we believe that we have a meaningful degree of downside protection in our industrial business given our diverse customer base which is almost entirely located in the United States, the nature of our contracts and our ability to shift our production mix to products where demand and pricing are strongest.</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Natural Gas Prices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historically have purchased natural gas either on the spot market, through forward purchase contracts, or a combination of both and we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volume of natural gas purchased and the average cost per MMBtu:</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1080" w:type="dxa"/>
            <w:vAlign w:val="bottom"/>
            <w:tcBorders>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Borders>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50"/>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Natural gas volumes (MMBtu in millions)</w:t>
            </w:r>
          </w:p>
        </w:tc>
        <w:tc>
          <w:tcPr>
            <w:tcW w:w="10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Natural gas average cost per MMBtu</w:t>
            </w:r>
          </w:p>
        </w:tc>
        <w:tc>
          <w:tcPr>
            <w:tcW w:w="1080" w:type="dxa"/>
            <w:vAlign w:val="bottom"/>
          </w:tcPr>
          <w:p>
            <w:pPr>
              <w:jc w:val="right"/>
              <w:ind w:right="92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3.08</w:t>
            </w:r>
          </w:p>
        </w:tc>
        <w:tc>
          <w:tcPr>
            <w:tcW w:w="360" w:type="dxa"/>
            <w:vAlign w:val="bottom"/>
          </w:tcPr>
          <w:p>
            <w:pPr>
              <w:spacing w:after="0"/>
              <w:rPr>
                <w:sz w:val="17"/>
                <w:szCs w:val="17"/>
                <w:color w:val="auto"/>
              </w:rPr>
            </w:pPr>
          </w:p>
        </w:tc>
        <w:tc>
          <w:tcPr>
            <w:tcW w:w="1060" w:type="dxa"/>
            <w:vAlign w:val="bottom"/>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2.17</w:t>
            </w:r>
          </w:p>
        </w:tc>
      </w:tr>
      <w:tr>
        <w:trPr>
          <w:trHeight w:val="20"/>
        </w:trPr>
        <w:tc>
          <w:tcPr>
            <w:tcW w:w="7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-187960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Transportation Costs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Costs for transporting nitrogen-based products can be significant relative to their selling price. We continue to evaluate the rising costs of freight domestically. As a result of increases in demand for available rail, truck and barge options to transport product, primarily during the spring and fall planting seasons, higher transportation costs have and could continue to impact our margins, where we are unable to fully pass through these costs to our customers. Additionally, truck driver shortages could impact our ability to fulfill customer demand. As a result, we continue to evaluate supply chain efficiencies to reduce or counter the impact of higher logistics costs.</w:t>
      </w:r>
    </w:p>
    <w:p>
      <w:pPr>
        <w:spacing w:after="0" w:line="71" w:lineRule="exact"/>
        <w:rPr>
          <w:sz w:val="20"/>
          <w:szCs w:val="20"/>
          <w:color w:val="auto"/>
        </w:rPr>
      </w:pPr>
    </w:p>
    <w:p>
      <w:pPr>
        <w:jc w:val="center"/>
        <w:ind w:right="9320"/>
        <w:spacing w:after="0"/>
        <w:rPr>
          <w:sz w:val="20"/>
          <w:szCs w:val="20"/>
          <w:color w:val="auto"/>
        </w:rPr>
      </w:pPr>
      <w:r>
        <w:rPr>
          <w:rFonts w:ascii="Times New Roman" w:cs="Times New Roman" w:eastAsia="Times New Roman" w:hAnsi="Times New Roman"/>
          <w:sz w:val="18"/>
          <w:szCs w:val="18"/>
          <w:b w:val="1"/>
          <w:bCs w:val="1"/>
          <w:color w:val="auto"/>
        </w:rPr>
        <w:t>Key Operational Factors</w:t>
      </w:r>
    </w:p>
    <w:p>
      <w:pPr>
        <w:spacing w:after="0" w:line="117" w:lineRule="exact"/>
        <w:rPr>
          <w:sz w:val="20"/>
          <w:szCs w:val="20"/>
          <w:color w:val="auto"/>
        </w:rPr>
      </w:pPr>
    </w:p>
    <w:p>
      <w:pPr>
        <w:jc w:val="center"/>
        <w:ind w:right="9340"/>
        <w:spacing w:after="0"/>
        <w:rPr>
          <w:sz w:val="20"/>
          <w:szCs w:val="20"/>
          <w:color w:val="auto"/>
        </w:rPr>
      </w:pPr>
      <w:r>
        <w:rPr>
          <w:rFonts w:ascii="Times New Roman" w:cs="Times New Roman" w:eastAsia="Times New Roman" w:hAnsi="Times New Roman"/>
          <w:sz w:val="18"/>
          <w:szCs w:val="18"/>
          <w:b w:val="1"/>
          <w:bCs w:val="1"/>
          <w:i w:val="1"/>
          <w:iCs w:val="1"/>
          <w:color w:val="auto"/>
        </w:rPr>
        <w:t>Facility Reliability</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Consistent, reliable and safe operations at our chemical plants are critical to our financial performance and results of operations. The financial effects of planned downtime at our plants, including a planned major maintenance activity (each such activity, a “Turnaround”)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next ammonia plant Turnaround is currently planned for our El Dorado Facility in the first half of 2026. We completed Turnarounds at both our Pryor Facility and Cherokee Facility in the latter half of 2024. Following those Turnarounds, the next Pryor Facility Turnaround is currently planned for 2027, with the Cherokee Facility Turnaround currently planned for 2028.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Ammonia Production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Ammonia is the basic product used to produce all of our upgraded products. The ammonia production rates of our plants affect the total cost per ton of each product produced and the overall sales of our products. For 2025, we are targeting total ammonia production of approximately 820,000 tons to 850,000 tons.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Forward Sales Contracts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certain instances, we may use forward sales of our fertilizer products to optimize our asset utilization, planning process and production scheduling. These sales are made by offering customers the opportunity to purchase product on a forward basis at prices and delivery dates that are agreed upon, with delivery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the Third Quarter of 2025</w:t>
      </w:r>
    </w:p>
    <w:p>
      <w:pPr>
        <w:spacing w:after="0" w:line="12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Our consolidated net sales for the third quarter of 2025 were $155.4 million compared to $109.2 million for the same period in 2024. Our consolidated operating income for the third quarter of 2025 was $15.6 million compared to an operating loss of $24.4 million for the same period in 2024. The items impacting our operating results are discussed in more detail below and under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Affecting Comparability of Results of the Third Quarter</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Shift in Production Mix</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Earlier this year, we commenced the process of transitioning our production of fertilizer grade ammonium nitrate (“HDAN”), an agricultural/fertilizer product, to ANS, a product used in industrial and mining applications. This transition was completed and the Company ceased production of HDAN during the third quarter of 2025. This transition from HDAN to ANS is consistent with our strategy to shift a portion of our sales mix from agricultural sales made at spot market pricing, which can be volatile, towards sales covered under multi-year contracts where we pass through the cost of natural gas feedstock.</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Prices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the third quarter of 2025, average selling prices for UAN and ammonia increased while the average selling price for AN and nitric acid decreased compared to the third quarter of 2024.</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Turnaround Activities (2024 only)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performed major Turnaround activities at our Pryor Facility in the third quarter of 2024. Additionally, we planned and executed a minor planned outage at our El Dorado Facility during July 2024 to change the catalyst in the ammonia plant to maximize production rates. When such activities are performed, overall results are negatively impacted. This impact includes lost contribution margin from lost sales, lost fixed cost absorption from lower production, and increased costs associated with repairs and maintenance. In addition, Turnaround-related costs may be incurred in periods earlier than the actual outage of the plant for activities such as planning and procurement of materials.</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Plant, Property and Equipment Impairments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and 2024, we recorded asset write-downs primarily related to assets no longer in use in the amount of $0.4 million and $5.6 million, respectively. These write-downs are included in “Other (income) expense, net” on our condensed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discussion and analysis of our condensed consolidated results of operations for the three months ended September 30, 2025 and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to unaffiliated customers are reported in the condensed consolidated financial statements and gross profit represents net sales less cost of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are reported on a gross basis with the cost of freight being recorded in cost of sales.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September 30, 2025 Compared to Three Months Ended September 30, 2024</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financial information for the three months ended September 30, 2025 and 2024, the increase or decrease between those periods, and the percentage increase or decrease between those periods with respect to each line item:</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gridSpan w:val="2"/>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(Dollars In Thousands)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 &amp; Nitric Acid</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57,522</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47,981</w:t>
            </w:r>
          </w:p>
        </w:tc>
        <w:tc>
          <w:tcPr>
            <w:tcW w:w="30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3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51,423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25,303</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26,120</w:t>
            </w:r>
          </w:p>
        </w:tc>
        <w:tc>
          <w:tcPr>
            <w:tcW w:w="3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16"/>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Ammonia</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3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3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3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10"/>
        </w:trPr>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net sales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155,431</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109,217</w:t>
            </w:r>
          </w:p>
        </w:tc>
        <w:tc>
          <w:tcPr>
            <w:tcW w:w="30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46,214</w:t>
            </w:r>
          </w:p>
        </w:tc>
        <w:tc>
          <w:tcPr>
            <w:tcW w:w="3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14"/>
                <w:szCs w:val="14"/>
                <w:color w:val="auto"/>
              </w:rPr>
              <w:t>(1)</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45,978</w:t>
            </w:r>
          </w:p>
        </w:tc>
        <w:tc>
          <w:tcPr>
            <w:tcW w:w="2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25,003</w:t>
            </w:r>
          </w:p>
        </w:tc>
        <w:tc>
          <w:tcPr>
            <w:tcW w:w="3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20,975</w:t>
            </w:r>
          </w:p>
        </w:tc>
        <w:tc>
          <w:tcPr>
            <w:tcW w:w="3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16"/>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4"/>
                <w:szCs w:val="14"/>
                <w:color w:val="auto"/>
              </w:rPr>
              <w:t>(2)</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(2,684)</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Turnaround expense</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(16,284)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15,197</w:t>
            </w:r>
          </w:p>
        </w:tc>
        <w:tc>
          <w:tcPr>
            <w:tcW w:w="3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gross profit (loss)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33,488</w:t>
            </w:r>
          </w:p>
        </w:tc>
        <w:tc>
          <w:tcPr>
            <w:tcW w:w="3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(6,855)</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(24,423)</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40,052</w:t>
            </w:r>
          </w:p>
        </w:tc>
        <w:tc>
          <w:tcPr>
            <w:tcW w:w="3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(752)</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Non-operating other income, net</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(2,674)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3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3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240" w:type="dxa"/>
            <w:vAlign w:val="bottom"/>
            <w:shd w:val="clear" w:color="auto" w:fill="CFF0FC"/>
          </w:tcPr>
          <w:p>
            <w:pPr>
              <w:spacing w:after="0"/>
              <w:rPr>
                <w:sz w:val="21"/>
                <w:szCs w:val="21"/>
                <w:color w:val="auto"/>
              </w:rPr>
            </w:pPr>
          </w:p>
        </w:tc>
        <w:tc>
          <w:tcPr>
            <w:tcW w:w="4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(25,382)</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32,497</w:t>
            </w:r>
          </w:p>
        </w:tc>
        <w:tc>
          <w:tcPr>
            <w:tcW w:w="3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7"/>
        </w:trPr>
        <w:tc>
          <w:tcPr>
            <w:tcW w:w="3860" w:type="dxa"/>
            <w:vAlign w:val="bottom"/>
            <w:tcBorders>
              <w:top w:val="single" w:sz="8" w:color="CFF0FC"/>
            </w:tcBorders>
          </w:tcPr>
          <w:p>
            <w:pPr>
              <w:spacing w:after="0"/>
              <w:rPr>
                <w:sz w:val="17"/>
                <w:szCs w:val="17"/>
                <w:color w:val="auto"/>
              </w:rPr>
            </w:pPr>
          </w:p>
        </w:tc>
        <w:tc>
          <w:tcPr>
            <w:tcW w:w="6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36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Gross profit (loss) percentage </w:t>
            </w:r>
            <w:r>
              <w:rPr>
                <w:rFonts w:ascii="Times New Roman" w:cs="Times New Roman" w:eastAsia="Times New Roman" w:hAnsi="Times New Roman"/>
                <w:sz w:val="14"/>
                <w:szCs w:val="14"/>
                <w:color w:val="auto"/>
              </w:rPr>
              <w:t>(3)</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23.7 %</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FF0FC"/>
          </w:tcPr>
          <w:p>
            <w:pPr>
              <w:ind w:left="40"/>
              <w:spacing w:after="0" w:line="196" w:lineRule="exact"/>
              <w:rPr>
                <w:sz w:val="20"/>
                <w:szCs w:val="20"/>
                <w:color w:val="auto"/>
              </w:rPr>
            </w:pPr>
            <w:r>
              <w:rPr>
                <w:rFonts w:ascii="Times New Roman" w:cs="Times New Roman" w:eastAsia="Times New Roman" w:hAnsi="Times New Roman"/>
                <w:sz w:val="18"/>
                <w:szCs w:val="18"/>
                <w:color w:val="auto"/>
              </w:rPr>
              <w:t xml:space="preserve">Adjusted gross profit percentage </w:t>
            </w:r>
            <w:r>
              <w:rPr>
                <w:rFonts w:ascii="Times New Roman" w:cs="Times New Roman" w:eastAsia="Times New Roman" w:hAnsi="Times New Roman"/>
                <w:sz w:val="14"/>
                <w:szCs w:val="14"/>
                <w:color w:val="auto"/>
              </w:rPr>
              <w:t>(3)</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29.6 %</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22.9 %</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6.7 %</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Property, plant and equipment expenditures</w:t>
            </w:r>
          </w:p>
        </w:tc>
        <w:tc>
          <w:tcPr>
            <w:tcW w:w="9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16,978</w:t>
            </w:r>
          </w:p>
        </w:tc>
        <w:tc>
          <w:tcPr>
            <w:tcW w:w="240" w:type="dxa"/>
            <w:vAlign w:val="bottom"/>
          </w:tcPr>
          <w:p>
            <w:pPr>
              <w:spacing w:after="0"/>
              <w:rPr>
                <w:sz w:val="17"/>
                <w:szCs w:val="17"/>
                <w:color w:val="auto"/>
              </w:rPr>
            </w:pPr>
          </w:p>
        </w:tc>
        <w:tc>
          <w:tcPr>
            <w:tcW w:w="4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31,040</w:t>
            </w:r>
          </w:p>
        </w:tc>
        <w:tc>
          <w:tcPr>
            <w:tcW w:w="300" w:type="dxa"/>
            <w:vAlign w:val="bottom"/>
          </w:tcPr>
          <w:p>
            <w:pPr>
              <w:spacing w:after="0"/>
              <w:rPr>
                <w:sz w:val="17"/>
                <w:szCs w:val="17"/>
                <w:color w:val="auto"/>
              </w:rPr>
            </w:pPr>
          </w:p>
        </w:tc>
        <w:tc>
          <w:tcPr>
            <w:tcW w:w="3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(14,062)</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line="125" w:lineRule="exact"/>
              <w:rPr>
                <w:sz w:val="20"/>
                <w:szCs w:val="20"/>
                <w:color w:val="auto"/>
              </w:rPr>
            </w:pPr>
            <w:r>
              <w:rPr>
                <w:rFonts w:ascii="Times New Roman" w:cs="Times New Roman" w:eastAsia="Times New Roman" w:hAnsi="Times New Roman"/>
                <w:sz w:val="11"/>
                <w:szCs w:val="11"/>
                <w:color w:val="auto"/>
              </w:rPr>
              <w:t>_____________________________</w:t>
            </w: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38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3860" w:type="dxa"/>
            <w:vAlign w:val="bottom"/>
          </w:tcPr>
          <w:p>
            <w:pPr>
              <w:spacing w:after="0"/>
              <w:rPr>
                <w:sz w:val="20"/>
                <w:szCs w:val="20"/>
                <w:color w:val="auto"/>
              </w:rPr>
            </w:pPr>
            <w:r>
              <w:rPr>
                <w:rFonts w:ascii="Times New Roman" w:cs="Times New Roman" w:eastAsia="Times New Roman" w:hAnsi="Times New Roman"/>
                <w:sz w:val="15"/>
                <w:szCs w:val="15"/>
                <w:color w:val="auto"/>
              </w:rPr>
              <w:t>N/M-Not meaningful.</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-2960370</wp:posOffset>
            </wp:positionV>
            <wp:extent cx="137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-2960370</wp:posOffset>
            </wp:positionV>
            <wp:extent cx="1454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-2960370</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-2103120</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-2103120</wp:posOffset>
            </wp:positionV>
            <wp:extent cx="1454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-2103120</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-979805</wp:posOffset>
            </wp:positionV>
            <wp:extent cx="1371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-962660</wp:posOffset>
            </wp:positionV>
            <wp:extent cx="1371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-979805</wp:posOffset>
            </wp:positionV>
            <wp:extent cx="1454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-962660</wp:posOffset>
            </wp:positionV>
            <wp:extent cx="1454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-979805</wp:posOffset>
            </wp:positionV>
            <wp:extent cx="137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-962660</wp:posOffset>
            </wp:positionV>
            <wp:extent cx="1371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-379730</wp:posOffset>
            </wp:positionV>
            <wp:extent cx="137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-362585</wp:posOffset>
            </wp:positionV>
            <wp:extent cx="137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-379730</wp:posOffset>
            </wp:positionV>
            <wp:extent cx="1454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-362585</wp:posOffset>
            </wp:positionV>
            <wp:extent cx="1454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-379730</wp:posOffset>
            </wp:positionV>
            <wp:extent cx="137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-362585</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80" w:hanging="372"/>
        <w:spacing w:after="0"/>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Represents a non-GAAP measure since the amount excludes unallocated depreciation, amortization and Turnaround expenses.</w:t>
      </w:r>
    </w:p>
    <w:p>
      <w:pPr>
        <w:spacing w:after="0" w:line="18"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Represents amount classified as cost of sales.</w:t>
      </w:r>
    </w:p>
    <w:p>
      <w:pPr>
        <w:spacing w:after="0" w:line="18"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As a percentage of the total net sales.</w:t>
      </w:r>
    </w:p>
    <w:p>
      <w:pPr>
        <w:spacing w:after="0" w:line="11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provide key operating metrics for the fertilizer and major industrial products, the increase or decrease between those periods, and the percentage increase or decrease between those periods with respect to each line item:</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42"/>
        </w:trPr>
        <w:tc>
          <w:tcPr>
            <w:tcW w:w="45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Product (tons sold)</w:t>
            </w:r>
          </w:p>
        </w:tc>
        <w:tc>
          <w:tcPr>
            <w:tcW w:w="240" w:type="dxa"/>
            <w:vAlign w:val="bottom"/>
          </w:tcPr>
          <w:p>
            <w:pPr>
              <w:spacing w:after="0"/>
              <w:rPr>
                <w:sz w:val="12"/>
                <w:szCs w:val="12"/>
                <w:color w:val="auto"/>
              </w:rPr>
            </w:pPr>
          </w:p>
        </w:tc>
        <w:tc>
          <w:tcPr>
            <w:tcW w:w="1160" w:type="dxa"/>
            <w:vAlign w:val="bottom"/>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0"/>
        </w:trPr>
        <w:tc>
          <w:tcPr>
            <w:tcW w:w="11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580" w:type="dxa"/>
            <w:vAlign w:val="bottom"/>
            <w:tcBorders>
              <w:right w:val="single" w:sz="8" w:color="CFF0FC"/>
            </w:tcBorders>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AN &amp; Nitric Acid</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159,662</w:t>
            </w:r>
          </w:p>
        </w:tc>
        <w:tc>
          <w:tcPr>
            <w:tcW w:w="26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127,139</w:t>
            </w:r>
          </w:p>
        </w:tc>
        <w:tc>
          <w:tcPr>
            <w:tcW w:w="2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32,523</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r>
      <w:tr>
        <w:trPr>
          <w:trHeight w:val="216"/>
        </w:trPr>
        <w:tc>
          <w:tcPr>
            <w:tcW w:w="4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134,634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95,468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r>
      <w:tr>
        <w:trPr>
          <w:trHeight w:val="216"/>
        </w:trPr>
        <w:tc>
          <w:tcPr>
            <w:tcW w:w="4580" w:type="dxa"/>
            <w:vAlign w:val="bottom"/>
            <w:tcBorders>
              <w:bottom w:val="single" w:sz="8" w:color="CFF0FC"/>
              <w:right w:val="single" w:sz="8" w:color="CFF0FC"/>
            </w:tcBorders>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Ammonia</w:t>
            </w: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86,322</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68,497</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r>
      <w:tr>
        <w:trPr>
          <w:trHeight w:val="210"/>
        </w:trPr>
        <w:tc>
          <w:tcPr>
            <w:tcW w:w="45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380,618</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291,104</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r>
      <w:tr>
        <w:trPr>
          <w:trHeight w:val="20"/>
        </w:trPr>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61"/>
        </w:trPr>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42"/>
        </w:trPr>
        <w:tc>
          <w:tcPr>
            <w:tcW w:w="25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Gross Average Selling Prices (price per ton)</w:t>
            </w:r>
          </w:p>
        </w:tc>
        <w:tc>
          <w:tcPr>
            <w:tcW w:w="20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2"/>
                <w:szCs w:val="12"/>
                <w:color w:val="auto"/>
              </w:rPr>
            </w:pPr>
          </w:p>
        </w:tc>
      </w:tr>
      <w:tr>
        <w:trPr>
          <w:trHeight w:val="210"/>
        </w:trPr>
        <w:tc>
          <w:tcPr>
            <w:tcW w:w="4580" w:type="dxa"/>
            <w:vAlign w:val="bottom"/>
            <w:tcBorders>
              <w:right w:val="single" w:sz="8" w:color="CFF0FC"/>
            </w:tcBorders>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AN &amp; Nitric Acid</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r>
      <w:tr>
        <w:trPr>
          <w:trHeight w:val="216"/>
        </w:trPr>
        <w:tc>
          <w:tcPr>
            <w:tcW w:w="4580" w:type="dxa"/>
            <w:vAlign w:val="bottom"/>
            <w:tcBorders>
              <w:right w:val="single" w:sz="8" w:color="CFF0FC"/>
            </w:tcBorders>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Ammonia</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648"/>
        </w:trPr>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63"/>
        </w:trPr>
        <w:tc>
          <w:tcPr>
            <w:tcW w:w="1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-1971040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-1971040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-1971040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Benchmark Prices (price per ton)</w:t>
            </w:r>
          </w:p>
        </w:tc>
        <w:tc>
          <w:tcPr>
            <w:tcW w:w="20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7"/>
                <w:szCs w:val="17"/>
                <w:color w:val="auto"/>
              </w:rPr>
            </w:pP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
        </w:trPr>
        <w:tc>
          <w:tcPr>
            <w:tcW w:w="24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Tampa Ammonia Benchmark</w:t>
            </w:r>
          </w:p>
        </w:tc>
        <w:tc>
          <w:tcPr>
            <w:tcW w:w="10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320" w:type="dxa"/>
            <w:vAlign w:val="bottom"/>
            <w:gridSpan w:val="2"/>
            <w:shd w:val="clear" w:color="auto" w:fill="CFF0FC"/>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34"/>
        </w:trPr>
        <w:tc>
          <w:tcPr>
            <w:tcW w:w="3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NOLA UAN</w:t>
            </w:r>
          </w:p>
        </w:tc>
        <w:tc>
          <w:tcPr>
            <w:tcW w:w="2060" w:type="dxa"/>
            <w:vAlign w:val="bottom"/>
            <w:gridSpan w:val="2"/>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3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Net sales increased compared to the prior year period due to the favorable impact of both higher prices and higher volumes. Improved plant reliability in the manufacturing of our AN &amp; Nitric Acid product group as well as an absence of Turnarounds in the third quarter of 2025 drove an increase in sales volumes across all our product groups, with UAN having the most significant increase. Improved pricing, particularly on UAN, also contributed to the increase in net sales in the third quarter of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noted in the table above, we recognized a gross profit of $25.5 million for the third quarter of 2025 compared to a gross loss of $7.9 million for the same period in 2024, or a $33.5 million increase. Overall, our gross profit percentage was 16.4% compared to gross loss percentage of 7.3% for the same period in 2024. Our adjusted gross profit percentage increased to 29.6% for the third quarter of 2025 from 22.9% for the third quarter of 2024. Our gross profit for the third quarter of 2025 was higher compared to the same period of 2024 primarily due to increased sales and lower Turnaround expenses partially offset by higher cost of sales, which were driven largely by an increase in natural gas costs.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SG&amp;A expenses were relatively flat for the third quarter of 2025 compared to the same period of 2024. Increases in payroll-related expenses were offset by decreases in professional fees, insurance and other miscellaneous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 for the third quarter of 2024 consisted primarily of asset write-downs.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Interest expense for the third quarter of 2025 was $7.4 million compared to $8.1 million for the same period in 2024. The decrease was primarily due to a lower outstanding balance on our Senior Secured Notes as a result of repurchases.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Other Income, net</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Non-operating other income, net for the third quarter of 2025 was $1.4 million compared to $2.7 million for the same period of 2024, primarily related to interest income earned during both periods from our short-term investments. Our average short-term investments balance including cash equivalents, was lower during the third quarter of 2025 compared to the third quarter of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provision for income taxes for the third quarter of 2025 was $2.5 million compared to a benefit for income taxes of $4.5 million for the same period of 2024. The resulting effective tax rate for the third quarter of 2025 was a provision on pre-tax income of 26.3% compared to a benefit on pre-tax loss of</w:t>
      </w:r>
    </w:p>
    <w:p>
      <w:pPr>
        <w:ind w:right="320"/>
        <w:spacing w:after="0" w:line="255" w:lineRule="auto"/>
        <w:rPr>
          <w:sz w:val="20"/>
          <w:szCs w:val="20"/>
          <w:color w:val="auto"/>
        </w:rPr>
      </w:pPr>
      <w:r>
        <w:rPr>
          <w:rFonts w:ascii="Times New Roman" w:cs="Times New Roman" w:eastAsia="Times New Roman" w:hAnsi="Times New Roman"/>
          <w:sz w:val="18"/>
          <w:szCs w:val="18"/>
          <w:color w:val="auto"/>
        </w:rPr>
        <w:t>15.0% for the same period of 2024. For the third quarter of 2025, the effective tax rate was higher than the statutory rate primarily due to nondeductible compensation expense and state taxes. For the third quarter of 2024, the effective tax rate was lower than the statutory rate primarily due to change in valuation allowance and nondeductible compensation. See discussion in Note 7.</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Nine Months Ended September 30, 2025 Compared to Nine Months Ended September 30, 2024</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contains certain financial information for the nine months ended September 30, 2025 and 2024, the increase or decrease between those periods, and the percentage increase or decrease between those periods with respect to each line item:</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42"/>
        </w:trPr>
        <w:tc>
          <w:tcPr>
            <w:tcW w:w="4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4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9"/>
              </w:rPr>
              <w:t>(Dollars In Thousands)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 &amp; Nitric Acid</w:t>
            </w: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176,847</w:t>
            </w:r>
          </w:p>
        </w:tc>
        <w:tc>
          <w:tcPr>
            <w:tcW w:w="24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154,858</w:t>
            </w:r>
          </w:p>
        </w:tc>
        <w:tc>
          <w:tcPr>
            <w:tcW w:w="2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21,989</w:t>
            </w:r>
          </w:p>
        </w:tc>
        <w:tc>
          <w:tcPr>
            <w:tcW w:w="3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4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147,550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109,303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38,247</w:t>
            </w: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4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Ammonia</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3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40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26,865</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3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09"/>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net sales</w:t>
            </w: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450,159</w:t>
            </w:r>
          </w:p>
        </w:tc>
        <w:tc>
          <w:tcPr>
            <w:tcW w:w="24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387,494</w:t>
            </w:r>
          </w:p>
        </w:tc>
        <w:tc>
          <w:tcPr>
            <w:tcW w:w="2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62,665</w:t>
            </w:r>
          </w:p>
        </w:tc>
        <w:tc>
          <w:tcPr>
            <w:tcW w:w="3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r>
      <w:tr>
        <w:trPr>
          <w:trHeight w:val="20"/>
        </w:trPr>
        <w:tc>
          <w:tcPr>
            <w:tcW w:w="4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40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14"/>
                <w:szCs w:val="14"/>
                <w:color w:val="auto"/>
              </w:rPr>
              <w:t>(1)</w:t>
            </w:r>
          </w:p>
        </w:tc>
        <w:tc>
          <w:tcPr>
            <w:tcW w:w="10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128,849</w:t>
            </w:r>
          </w:p>
        </w:tc>
        <w:tc>
          <w:tcPr>
            <w:tcW w:w="2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114,898</w:t>
            </w:r>
          </w:p>
        </w:tc>
        <w:tc>
          <w:tcPr>
            <w:tcW w:w="2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4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4"/>
                <w:szCs w:val="14"/>
                <w:color w:val="auto"/>
              </w:rPr>
              <w:t>(2)</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(60,027)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(52,512)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(7,515)</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4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Turnaround expense</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(5,722)</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(20,638)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r>
        <w:trPr>
          <w:trHeight w:val="209"/>
        </w:trPr>
        <w:tc>
          <w:tcPr>
            <w:tcW w:w="402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gross profit</w:t>
            </w:r>
          </w:p>
        </w:tc>
        <w:tc>
          <w:tcPr>
            <w:tcW w:w="8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63,100</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41,748</w:t>
            </w: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21,352</w:t>
            </w:r>
          </w:p>
        </w:tc>
        <w:tc>
          <w:tcPr>
            <w:tcW w:w="340" w:type="dxa"/>
            <w:vAlign w:val="bottom"/>
            <w:tcBorders>
              <w:top w:val="single" w:sz="8" w:color="CFF0FC"/>
            </w:tcBorders>
          </w:tcPr>
          <w:p>
            <w:pPr>
              <w:spacing w:after="0"/>
              <w:rPr>
                <w:sz w:val="18"/>
                <w:szCs w:val="18"/>
                <w:color w:val="auto"/>
              </w:rPr>
            </w:pPr>
          </w:p>
        </w:tc>
        <w:tc>
          <w:tcPr>
            <w:tcW w:w="156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51 %</w:t>
            </w: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(1,553)</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(6,445)</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09"/>
        </w:trPr>
        <w:tc>
          <w:tcPr>
            <w:tcW w:w="4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income</w:t>
            </w:r>
          </w:p>
        </w:tc>
        <w:tc>
          <w:tcPr>
            <w:tcW w:w="8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29,350</w:t>
            </w: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(2,916)</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(3,013)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other income, net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3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(2,629)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40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4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(10,204)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18,685</w:t>
            </w:r>
          </w:p>
        </w:tc>
        <w:tc>
          <w:tcPr>
            <w:tcW w:w="3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4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40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6"/>
        </w:trPr>
        <w:tc>
          <w:tcPr>
            <w:tcW w:w="4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xml:space="preserve">Gross profit percentage </w:t>
            </w:r>
            <w:r>
              <w:rPr>
                <w:rFonts w:ascii="Times New Roman" w:cs="Times New Roman" w:eastAsia="Times New Roman" w:hAnsi="Times New Roman"/>
                <w:sz w:val="14"/>
                <w:szCs w:val="14"/>
                <w:color w:val="auto"/>
              </w:rPr>
              <w:t>(3)</w:t>
            </w: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14.0 %</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3.2 %</w:t>
            </w:r>
          </w:p>
        </w:tc>
        <w:tc>
          <w:tcPr>
            <w:tcW w:w="1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40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 xml:space="preserve">Adjusted gross profit percentage </w:t>
            </w:r>
            <w:r>
              <w:rPr>
                <w:rFonts w:ascii="Times New Roman" w:cs="Times New Roman" w:eastAsia="Times New Roman" w:hAnsi="Times New Roman"/>
                <w:sz w:val="14"/>
                <w:szCs w:val="14"/>
                <w:color w:val="auto"/>
              </w:rPr>
              <w:t>(3)</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28.6 %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29.7 %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02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Property, plant and equipment expenditures</w:t>
            </w:r>
          </w:p>
        </w:tc>
        <w:tc>
          <w:tcPr>
            <w:tcW w:w="1040" w:type="dxa"/>
            <w:vAlign w:val="bottom"/>
            <w:gridSpan w:val="2"/>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56,325</w:t>
            </w:r>
          </w:p>
        </w:tc>
        <w:tc>
          <w:tcPr>
            <w:tcW w:w="240" w:type="dxa"/>
            <w:vAlign w:val="bottom"/>
            <w:shd w:val="clear" w:color="auto" w:fill="CFF0FC"/>
          </w:tcPr>
          <w:p>
            <w:pPr>
              <w:spacing w:after="0"/>
              <w:rPr>
                <w:sz w:val="20"/>
                <w:szCs w:val="20"/>
                <w:color w:val="auto"/>
              </w:rPr>
            </w:pPr>
          </w:p>
        </w:tc>
        <w:tc>
          <w:tcPr>
            <w:tcW w:w="400" w:type="dxa"/>
            <w:vAlign w:val="bottom"/>
            <w:gridSpan w:val="2"/>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64,087</w:t>
            </w:r>
          </w:p>
        </w:tc>
        <w:tc>
          <w:tcPr>
            <w:tcW w:w="28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(7,762)</w:t>
            </w:r>
          </w:p>
        </w:tc>
        <w:tc>
          <w:tcPr>
            <w:tcW w:w="1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85"/>
        </w:trPr>
        <w:tc>
          <w:tcPr>
            <w:tcW w:w="4020" w:type="dxa"/>
            <w:vAlign w:val="bottom"/>
            <w:tcBorders>
              <w:top w:val="single" w:sz="8" w:color="CFF0FC"/>
            </w:tcBorders>
          </w:tcPr>
          <w:p>
            <w:pPr>
              <w:spacing w:after="0" w:line="85" w:lineRule="exact"/>
              <w:rPr>
                <w:sz w:val="20"/>
                <w:szCs w:val="20"/>
                <w:color w:val="auto"/>
              </w:rPr>
            </w:pPr>
            <w:r>
              <w:rPr>
                <w:rFonts w:ascii="Times New Roman" w:cs="Times New Roman" w:eastAsia="Times New Roman" w:hAnsi="Times New Roman"/>
                <w:sz w:val="9"/>
                <w:szCs w:val="9"/>
                <w:color w:val="auto"/>
              </w:rPr>
              <w:t>_____________________________</w:t>
            </w:r>
          </w:p>
        </w:tc>
        <w:tc>
          <w:tcPr>
            <w:tcW w:w="800" w:type="dxa"/>
            <w:vAlign w:val="bottom"/>
            <w:tcBorders>
              <w:top w:val="single" w:sz="8" w:color="CFF0FC"/>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280" w:type="dxa"/>
            <w:vAlign w:val="bottom"/>
            <w:tcBorders>
              <w:top w:val="single" w:sz="8" w:color="CFF0FC"/>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340" w:type="dxa"/>
            <w:vAlign w:val="bottom"/>
            <w:tcBorders>
              <w:top w:val="single" w:sz="8" w:color="CFF0FC"/>
            </w:tcBorders>
          </w:tcPr>
          <w:p>
            <w:pPr>
              <w:spacing w:after="0"/>
              <w:rPr>
                <w:sz w:val="7"/>
                <w:szCs w:val="7"/>
                <w:color w:val="auto"/>
              </w:rPr>
            </w:pPr>
          </w:p>
        </w:tc>
        <w:tc>
          <w:tcPr>
            <w:tcW w:w="1340" w:type="dxa"/>
            <w:vAlign w:val="bottom"/>
            <w:tcBorders>
              <w:top w:val="single" w:sz="8" w:color="CFF0FC"/>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r>
      <w:tr>
        <w:trPr>
          <w:trHeight w:val="198"/>
        </w:trPr>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N/M-Not meaningful.</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-3097530</wp:posOffset>
            </wp:positionV>
            <wp:extent cx="137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-3097530</wp:posOffset>
            </wp:positionV>
            <wp:extent cx="137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-3097530</wp:posOffset>
            </wp:positionV>
            <wp:extent cx="1460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-2240280</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-2240280</wp:posOffset>
            </wp:positionV>
            <wp:extent cx="137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-2240280</wp:posOffset>
            </wp:positionV>
            <wp:extent cx="1460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-1125855</wp:posOffset>
            </wp:positionV>
            <wp:extent cx="137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-1125855</wp:posOffset>
            </wp:positionV>
            <wp:extent cx="137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-1125855</wp:posOffset>
            </wp:positionV>
            <wp:extent cx="1460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-542925</wp:posOffset>
            </wp:positionV>
            <wp:extent cx="137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-525780</wp:posOffset>
            </wp:positionV>
            <wp:extent cx="137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-542925</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-525780</wp:posOffset>
            </wp:positionV>
            <wp:extent cx="1371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-542925</wp:posOffset>
            </wp:positionV>
            <wp:extent cx="1460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-525780</wp:posOffset>
            </wp:positionV>
            <wp:extent cx="1460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-217170</wp:posOffset>
            </wp:positionV>
            <wp:extent cx="137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-200025</wp:posOffset>
            </wp:positionV>
            <wp:extent cx="137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-217170</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-200025</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-217170</wp:posOffset>
            </wp:positionV>
            <wp:extent cx="1460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-200025</wp:posOffset>
            </wp:positionV>
            <wp:extent cx="1460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ind w:left="380" w:hanging="372"/>
        <w:spacing w:after="0"/>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Represents a non-GAAP measure since the amount excludes unallocated depreciation, amortization and Turnaround expenses.</w:t>
      </w:r>
    </w:p>
    <w:p>
      <w:pPr>
        <w:spacing w:after="0" w:line="18"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Represents amount classified as cost of sales.</w:t>
      </w:r>
    </w:p>
    <w:p>
      <w:pPr>
        <w:spacing w:after="0" w:line="18"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As a percentage of the total net sales.</w:t>
      </w:r>
    </w:p>
    <w:p>
      <w:pPr>
        <w:spacing w:after="0" w:line="32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provide key operating metrics for the fertilizer and major industrial products, the increase or decrease between those periods, and the percentage increase or decrease between those periods with respect to each line item:</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42"/>
        </w:trPr>
        <w:tc>
          <w:tcPr>
            <w:tcW w:w="4460" w:type="dxa"/>
            <w:vAlign w:val="bottom"/>
            <w:gridSpan w:val="3"/>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Product (tons sold)</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gridSpan w:val="2"/>
            <w:shd w:val="clear" w:color="auto" w:fill="CFF0FC"/>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0"/>
        </w:trPr>
        <w:tc>
          <w:tcPr>
            <w:tcW w:w="1100" w:type="dxa"/>
            <w:vAlign w:val="bottom"/>
            <w:shd w:val="clear" w:color="auto" w:fill="000000"/>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19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10"/>
        </w:trPr>
        <w:tc>
          <w:tcPr>
            <w:tcW w:w="4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 &amp; Nitric Acid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471,702</w:t>
            </w:r>
          </w:p>
        </w:tc>
        <w:tc>
          <w:tcPr>
            <w:tcW w:w="1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403,559</w:t>
            </w: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68,143</w:t>
            </w: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446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435,006</w:t>
            </w:r>
          </w:p>
        </w:tc>
        <w:tc>
          <w:tcPr>
            <w:tcW w:w="120" w:type="dxa"/>
            <w:vAlign w:val="bottom"/>
            <w:shd w:val="clear" w:color="auto" w:fill="CFF0FC"/>
          </w:tcPr>
          <w:p>
            <w:pPr>
              <w:spacing w:after="0"/>
              <w:rPr>
                <w:sz w:val="18"/>
                <w:szCs w:val="18"/>
                <w:color w:val="auto"/>
              </w:rPr>
            </w:pPr>
          </w:p>
        </w:tc>
        <w:tc>
          <w:tcPr>
            <w:tcW w:w="15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367,900</w:t>
            </w:r>
          </w:p>
        </w:tc>
        <w:tc>
          <w:tcPr>
            <w:tcW w:w="120" w:type="dxa"/>
            <w:vAlign w:val="bottom"/>
            <w:shd w:val="clear" w:color="auto" w:fill="CFF0FC"/>
          </w:tcPr>
          <w:p>
            <w:pPr>
              <w:spacing w:after="0"/>
              <w:rPr>
                <w:sz w:val="18"/>
                <w:szCs w:val="18"/>
                <w:color w:val="auto"/>
              </w:rPr>
            </w:pPr>
          </w:p>
        </w:tc>
        <w:tc>
          <w:tcPr>
            <w:tcW w:w="156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67,106</w:t>
            </w:r>
          </w:p>
        </w:tc>
        <w:tc>
          <w:tcPr>
            <w:tcW w:w="17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4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Ammonia</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225,794</w:t>
            </w:r>
          </w:p>
        </w:tc>
        <w:tc>
          <w:tcPr>
            <w:tcW w:w="120" w:type="dxa"/>
            <w:vAlign w:val="bottom"/>
          </w:tcPr>
          <w:p>
            <w:pPr>
              <w:spacing w:after="0"/>
              <w:rPr>
                <w:sz w:val="18"/>
                <w:szCs w:val="18"/>
                <w:color w:val="auto"/>
              </w:rPr>
            </w:pPr>
          </w:p>
        </w:tc>
        <w:tc>
          <w:tcPr>
            <w:tcW w:w="1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235,622</w:t>
            </w:r>
          </w:p>
        </w:tc>
        <w:tc>
          <w:tcPr>
            <w:tcW w:w="120" w:type="dxa"/>
            <w:vAlign w:val="bottom"/>
          </w:tcPr>
          <w:p>
            <w:pPr>
              <w:spacing w:after="0"/>
              <w:rPr>
                <w:sz w:val="18"/>
                <w:szCs w:val="18"/>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(9,828)</w:t>
            </w: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49"/>
        </w:trPr>
        <w:tc>
          <w:tcPr>
            <w:tcW w:w="4460" w:type="dxa"/>
            <w:vAlign w:val="bottom"/>
            <w:tcBorders>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1,132,502</w:t>
            </w:r>
          </w:p>
        </w:tc>
        <w:tc>
          <w:tcPr>
            <w:tcW w:w="12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1,007,081</w:t>
            </w:r>
          </w:p>
        </w:tc>
        <w:tc>
          <w:tcPr>
            <w:tcW w:w="1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125,421</w:t>
            </w:r>
          </w:p>
        </w:tc>
        <w:tc>
          <w:tcPr>
            <w:tcW w:w="170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r>
      <w:tr>
        <w:trPr>
          <w:trHeight w:val="453"/>
        </w:trPr>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42"/>
        </w:trPr>
        <w:tc>
          <w:tcPr>
            <w:tcW w:w="2560" w:type="dxa"/>
            <w:vAlign w:val="bottom"/>
            <w:tcBorders>
              <w:bottom w:val="single" w:sz="8" w:color="auto"/>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Gross Average Selling Prices (price per ton)</w:t>
            </w:r>
          </w:p>
        </w:tc>
        <w:tc>
          <w:tcPr>
            <w:tcW w:w="19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CFF0FC"/>
              <w:right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320" w:type="dxa"/>
            <w:vAlign w:val="bottom"/>
            <w:tcBorders>
              <w:top w:val="single" w:sz="8" w:color="auto"/>
              <w:bottom w:val="single" w:sz="8" w:color="auto"/>
            </w:tcBorders>
            <w:shd w:val="clear" w:color="auto" w:fill="CFF0FC"/>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FF0FC"/>
              <w:right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right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FF0FC"/>
            </w:tcBorders>
            <w:shd w:val="clear" w:color="auto" w:fill="CFF0FC"/>
          </w:tcPr>
          <w:p>
            <w:pPr>
              <w:spacing w:after="0"/>
              <w:rPr>
                <w:sz w:val="12"/>
                <w:szCs w:val="12"/>
                <w:color w:val="auto"/>
              </w:rPr>
            </w:pPr>
          </w:p>
        </w:tc>
      </w:tr>
      <w:tr>
        <w:trPr>
          <w:trHeight w:val="209"/>
        </w:trPr>
        <w:tc>
          <w:tcPr>
            <w:tcW w:w="4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 &amp; Nitric Acid</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46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right w:val="single" w:sz="8" w:color="CFF0FC"/>
            </w:tcBorders>
            <w:shd w:val="clear" w:color="auto" w:fill="CFF0FC"/>
          </w:tcPr>
          <w:p>
            <w:pPr>
              <w:spacing w:after="0"/>
              <w:rPr>
                <w:sz w:val="18"/>
                <w:szCs w:val="18"/>
                <w:color w:val="auto"/>
              </w:rPr>
            </w:pPr>
          </w:p>
        </w:tc>
        <w:tc>
          <w:tcPr>
            <w:tcW w:w="1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34"/>
        </w:trPr>
        <w:tc>
          <w:tcPr>
            <w:tcW w:w="4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Ammonia</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0"/>
                <w:szCs w:val="20"/>
                <w:color w:val="auto"/>
              </w:rPr>
            </w:pP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630"/>
        </w:trPr>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63"/>
        </w:trPr>
        <w:tc>
          <w:tcPr>
            <w:tcW w:w="1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-2322195</wp:posOffset>
            </wp:positionV>
            <wp:extent cx="1028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-2322195</wp:posOffset>
            </wp:positionV>
            <wp:extent cx="939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-2322195</wp:posOffset>
            </wp:positionV>
            <wp:extent cx="939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-1756410</wp:posOffset>
            </wp:positionV>
            <wp:extent cx="1028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-1739265</wp:posOffset>
            </wp:positionV>
            <wp:extent cx="1028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-1756410</wp:posOffset>
            </wp:positionV>
            <wp:extent cx="939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-1739265</wp:posOffset>
            </wp:positionV>
            <wp:extent cx="939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-1756410</wp:posOffset>
            </wp:positionV>
            <wp:extent cx="939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-1739265</wp:posOffset>
            </wp:positionV>
            <wp:extent cx="939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-1327785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-1327785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-1327785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-1327785</wp:posOffset>
            </wp:positionV>
            <wp:extent cx="1454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6"/>
        </w:trPr>
        <w:tc>
          <w:tcPr>
            <w:tcW w:w="3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Average Benchmark Prices (price per ton)</w:t>
            </w:r>
          </w:p>
        </w:tc>
        <w:tc>
          <w:tcPr>
            <w:tcW w:w="20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
        </w:trPr>
        <w:tc>
          <w:tcPr>
            <w:tcW w:w="2440" w:type="dxa"/>
            <w:vAlign w:val="bottom"/>
            <w:shd w:val="clear" w:color="auto" w:fill="000000"/>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2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Tampa Ammonia Benchmark</w:t>
            </w:r>
          </w:p>
        </w:tc>
        <w:tc>
          <w:tcPr>
            <w:tcW w:w="1020" w:type="dxa"/>
            <w:vAlign w:val="bottom"/>
          </w:tcPr>
          <w:p>
            <w:pPr>
              <w:spacing w:after="0"/>
              <w:rPr>
                <w:sz w:val="18"/>
                <w:szCs w:val="18"/>
                <w:color w:val="auto"/>
              </w:rPr>
            </w:pPr>
          </w:p>
        </w:tc>
        <w:tc>
          <w:tcPr>
            <w:tcW w:w="20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3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34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NOLA UAN</w:t>
            </w:r>
          </w:p>
        </w:tc>
        <w:tc>
          <w:tcPr>
            <w:tcW w:w="20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300" w:type="dxa"/>
            <w:vAlign w:val="bottom"/>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-281940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-281940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-281940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-281940</wp:posOffset>
            </wp:positionV>
            <wp:extent cx="137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sales of our primary products increased during the first nine months of 2025 compared to the prior year period driven by the impact of higher volumes for UAN and our AN &amp; Nitric Acid product group and improved pricing for UAN and ammonia. Partially offsetting this increase was lower pricing for our AN &amp; Nitric Acid product group and lower ammonia sales volumes. Additionally, we benefited from a healthy increase in downstream upgraded product production volumes.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noted in the table above, we recognized a gross profit of $63.1 million for the first nine months of 2025 compared to $41.7 million for the same period in 2024, a $21.4 million increase. Overall, our gross profit percentage was 14.0% compared to a gross profit percentage of 10.8% for the same period in 2024. Our adjusted gross profit percentage was 28.6% for the first nine months of 2025 compared to 29.7% for the same period in 2024. Our gross profit for the first nine months of 2025 was higher compared to the prior year period primarily due to higher net sales and lower Turnaround expenses. Partially offsetting these increases were higher natural gas costs and higher depreciation due to recent investments in our facilities.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Our SG&amp;A expenses were $30.3 million for the first nine months of 2025, a decrease of $1.6 million compared to the same period in 2024. The net decrease was primarily driven by decreases in professional fees, insurance and other miscellaneous expenses items, partially offset by an increase in payroll-related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for the first nine months of 2025 was $23.3 million compared to $26.2 million for the same period in 2024. The decrease primarily related to reduced interest expense as a result of repurchases of Senior Secured Notes made during 2024 and the second quarter of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gain on Extinguishment of Debt</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first nine months of 2025, we repurchased $32.4 million in principal amount of our Senior Secured Notes for approximately $32.1 million, which was accounted for as an extinguishment of debt. Including our write-off of the associated remaining portion of unamortized debt issuance costs, we recognized a loss on extinguishment of debt of approximately $0.1 million. During the first nine months of 2024, we repurchased $96.6 million of our Senior Secured Notes through open market transactions for approximately $92.2 million. As a result, we recognized a gain on extinguishment of debt, net of issuance costs, of approximately $3.0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Other expense, net during the first nine months of 2025 and 2024 consisted primarily of asset write-downs related to assets no longer being used in operations. The asset write downs were lower in the first nine months of 2025 compared to the first nine months of 2024. In addition, the write-downs in the first nine months of 2024 were partially offset by short-term rental income from railcar subleases.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Other Income, net</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Non-operating other income, net for the first nine months of 2025 was $4.6 million compared to $9.1 million for the same period of 2024, primarily related to interest income earned during both periods from our short-term investments. Our average short-term investments balance including cash equivalents, was lower during 2025 compared to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provision for income taxes for the first nine months of 2025 was $3.3 million compared to a benefit for income taxes $2.6 million for the same period of 2024. The resulting effective tax rate for the first nine months of was 28.2% compared to 20.5% for the same period of 2024. For the first nine months of 2025, the effective tax rate was higher than the statutory rate primarily due to nondeductible compensation expense and state taxes. For the first nine months of 2024, the effective tax rate was lower than the statutory rate primarily due to change in valuation allowance and nondeductible compensation, partially offset by state tax law changes. See discussion in Note 7.</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nine months ended September 30:</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r>
      <w:tr>
        <w:trPr>
          <w:trHeight w:val="223"/>
        </w:trPr>
        <w:tc>
          <w:tcPr>
            <w:tcW w:w="31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77,575</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82,600</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(5,025)</w:t>
            </w:r>
          </w:p>
        </w:tc>
      </w:tr>
      <w:tr>
        <w:trPr>
          <w:trHeight w:val="210"/>
        </w:trPr>
        <w:tc>
          <w:tcPr>
            <w:tcW w:w="3160" w:type="dxa"/>
            <w:vAlign w:val="bottom"/>
            <w:tcBorders>
              <w:top w:val="single" w:sz="8" w:color="CFF0FC"/>
            </w:tcBorders>
          </w:tcPr>
          <w:p>
            <w:pPr>
              <w:spacing w:after="0"/>
              <w:rPr>
                <w:sz w:val="18"/>
                <w:szCs w:val="18"/>
                <w:color w:val="auto"/>
              </w:rPr>
            </w:pPr>
          </w:p>
        </w:tc>
        <w:tc>
          <w:tcPr>
            <w:tcW w:w="34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56"/>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(16,942)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(18,380)</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1,438</w:t>
            </w:r>
          </w:p>
        </w:tc>
      </w:tr>
      <w:tr>
        <w:trPr>
          <w:trHeight w:val="197"/>
        </w:trPr>
        <w:tc>
          <w:tcPr>
            <w:tcW w:w="3160" w:type="dxa"/>
            <w:vAlign w:val="bottom"/>
            <w:tcBorders>
              <w:top w:val="single" w:sz="8" w:color="CFF0FC"/>
            </w:tcBorders>
          </w:tcPr>
          <w:p>
            <w:pPr>
              <w:spacing w:after="0"/>
              <w:rPr>
                <w:sz w:val="17"/>
                <w:szCs w:val="17"/>
                <w:color w:val="auto"/>
              </w:rPr>
            </w:pPr>
          </w:p>
        </w:tc>
        <w:tc>
          <w:tcPr>
            <w:tcW w:w="34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(52,912)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(122,969)</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70,057</w:t>
            </w:r>
          </w:p>
        </w:tc>
      </w:tr>
      <w:tr>
        <w:trPr>
          <w:trHeight w:val="264"/>
        </w:trPr>
        <w:tc>
          <w:tcPr>
            <w:tcW w:w="66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Flow from Operating Activities</w:t>
            </w: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80" w:type="dxa"/>
            <w:vAlign w:val="bottom"/>
            <w:tcBorders>
              <w:top w:val="single" w:sz="8" w:color="CFF0FC"/>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240" w:type="dxa"/>
            <w:vAlign w:val="bottom"/>
            <w:tcBorders>
              <w:top w:val="single" w:sz="8" w:color="CFF0FC"/>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0"/>
        </w:trPr>
        <w:tc>
          <w:tcPr>
            <w:tcW w:w="31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-822325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-805180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-822325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-805180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-513715</wp:posOffset>
            </wp:positionV>
            <wp:extent cx="768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-496570</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-513715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-496570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-213995</wp:posOffset>
            </wp:positionV>
            <wp:extent cx="768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-196215</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-213995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-196215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$77.6 million for the first nine months of 2025 compared to $82.6 million for the same period of 2024, a change of $5 million. The decrease was primarily a result of changes in working capital and lower interest income on our short-term investments.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Cash Flow from Investing Activities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cash used by investing activities was $16.9 million for the first nine months of 2025 compared to $18.4 million for the same period of 2024, a change of $1.4 million.</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first nine months of 2025, the net cash provided by investing activities primarily related to proceeds from short-term investments of $211.4 million, partially offset by purchases of short-term investments of $171.8 million and expenditures for property, plant and equipment of $56.3 million.</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the first nine months of 2024, the net cash used by investing activities primarily related to purchases of short-term investments of $190.6 million and expenditures for property, plant and equipment of $64.1 million, partially offset by proceeds from short-term investments of $236.5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Cash Flow from Financing Activities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cash used by financing activities was $52.9 million for the first nine months of 2025 compared to $123.0 million for the same period of 2024, a change of $70.1 million.</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first nine months of 2025, the net cash used by financing activities primarily consisted of repurchases of our Senior Secured Notes of $32.1 million, payments on our Secured Financing due 2025 and short-term financing of $19.3 million and $1.2 million for tax withholding obligations related to the vesting of equity awards.</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first nine months of 2024, the net cash used by financing activities primarily consisted of repurchases of our 6.25% Senior Secured Notes of $92.2 million, payments on other long-term debt and short-term financing of $15.9 million and repurchases of $14.2 million of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total cash and cash equivalents, short-term investments, long-term debt and stockholders’ equity as of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December 31,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142"/>
        </w:trPr>
        <w:tc>
          <w:tcPr>
            <w:tcW w:w="7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3"/>
              </w:rPr>
              <w:t>Millions)</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Pr>
          <w:p>
            <w:pPr>
              <w:spacing w:after="0"/>
              <w:rPr>
                <w:sz w:val="18"/>
                <w:szCs w:val="18"/>
                <w:color w:val="auto"/>
              </w:rPr>
            </w:pPr>
          </w:p>
        </w:tc>
      </w:tr>
      <w:tr>
        <w:trPr>
          <w:trHeight w:val="25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short-term investments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20" w:type="dxa"/>
            <w:vAlign w:val="bottom"/>
            <w:shd w:val="clear" w:color="auto" w:fill="CFF0FC"/>
          </w:tcPr>
          <w:p>
            <w:pPr>
              <w:spacing w:after="0"/>
              <w:rPr>
                <w:sz w:val="21"/>
                <w:szCs w:val="21"/>
                <w:color w:val="auto"/>
              </w:rPr>
            </w:pPr>
          </w:p>
        </w:tc>
      </w:tr>
      <w:tr>
        <w:trPr>
          <w:trHeight w:val="196"/>
        </w:trPr>
        <w:tc>
          <w:tcPr>
            <w:tcW w:w="74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Senior Secured Notes due 2028 </w:t>
            </w:r>
            <w:r>
              <w:rPr>
                <w:rFonts w:ascii="Times New Roman" w:cs="Times New Roman" w:eastAsia="Times New Roman" w:hAnsi="Times New Roman"/>
                <w:sz w:val="14"/>
                <w:szCs w:val="14"/>
                <w:color w:val="auto"/>
              </w:rPr>
              <w:t>(1)</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20" w:type="dxa"/>
            <w:vAlign w:val="bottom"/>
          </w:tcPr>
          <w:p>
            <w:pPr>
              <w:spacing w:after="0"/>
              <w:rPr>
                <w:sz w:val="18"/>
                <w:szCs w:val="18"/>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Secured Financing due 2025 </w:t>
            </w:r>
            <w:r>
              <w:rPr>
                <w:rFonts w:ascii="Times New Roman" w:cs="Times New Roman" w:eastAsia="Times New Roman" w:hAnsi="Times New Roman"/>
                <w:sz w:val="14"/>
                <w:szCs w:val="14"/>
                <w:color w:val="auto"/>
              </w:rPr>
              <w:t>(2)</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FF0FC"/>
          </w:tcPr>
          <w:p>
            <w:pPr>
              <w:spacing w:after="0"/>
              <w:rPr>
                <w:sz w:val="18"/>
                <w:szCs w:val="18"/>
                <w:color w:val="auto"/>
              </w:rPr>
            </w:pP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Unamortized debt issuance costs </w:t>
            </w:r>
            <w:r>
              <w:rPr>
                <w:rFonts w:ascii="Times New Roman" w:cs="Times New Roman" w:eastAsia="Times New Roman" w:hAnsi="Times New Roman"/>
                <w:sz w:val="14"/>
                <w:szCs w:val="14"/>
                <w:color w:val="auto"/>
              </w:rPr>
              <w:t>(3)</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74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 including current portion, net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20" w:type="dxa"/>
            <w:vAlign w:val="bottom"/>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74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504.6</w:t>
            </w:r>
          </w:p>
        </w:tc>
        <w:tc>
          <w:tcPr>
            <w:tcW w:w="18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491.6</w:t>
            </w:r>
          </w:p>
        </w:tc>
        <w:tc>
          <w:tcPr>
            <w:tcW w:w="120" w:type="dxa"/>
            <w:vAlign w:val="bottom"/>
            <w:shd w:val="clear" w:color="auto" w:fill="CFF0FC"/>
          </w:tcPr>
          <w:p>
            <w:pPr>
              <w:spacing w:after="0"/>
              <w:rPr>
                <w:sz w:val="20"/>
                <w:szCs w:val="20"/>
                <w:color w:val="auto"/>
              </w:rPr>
            </w:pPr>
          </w:p>
        </w:tc>
      </w:tr>
      <w:tr>
        <w:trPr>
          <w:trHeight w:val="106"/>
        </w:trPr>
        <w:tc>
          <w:tcPr>
            <w:tcW w:w="746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1"/>
                <w:szCs w:val="11"/>
                <w:color w:val="auto"/>
              </w:rPr>
              <w:t>_____________________________</w:t>
            </w:r>
          </w:p>
        </w:tc>
        <w:tc>
          <w:tcPr>
            <w:tcW w:w="160" w:type="dxa"/>
            <w:vAlign w:val="bottom"/>
            <w:tcBorders>
              <w:top w:val="single" w:sz="8" w:color="auto"/>
            </w:tcBorders>
          </w:tcPr>
          <w:p>
            <w:pPr>
              <w:spacing w:after="0"/>
              <w:rPr>
                <w:sz w:val="9"/>
                <w:szCs w:val="9"/>
                <w:color w:val="auto"/>
              </w:rPr>
            </w:pPr>
          </w:p>
        </w:tc>
        <w:tc>
          <w:tcPr>
            <w:tcW w:w="152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-1262380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-1245235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-1262380</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-1245235</wp:posOffset>
            </wp:positionV>
            <wp:extent cx="774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-413385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-413385</wp:posOffset>
            </wp:positionV>
            <wp:extent cx="7747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-104775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-87630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-104775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-87630</wp:posOffset>
            </wp:positionV>
            <wp:extent cx="774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discussion contained in Note 4.</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ind w:left="520" w:right="60" w:hanging="512"/>
        <w:spacing w:after="0" w:line="269" w:lineRule="auto"/>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third quarter of 2025, we made the final balloon payment of approximately $5 million on a $30 million 60-month secured financing arrangement with an affiliate of Eldridge Industries, L.L.C. (“Eldridge”).</w:t>
      </w:r>
    </w:p>
    <w:p>
      <w:pPr>
        <w:ind w:left="520" w:right="40" w:hanging="512"/>
        <w:spacing w:after="0" w:line="276" w:lineRule="auto"/>
        <w:tabs>
          <w:tab w:leader="none" w:pos="5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issuance costs as of September 30, 2025 and December 31, 2024 of approximately $0.5 million and $0.6 million, respectively, relating to our Revolving Credit Facility are not included in Unamortized debt issuance costs. These costs are included in our condensed consolidated balance sheets in Intangible and other assets, net.</w:t>
      </w:r>
    </w:p>
    <w:p>
      <w:pPr>
        <w:spacing w:after="0" w:line="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currently have a revolving credit facility pursuant to a credit agreement, dated December 21, 2023, between us and the lenders identified on the signature pages thereof and JPMorgan Chase Bank, N.A, as administrative agent (the “Revolving Credit Facility”), with a borrowing base up to an initial maximum of $75 million, with an option to increase the maximum by an additional $25 million (which amount is uncommitted). Availability under the Revolving Credit Facility is subject to a borrowing base and an availability block of $7.5 million which is applied against the $75 million initially reducing the maximum (which can be removed by us at our sole discretion, subject to the satisfaction of certain conditions). The Revolving Credit Facility provides for a sub-facility for the issuance of letters of credit in an aggregate amount not to exceed $10 million, with the outstanding amount of any such letters of credit reducing availability for borrowings. As of September 30, 2025, our Revolving Credit Facility was undrawn and had approximately $45 million of availability. See Note 4 for further discussion of the Revolving Credit Facility.</w:t>
      </w:r>
    </w:p>
    <w:p>
      <w:pPr>
        <w:spacing w:after="0" w:line="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full year of 2025, we expect capital expenditures to be approximately $80 million, with spending focus on sustaining production, as well as growth initiatives.</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242424"/>
        </w:rPr>
        <w:t>From time to time, when the Company exceeds the funding threshold in our natural gas purchase commitments, the Company is required to fund cash collateral to our counterparty.</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September 30, 2025, we had approximately $152.0 million of cash and short-term investments. From time to time, we may seek to deploy capital through common stock repurchases or the early redemption of outstanding debt. Such repurchases may be made in open market purchases, privately negotiated transactions or otherwise and will depend on prevailing market conditions, our liquidity requirements, contractual restrictions and other factors. The amounts involved may be material.</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that the combination of our cash and cash equivalents, short-term investments, the availability under our Revolving Credit Facility and our cash flow from operations will be sufficient to fund our anticipated liquidity needs for the next twelve months. Additionally, we expect our long-term liquidity position will be sufficient to meet our long-term liquidity needs with cash flows from operations and financing arrangements. However, in the event of changes in business conditions or other developments, including a sustained market deterioration, unanticipated regulatory developments, significant acquisitions, competitive pressures, or to the extent our liquidity needs prove to be greater than expected or cash generated from operations is less than anticipated, we may need additional liquidity. To the extent we elect to finance our long-term liquidity needs, we believe that the potential financing capital available to us in the future will be sufficient.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Long-Term Debt Covenants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As discussed in Note 4, the Revolving Credit Facility requires, among other things, that we meet a financial covenant. The Revolving Credit Facility does not include financial covenant requirements unless a defined covenant trigger event has occurred and is continuing. As of September 30, 2025, no trigger event had occurred.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Loan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Senior Secured Notes due 2028 – </w:t>
      </w:r>
      <w:r>
        <w:rPr>
          <w:rFonts w:ascii="Times New Roman" w:cs="Times New Roman" w:eastAsia="Times New Roman" w:hAnsi="Times New Roman"/>
          <w:sz w:val="18"/>
          <w:szCs w:val="18"/>
          <w:color w:val="auto"/>
        </w:rPr>
        <w:t>LSB had $446.1 million aggregate principal amount of Senior Secured Notes outstanding as of September 30, 2025.</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is to be paid semiannually in arrears on May 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and October 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8"/>
          <w:szCs w:val="18"/>
          <w:color w:val="auto"/>
        </w:rPr>
        <w:t xml:space="preserve"> The Senior Secured Notes mature on October 15, 2028.</w:t>
      </w:r>
    </w:p>
    <w:p>
      <w:pPr>
        <w:spacing w:after="0" w:line="5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Secured Financing due 2025 – </w:t>
      </w:r>
      <w:r>
        <w:rPr>
          <w:rFonts w:ascii="Times New Roman" w:cs="Times New Roman" w:eastAsia="Times New Roman" w:hAnsi="Times New Roman"/>
          <w:sz w:val="18"/>
          <w:szCs w:val="18"/>
          <w:color w:val="auto"/>
        </w:rPr>
        <w:t>During the third quarter of 2025, we made the final balloon payment of approximately $5 million on a 60-month,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secured financing arrangement with an affiliate of Eldridge.</w:t>
      </w:r>
    </w:p>
    <w:p>
      <w:pPr>
        <w:spacing w:after="0" w:line="47" w:lineRule="exact"/>
        <w:rPr>
          <w:sz w:val="20"/>
          <w:szCs w:val="20"/>
          <w:color w:val="auto"/>
        </w:rPr>
      </w:pPr>
    </w:p>
    <w:p>
      <w:pPr>
        <w:jc w:val="both"/>
        <w:ind w:right="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Revolving Credit Facility – </w:t>
      </w:r>
      <w:r>
        <w:rPr>
          <w:rFonts w:ascii="Times New Roman" w:cs="Times New Roman" w:eastAsia="Times New Roman" w:hAnsi="Times New Roman"/>
          <w:sz w:val="17"/>
          <w:szCs w:val="17"/>
          <w:color w:val="auto"/>
        </w:rPr>
        <w:t>At September 30, 2025, our Revolving Credit Facility was undrawn and had approximately $45 million of availability, based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our eligible collateral, less outstanding letters of credit as of that date. Also see discussion above under “Compliance with Long-Term Debt Covenants.”</w:t>
      </w:r>
    </w:p>
    <w:p>
      <w:pPr>
        <w:spacing w:after="0" w:line="24" w:lineRule="exact"/>
        <w:rPr>
          <w:sz w:val="20"/>
          <w:szCs w:val="20"/>
          <w:color w:val="auto"/>
        </w:rPr>
      </w:pPr>
    </w:p>
    <w:p>
      <w:pPr>
        <w:ind w:right="14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Finance Leases – </w:t>
      </w:r>
      <w:r>
        <w:rPr>
          <w:rFonts w:ascii="Times New Roman" w:cs="Times New Roman" w:eastAsia="Times New Roman" w:hAnsi="Times New Roman"/>
          <w:sz w:val="18"/>
          <w:szCs w:val="18"/>
          <w:color w:val="auto"/>
        </w:rPr>
        <w:t>Our finance leases consist primarily of leases on railcars. Most of our railcar leases are classified as operating leases.</w:t>
      </w:r>
      <w:r>
        <w:rPr>
          <w:rFonts w:ascii="Times New Roman" w:cs="Times New Roman" w:eastAsia="Times New Roman" w:hAnsi="Times New Roman"/>
          <w:sz w:val="18"/>
          <w:szCs w:val="18"/>
          <w:b w:val="1"/>
          <w:bCs w:val="1"/>
          <w:color w:val="auto"/>
        </w:rPr>
        <w:t xml:space="preserve"> Capital Expenditures – First Nine Months of 2025</w:t>
      </w: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first nine months of 2025, capital expenditures relating to property, plant and equipment were $56.3 million. The capital expenditures were funded primarily from cash and working capital.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discussion above under “Capitalization” for our total expected capital expenditures for the remainder of 2025.</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Equity and Debt Repurchases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May 2023, our Board of Directors authorized a $150 million stock repurchase program. The program is intended as a means to maximize stockholder value by returning capital to stockholders. Under the repurchase program, we are authorized to purchase shares from time to time through open market or privately negotiated transactions. Such purchases may be made pursuant to Rule 10b5-1 plans or other means as determined by our management and in accordance with the requirements of the Securities and Exchange Commission (the “SEC”). The repurchase program does not obligate us to purchase any particular number or type of securities.</w:t>
      </w:r>
    </w:p>
    <w:p>
      <w:pPr>
        <w:spacing w:after="0" w:line="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we did not repurchase any of our shares of common stock. The repurchase program may be suspended, terminated or modified at any time for any reason.</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we repurchased $32.4 million in principal amount of our Senior Secured Notes for approximately $32.1 million, which was accounted for as an extinguishment of debt. The debt repurchase was intended as a means to deleverage our balance sheet and reduce future interest costs while maintaining a balanced capital allocation strategy that provides an appropriate level of liquidity to fund our operations and future growth opportunities.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Associated with Environmental Regulatory Compliance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subject to specific federal and state environmental compliance laws, regulations and guidelines. As a result, our expenses were $3.2 million for the first nine months ended September 30, 2025 in connection with environmental projects. For the remainder of 2025, we expect to incur expenses ranging from $0.9 million to $1.2 million in connection with additional environmental projects. However, it is possible that the actual costs could be significantly different than our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sales of fertilizer products to the agricultural industry are seasonal, while sales into the industrial sectors generally are less susceptible to seasonal fluctuations. The selling seasons for fertilizer products are primarily during the spring and fall planting seasons, which typically extend from March through June and from September through November in the geographical markets where we distribute the majority of our fertilizer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and Payment Bonds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September 30, 2025, we have agreed to indemnify the sureties for payments, up to $10.2 million, made by them in respect of such bonds.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for recently issued accounting standards.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See “Critical Accounting Policies and Estimates,” Item 7 of our Form 10-K for the year ended December 31, 2024, filed with the SEC on February 27, 2025 (the “2024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matters discussed under footnote A of Note 5.</w:t>
      </w:r>
    </w:p>
    <w:p>
      <w:pPr>
        <w:spacing w:after="0" w:line="6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Income taxes are accounted for under the asset and liability method. Deferred tax assets and liabilities are measured using enacted tax 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7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It is also reasonably possible that the estimates and assumptions utilized as of September 30, 2025, could change in the near term. Actual results could differ materially from these estimates and judgments, as additional information becomes known.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Management uses adjusted gross profit as a supplemental measure to review and assess the performance of our core business operations and for planning purposes. We define adjusted gross profit as gross profit (loss) excluding depreciation and amortization and Turnaround expenses included in our cost of sales, which we believe are not reflective of our operating performance in a given period.</w:t>
      </w:r>
    </w:p>
    <w:p>
      <w:pPr>
        <w:spacing w:after="0" w:line="68"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Adjusted gross profit is a metric that provides investors with greater transparency to the information used by management in its financial and operational decision-making. We believe this metric is useful to investors because it facilitates comparisons of our core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ind w:right="180"/>
        <w:spacing w:after="0" w:line="266" w:lineRule="auto"/>
        <w:rPr>
          <w:sz w:val="20"/>
          <w:szCs w:val="20"/>
          <w:color w:val="auto"/>
        </w:rPr>
      </w:pPr>
      <w:r>
        <w:rPr>
          <w:rFonts w:ascii="Times New Roman" w:cs="Times New Roman" w:eastAsia="Times New Roman" w:hAnsi="Times New Roman"/>
          <w:sz w:val="18"/>
          <w:szCs w:val="18"/>
          <w:color w:val="auto"/>
        </w:rPr>
        <w:t>business operations across periods on a consistent basis. Management believes that the non-GAAP measure presented in this Form 10-Q, when viewed in combination with our results prepared in accordance with United States generally accepted accounting principles (“U.S. GAAP”), provides a more complete understanding of the factors and trends affecting our business and performance.</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Adjusted gross profit is not a measure of financial performance under U.S. GAAP, and should not be considered a substitute for gross profit, which we consider to be the most directly comparable U.S. GAAP measure. Adjusted gross profit has limitations as an analytical tool, and when assessing our operating performance, investors should not consider adjusted gross profit in isolation, or as a substitute for gross profit prepared in accordance with U.S. GAAP. Adjusted gross profit may not be comparable to similarly titled measures of other companies and other companies may not calculate such measure in the same manner as we do.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gross profit to adjusted gross profit.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3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3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146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7"/>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Reconciliation of Gross Profit (Loss) to Adjusted Gross Profit:</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3"/>
          </w:tcPr>
          <w:p>
            <w:pPr>
              <w:jc w:val="center"/>
              <w:ind w:left="92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72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25,543</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63,100</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41,748</w:t>
            </w:r>
          </w:p>
        </w:tc>
        <w:tc>
          <w:tcPr>
            <w:tcW w:w="0" w:type="dxa"/>
            <w:vAlign w:val="bottom"/>
          </w:tcPr>
          <w:p>
            <w:pPr>
              <w:spacing w:after="0"/>
              <w:rPr>
                <w:sz w:val="1"/>
                <w:szCs w:val="1"/>
                <w:color w:val="auto"/>
              </w:rPr>
            </w:pPr>
          </w:p>
        </w:tc>
      </w:tr>
      <w:tr>
        <w:trPr>
          <w:trHeight w:val="216"/>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60,027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52,512</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Turnaround expenses</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16,284</w:t>
            </w:r>
          </w:p>
        </w:tc>
        <w:tc>
          <w:tcPr>
            <w:tcW w:w="16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0" w:type="dxa"/>
            <w:vAlign w:val="bottom"/>
          </w:tcPr>
          <w:p>
            <w:pPr>
              <w:spacing w:after="0"/>
              <w:rPr>
                <w:sz w:val="1"/>
                <w:szCs w:val="1"/>
                <w:color w:val="auto"/>
              </w:rPr>
            </w:pPr>
          </w:p>
        </w:tc>
      </w:tr>
      <w:tr>
        <w:trPr>
          <w:trHeight w:val="21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128,849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-170815</wp:posOffset>
            </wp:positionV>
            <wp:extent cx="9461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939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939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defined in Item 303(a)(4)(ii) of Regulation S-K under the Securities Exchange Act of 1934, as amended (the “Exchange Act”).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results of operations and operating cash flows are impacted by changes in market prices of ammonia and natural gas and changes in market interest rates.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Forward Sales Commitments Risk</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Periodically, we enter into forward firm sales commitments for products to be delivered in future periods. As a result, we could be exposed to embedded losses should our product costs exceed the firm sales prices at the end of a reporting period. At September 30, 2025, we had no embedded losses associated with sales commitments with firm sales prices.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Commodity Price Risk</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and as such, are exempt from derivative accounting requirements. At September 30, 2025, we had no outstanding natural gas contracts which are subject to derivative accounting requirements.</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Interest Rate Risk</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be exposed to variable interest rate risk with respect to our Revolving Credit Facility when there are outstanding borrowings. As of September 30, 2025, we had no outstanding borrowings on this credit facility and no other variable rate borrowings. We currently do not hedge our interest rate risk associated with our variable interest loan.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September 30, 2025. Based on this evaluation, the Company's Chief Executive Officer and Chief Financial Officer have concluded that the Company's disclosure controls and procedures were effective as of September 30, 2025, at the reasonable assurance level. There were no changes to our internal control over financial reporting (as such term is defined in Rules 13a-15(f) and 15d-15(f) under the Exchange Act) during the quarter ended September 30, 2025, that have materially affected, or are reasonably likely to materially affect, our internal control over financial reporting.</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SPECIAL NOTE REGARDING FORWARD-LOOKING STATEMENTS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Certain statements contained within this report may be deemed “Forward-Looking Statements” within the meaning of U.S. federal securities laws. All statements in this report other than statements of historical fact are Forward-Looking Statements that are subject to known and unknown risks, uncertainties and other factors, many of which are difficult to predict or outside of the Company’s control, which could cause actual results and performance of the Company to differ materially from those expressed in, or implied or projected by, such statements. Any such Forward-Looking Statements are not guarantees of future performance. The words “believe,” “expect,” “anticipate,” “intend,” “plan,” “may,” “could,” and similar expressions identify Forward-Looking Statements. All Forward-Looking Statements speak only as of the date on which they are made. Forward-Looking Statements contained herein include, but are not limited to:</w:t>
      </w:r>
    </w:p>
    <w:p>
      <w:pPr>
        <w:spacing w:after="0" w:line="13"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invest in projects that will generate the best returns for our stockholders;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liquidity outlook;</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of our chemical products and related markets;</w:t>
      </w:r>
    </w:p>
    <w:p>
      <w:pPr>
        <w:spacing w:after="0" w:line="4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leverage our existing business platform and portfolio of assets to produce low carbon products and execute our advanced low carbon ammonia initiatives, including our strategy to become a leader in the energy transition in the chemical industry;</w:t>
      </w: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effect on the nitrogen market from current nitrogen expansion projects;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from the lack of non-seasonal volume;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competition is based upon service, price, location of production and distribution sites, and product quality and performance;</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for the industrial end markets;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w:t>
      </w:r>
    </w:p>
    <w:p>
      <w:pPr>
        <w:spacing w:after="0" w:line="4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broaden the distribution of our products, including our ability to leverage our nitric acid production capacity at our El Dorado Facility;</w:t>
      </w: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ammonia pricing;</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our product and market diversification strategy;</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fertilizer production;</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output, capacity and production volumes of our existing production facilities;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moderate risk inherent in agricultural markets;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to fund our cash needs and how this cash will be used;</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enter into the additional borrowings;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cost and timing of our capital projects;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covered under warranty provisions;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pass to our customers cost increases in the form of higher prices;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as to whether we have sufficient sources for materials and components;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natural gas requirements;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the market and demand for low carbon ammonia;</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our facilities with the terms of our permits;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compliance with environmental laws, health laws, security regulations and transportation regulations;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as to when Turnarounds will be performed and completed;</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 connection with environmental projects;</w:t>
      </w:r>
    </w:p>
    <w:p>
      <w:pPr>
        <w:spacing w:after="0" w:line="36"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litigation, legal actions and other contingencies on our business, financial condition, results of operations or cash flows, including the potential financial penalties associated with the NOV from ADEQ regarding wastewater discharges from our El Dorado Facility;</w:t>
      </w:r>
    </w:p>
    <w:p>
      <w:pPr>
        <w:ind w:left="1020" w:hanging="503"/>
        <w:spacing w:after="0" w:line="273"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debt servicing and covenants, including our beliefs as to whether we can meet all required covenant tests for the next twelve months;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debt maturities or redemption obligations when due; and</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repurchase program on our stock price and cash reserves.</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ind w:left="5540" w:right="5320" w:hanging="5023"/>
        <w:spacing w:after="0" w:line="409" w:lineRule="auto"/>
        <w:tabs>
          <w:tab w:leader="none" w:pos="103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conditions, both domestic and foreign;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reductions in revenues;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interest rates;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in a timely manner a material amount of receivables;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competitive pressures;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state and local laws and regulations, or in the interpretation of such laws and regulations;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other issues related to climate change;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releases of pollutants into the environment exceeding our permitted limits;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increases in equipment, maintenance, operating or labor costs not presently anticipated by us;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use internally generated funds for purposes not presently anticipated;</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secure additional financing for planned capital expenditures or financing obligations due in the near future;</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existing indebtedness;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the cost of natural gas and certain precious metals;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due to financial covenants;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significant customer;</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 to maintain internal control over financial reporting;</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strategy or development plans;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fund the working capital and expansion of our businesses;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production efficiency of our facilities;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our contingencies including pending litigation;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downtime at one or more of our facilities;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production rates at any of our facilities;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necessary raw materials and purchased components;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increases in cost of raw materials;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our accounting estimates;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problems within our production equipment;</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or natural disasters;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or retain our insurance coverage;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necessary permits;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third-party financing;</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proxy contests initiated by dissident stockholders;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fertilizer production;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acres planted for crops requiring fertilizer;</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duties for products we sell resulting in an increase in imported products into the United States;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from regulatory policies, including tariffs;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concerns;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natural gas prices;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resulting from increased inflation;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including the effects of climate change;</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imported agricultural products;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disruptions;</w:t>
      </w:r>
    </w:p>
    <w:p>
      <w:pPr>
        <w:spacing w:after="0" w:line="4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described in </w:t>
      </w:r>
      <w:r>
        <w:rPr>
          <w:rFonts w:ascii="Times New Roman" w:cs="Times New Roman" w:eastAsia="Times New Roman" w:hAnsi="Times New Roman"/>
          <w:sz w:val="18"/>
          <w:szCs w:val="18"/>
          <w:i w:val="1"/>
          <w:iCs w:val="1"/>
          <w:color w:val="auto"/>
        </w:rPr>
        <w:t>Item 2. Management’s Discussion and Analysis of Financial Condition and Results of Operations</w:t>
      </w:r>
      <w:r>
        <w:rPr>
          <w:rFonts w:ascii="Times New Roman" w:cs="Times New Roman" w:eastAsia="Times New Roman" w:hAnsi="Times New Roman"/>
          <w:sz w:val="18"/>
          <w:szCs w:val="18"/>
          <w:color w:val="auto"/>
        </w:rPr>
        <w:t xml:space="preserve"> contained in this report; and</w:t>
      </w: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described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in our Form 10-K for the year ended December 31, 2024.</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Given these uncertainties, all parties are cautioned not to place undue reliance on such Forward-Looking Statements. Except to the extent required by law, we disclaim any obligation to update any such factors or to publicly announce the result of any revisions to any of the Forward-Looking Statements contained herein to reflect future events or developments.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are from time to time subject to various legal proceedings and claims arising in the ordinary course of business. For further discussion of our legal matters, see “Note 5. Commitments and Contingencies—Legal Matters” in the notes to the Condensed Consolidated Financial Statements in this report.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Reference is made to Item 1A of our 2024 Form 10-K filed with the SEC on February 27, 2025. Except as set forth below, there were no material changes from the risk factors disclosed in our 2024 Form 10-K.</w:t>
      </w:r>
    </w:p>
    <w:p>
      <w:pPr>
        <w:spacing w:after="0" w:line="5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and customers are sensitive to adverse economic cycles and a prolonged deterioration of global market and economic conditions could have a material adverse effect on our business, financial condition, results of operations and cash flow</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time to time, our business is affected by cyclical factors such as inflation, currency exchange rates, global energy policy and costs, regulatory policies (including tariffs), global market conditions and economic downturns in specific industries. Certain sales are sensitive to the level of activity in the agricultural, mining, automotive and housing industries. Therefore, substantial changes in these macroeconomic factors could adversely affect our operating results, liquidity, financial condition and capital resources.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slowdown of, or persistent weakness in, economic activity caused by a deterioration of global market and economic conditions could adversely affect our business in the following ways, among others: conditions in the credit markets could impact the ability of our customers and their customers to obtain sufficient credit to support their operations; the failure of our customers to fulfill their purchase obligations could result in increases in bad debts and affect our working capital; and the failure of certain key suppliers could increase our exposure to disruptions in supply or to financial losses. We also may experience declining demand and falling prices for some of our products due to our customers’ reluctance to replenish inventories. The overall impact of a global economic downturn or reduced overall global trade on us is difficult to predict, and our business could be materially adversely impacted.</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conditions in the international market for nitrogen fertilizer significantly influence our operating results. The international market for fertilizers is influenced by such factors as the relative value of the U.S. currency and its impact on the importation of fertilizers, foreign agricultural policies, the existence of, or changes in, import or foreign currency exchange barriers in certain foreign markets and other regulatory policies (including tariffs) of foreign governments, as well as the U.S. laws and policies affecting foreign trade and investment.</w:t>
      </w:r>
    </w:p>
    <w:p>
      <w:pPr>
        <w:spacing w:after="0" w:line="7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For example, the U.S. government recently announced and, in some cases, implemented tariffs on certain products from various countries, which resulted in certain affected countries imposing or threatening to impose retaliatory or reciprocal tariffs on products from the U.S., including agricultural products such as corn. The trade policies and tariff initiatives of the current Presidential administration could adversely affect certain markets within which we operate. Specifically, the imposition of tariffs on agricultural products, including any retaliatory or reciprocal tariffs imposed by other countries, could impact the selling prices of our products or the cost of imported components or equipment used in our capital activities. In addition, such policies could lead to reduced demand for agricultural and consumer products, increase input costs for our customers, and disrupt supply chains.</w:t>
      </w:r>
    </w:p>
    <w:p>
      <w:pPr>
        <w:spacing w:after="0" w:line="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ultimate impact of changing trade policies on our business will depend on various factors, including the magnitude, duration and nature of tariffs. While we actively monitor these developments, we may not be able to fully mitigate the adverse impact of potential tariff initiatives or other trade-related disruptions.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10b5-1 Trading Plans by Our Officers and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Barry H. Golsen, Member of the Board of Directors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4, 2025, Barry H. Golsen, a member of our board of directors, entered into Rule 10b5-1 trading plans for the benefit of certain trusts of which he is the trustee, that are intended to satisfy the affirmative defense of Rule 10b5-1(c) and provide that Mr. Golsen, acting through a broker, may sell up to an aggregate of 582,172 shares of our common stock, subject to adjustments for stock splits, stock combinations, stock dividends and other similar changes to our common stock. Sales of shares under the plans may only occur from December 4, 2025 to December 1, 2027. The plans are scheduled to terminate on December 1, 2027, subject to earlier termination upon the sale of all shares subject to the applicable plan or the expiration of all sale orders under the plan, upon termination by Mr. Golsen or the broker, or as otherwise provided in the plans.</w:t>
      </w:r>
    </w:p>
    <w:p>
      <w:pPr>
        <w:spacing w:after="0" w:line="79"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Other than as described above, during the three months ended September 30, 2025, none of the Company’s directors or executive officers adopted or terminated a “Rule 10b5-1 trading arrangement” or “non-Rule 10b5-1 trading arrangement,” as each term is defined in Item 408(a) of Regulation S-K.</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Exhibits” on page 36.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Index to Exhibits Item 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5380" w:type="dxa"/>
            <w:vAlign w:val="bottom"/>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20" w:type="dxa"/>
            <w:vAlign w:val="bottom"/>
          </w:tcPr>
          <w:p>
            <w:pPr>
              <w:spacing w:after="0"/>
              <w:rPr>
                <w:sz w:val="13"/>
                <w:szCs w:val="13"/>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53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the Following</w:t>
            </w: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240"/>
          </w:cols>
          <w:pgMar w:left="320" w:top="1089"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3(i).1</w:t>
            </w:r>
          </w:p>
        </w:tc>
        <w:tc>
          <w:tcPr>
            <w:tcW w:w="5360" w:type="dxa"/>
            <w:vAlign w:val="bottom"/>
            <w:gridSpan w:val="7"/>
          </w:tcPr>
          <w:p>
            <w:pPr>
              <w:spacing w:after="0"/>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Restated Certificate of Incorporation of LSB Industries, Inc., dated</w:t>
              </w:r>
            </w:hyperlink>
          </w:p>
        </w:tc>
      </w:tr>
      <w:tr>
        <w:trPr>
          <w:trHeight w:val="20"/>
        </w:trPr>
        <w:tc>
          <w:tcPr>
            <w:tcW w:w="1280" w:type="dxa"/>
            <w:vAlign w:val="bottom"/>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360" w:type="dxa"/>
            <w:vAlign w:val="bottom"/>
            <w:gridSpan w:val="7"/>
          </w:tcPr>
          <w:p>
            <w:pPr>
              <w:spacing w:after="0" w:line="19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January 21, 1977, as amended August 27, 1987</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1280" w:type="dxa"/>
            <w:vAlign w:val="bottom"/>
          </w:tcPr>
          <w:p>
            <w:pPr>
              <w:spacing w:after="0"/>
              <w:rPr>
                <w:sz w:val="24"/>
                <w:szCs w:val="24"/>
                <w:color w:val="auto"/>
              </w:rPr>
            </w:pPr>
          </w:p>
        </w:tc>
        <w:tc>
          <w:tcPr>
            <w:tcW w:w="5360" w:type="dxa"/>
            <w:vAlign w:val="bottom"/>
            <w:gridSpan w:val="7"/>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Certificate of Amendment to the Restated Certificate of Incorporation of</w:t>
              </w:r>
            </w:hyperlink>
          </w:p>
        </w:tc>
      </w:tr>
      <w:tr>
        <w:trPr>
          <w:trHeight w:val="20"/>
        </w:trPr>
        <w:tc>
          <w:tcPr>
            <w:tcW w:w="1280" w:type="dxa"/>
            <w:vAlign w:val="bottom"/>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3(i).2</w:t>
            </w:r>
          </w:p>
        </w:tc>
        <w:tc>
          <w:tcPr>
            <w:tcW w:w="5360" w:type="dxa"/>
            <w:vAlign w:val="bottom"/>
            <w:gridSpan w:val="7"/>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LSB Industries, dated September 23, 2021</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18"/>
        </w:trPr>
        <w:tc>
          <w:tcPr>
            <w:tcW w:w="1280" w:type="dxa"/>
            <w:vAlign w:val="bottom"/>
          </w:tcPr>
          <w:p>
            <w:pPr>
              <w:spacing w:after="0"/>
              <w:rPr>
                <w:sz w:val="24"/>
                <w:szCs w:val="24"/>
                <w:color w:val="auto"/>
              </w:rPr>
            </w:pPr>
          </w:p>
        </w:tc>
        <w:tc>
          <w:tcPr>
            <w:tcW w:w="5360" w:type="dxa"/>
            <w:vAlign w:val="bottom"/>
            <w:gridSpan w:val="7"/>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Second Amended and Restated Bylaws of LSB Industries, Inc., as</w:t>
              </w:r>
            </w:hyperlink>
          </w:p>
        </w:tc>
      </w:tr>
      <w:tr>
        <w:trPr>
          <w:trHeight w:val="20"/>
        </w:trPr>
        <w:tc>
          <w:tcPr>
            <w:tcW w:w="1280" w:type="dxa"/>
            <w:vAlign w:val="bottom"/>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196"/>
        </w:trPr>
        <w:tc>
          <w:tcPr>
            <w:tcW w:w="12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3(ii).1</w:t>
            </w:r>
          </w:p>
        </w:tc>
        <w:tc>
          <w:tcPr>
            <w:tcW w:w="5360" w:type="dxa"/>
            <w:vAlign w:val="bottom"/>
            <w:gridSpan w:val="7"/>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amended by the December 17, 2024 amendment</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31.1(a)</w:t>
            </w:r>
          </w:p>
        </w:tc>
        <w:tc>
          <w:tcPr>
            <w:tcW w:w="5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Mark T. Behrman, Chief Executive Officer, pursuant to</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gridSpan w:val="3"/>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3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 Section 302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31.2(a)</w:t>
            </w:r>
          </w:p>
        </w:tc>
        <w:tc>
          <w:tcPr>
            <w:tcW w:w="5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Cheryl A. Maguire, Chief Financial Officer, pursuant to</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40" w:type="dxa"/>
            <w:vAlign w:val="bottom"/>
            <w:gridSpan w:val="4"/>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3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 Section 302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32.1(a)(b)</w:t>
            </w:r>
          </w:p>
        </w:tc>
        <w:tc>
          <w:tcPr>
            <w:tcW w:w="5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Mark T. Behrman, Chief Executive Officer, furnished</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40" w:type="dxa"/>
            <w:vAlign w:val="bottom"/>
            <w:gridSpan w:val="4"/>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3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pursuant to Sarbanes-Oxley Act of 2002, Section 906</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40" w:type="dxa"/>
            <w:vAlign w:val="bottom"/>
            <w:gridSpan w:val="4"/>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318"/>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32.2(a)(b)</w:t>
            </w:r>
          </w:p>
        </w:tc>
        <w:tc>
          <w:tcPr>
            <w:tcW w:w="5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Cheryl A. Maguire, Chief Financial Officer, furnished</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360" w:type="dxa"/>
            <w:vAlign w:val="bottom"/>
            <w:gridSpan w:val="7"/>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3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pursuant to Sarbanes-Oxley Act of 2002, Section 906</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40" w:type="dxa"/>
            <w:vAlign w:val="bottom"/>
            <w:gridSpan w:val="4"/>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34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101.INS(a)</w:t>
            </w:r>
          </w:p>
        </w:tc>
        <w:tc>
          <w:tcPr>
            <w:tcW w:w="536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w:t>
            </w:r>
          </w:p>
        </w:tc>
      </w:tr>
      <w:tr>
        <w:trPr>
          <w:trHeight w:val="216"/>
        </w:trPr>
        <w:tc>
          <w:tcPr>
            <w:tcW w:w="1280" w:type="dxa"/>
            <w:vAlign w:val="bottom"/>
          </w:tcPr>
          <w:p>
            <w:pPr>
              <w:spacing w:after="0"/>
              <w:rPr>
                <w:sz w:val="18"/>
                <w:szCs w:val="18"/>
                <w:color w:val="auto"/>
              </w:rPr>
            </w:pPr>
          </w:p>
        </w:tc>
        <w:tc>
          <w:tcPr>
            <w:tcW w:w="5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the Interactive Data File because its XBRL tags are embedded within</w:t>
            </w:r>
          </w:p>
        </w:tc>
      </w:tr>
      <w:tr>
        <w:trPr>
          <w:trHeight w:val="234"/>
        </w:trPr>
        <w:tc>
          <w:tcPr>
            <w:tcW w:w="1280" w:type="dxa"/>
            <w:vAlign w:val="bottom"/>
          </w:tcPr>
          <w:p>
            <w:pPr>
              <w:spacing w:after="0"/>
              <w:rPr>
                <w:sz w:val="20"/>
                <w:szCs w:val="20"/>
                <w:color w:val="auto"/>
              </w:rPr>
            </w:pPr>
          </w:p>
        </w:tc>
        <w:tc>
          <w:tcPr>
            <w:tcW w:w="5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33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101.SCH(a)</w:t>
            </w:r>
          </w:p>
        </w:tc>
        <w:tc>
          <w:tcPr>
            <w:tcW w:w="5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3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101.CAL(a)</w:t>
            </w:r>
          </w:p>
        </w:tc>
        <w:tc>
          <w:tcPr>
            <w:tcW w:w="5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3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101.DEF(a)</w:t>
            </w:r>
          </w:p>
        </w:tc>
        <w:tc>
          <w:tcPr>
            <w:tcW w:w="5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3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101.LAB(a)</w:t>
            </w:r>
          </w:p>
        </w:tc>
        <w:tc>
          <w:tcPr>
            <w:tcW w:w="5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33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101.PRE(a)</w:t>
            </w:r>
          </w:p>
        </w:tc>
        <w:tc>
          <w:tcPr>
            <w:tcW w:w="5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1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104(a)</w:t>
            </w:r>
          </w:p>
        </w:tc>
        <w:tc>
          <w:tcPr>
            <w:tcW w:w="5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r>
      <w:tr>
        <w:trPr>
          <w:trHeight w:val="234"/>
        </w:trPr>
        <w:tc>
          <w:tcPr>
            <w:tcW w:w="1280" w:type="dxa"/>
            <w:vAlign w:val="bottom"/>
          </w:tcPr>
          <w:p>
            <w:pPr>
              <w:spacing w:after="0"/>
              <w:rPr>
                <w:sz w:val="20"/>
                <w:szCs w:val="20"/>
                <w:color w:val="auto"/>
              </w:rPr>
            </w:pPr>
          </w:p>
        </w:tc>
        <w:tc>
          <w:tcPr>
            <w:tcW w:w="5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Exhibit 3(i).1 to the Company’s Form 10-K filed on February 28, 2013</w:t>
      </w:r>
    </w:p>
    <w:p>
      <w:pPr>
        <w:spacing w:after="0" w:line="6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Exhibit 3(i).2 to the Company’s Registration Statement on Form S-3 filed on November 16, 2021</w:t>
      </w:r>
    </w:p>
    <w:p>
      <w:pPr>
        <w:spacing w:after="0" w:line="6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Exhibit 3(ii).1 to the Company’s Form 10-K filed February 27, 2025</w:t>
      </w:r>
    </w:p>
    <w:p>
      <w:pPr>
        <w:spacing w:after="0" w:line="5388" w:lineRule="exact"/>
        <w:rPr>
          <w:sz w:val="20"/>
          <w:szCs w:val="20"/>
          <w:color w:val="auto"/>
        </w:rPr>
      </w:pPr>
    </w:p>
    <w:p>
      <w:pPr>
        <w:sectPr>
          <w:pgSz w:w="11900" w:h="16838" w:orient="portrait"/>
          <w:cols w:equalWidth="0" w:num="2">
            <w:col w:w="6640" w:space="120"/>
            <w:col w:w="4480"/>
          </w:cols>
          <w:pgMar w:left="320" w:top="1089" w:right="339" w:bottom="1440" w:gutter="0" w:footer="0" w:header="0"/>
          <w:type w:val="continuous"/>
        </w:sectPr>
      </w:pPr>
    </w:p>
    <w:p>
      <w:pPr>
        <w:spacing w:after="0" w:line="2"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 or furnished herewith.</w:t>
      </w:r>
    </w:p>
    <w:p>
      <w:pPr>
        <w:spacing w:after="0" w:line="26" w:lineRule="exact"/>
        <w:rPr>
          <w:rFonts w:ascii="Times New Roman" w:cs="Times New Roman" w:eastAsia="Times New Roman" w:hAnsi="Times New Roman"/>
          <w:sz w:val="16"/>
          <w:szCs w:val="16"/>
          <w:color w:val="auto"/>
        </w:rPr>
      </w:pPr>
    </w:p>
    <w:p>
      <w:pPr>
        <w:jc w:val="both"/>
        <w:ind w:left="380" w:hanging="372"/>
        <w:spacing w:after="0" w:line="276" w:lineRule="auto"/>
        <w:tabs>
          <w:tab w:leader="none" w:pos="3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Exhibits 32.1 and 32.2 are not deemed “filed” with the SEC and are not to be incorporated by reference into any filing of LSB Industries, Inc. under the Securities Act of 1933, as amended, whether made before or after the date of this Quarterly Report on Form 10-Q, irrespective of any general incorporation language contained in such filing.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36" w:name="page37"/>
    <w:bookmarkEnd w:id="36"/>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Company has caused the undersigned, duly authorized, to sign this report on its behalf on this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October 2025.</w:t>
      </w:r>
    </w:p>
    <w:p>
      <w:pPr>
        <w:spacing w:after="0" w:line="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25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3474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Cheryl A. Maguire</w:t>
      </w:r>
    </w:p>
    <w:p>
      <w:pPr>
        <w:spacing w:after="0" w:line="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1" w:right="5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T. Behrman, certify that:</w:t>
      </w:r>
    </w:p>
    <w:p>
      <w:pPr>
        <w:spacing w:after="0" w:line="117"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LSB Industries, Inc. (the “registrant”);</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T. Behrman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Chairman of the Board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Cheryl A. Maguire, certify that:</w:t>
      </w:r>
    </w:p>
    <w:p>
      <w:pPr>
        <w:spacing w:after="0" w:line="117"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LSB Industries, Inc. (the “registrant”);</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LSB Industries, Inc. (“LSB”) on Form 10-Q for the period ended September 30, 2025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LSB.</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Mark T. Behrman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Chairman of the Board of 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LSB Industries, Inc. (“LSB”) on Form 10-Q for the period ended September 30, 2025 as filed with the Securities and Exchange Commission on the date hereof (the “Report”), I, Cheryl A. Maguire, Executive Vice President and Chief Financial Officer of LSB, certify pursuant to 18 U.S.C. §1350, as adopted pursuant to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LSB.</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Cheryl A. Maguire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upperLetter"/>
      <w:start w:val="1"/>
    </w:lvl>
  </w:abstractNum>
  <w:abstractNum w:abstractNumId="4">
    <w:nsid w:val="109CF92E"/>
    <w:multiLevelType w:val="hybridMultilevel"/>
    <w:lvl w:ilvl="0">
      <w:lvlJc w:val="left"/>
      <w:lvlText w:val="(%1)"/>
      <w:numFmt w:val="upperLetter"/>
      <w:start w:val="3"/>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lvl w:ilvl="1">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2"/>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79" Type="http://schemas.openxmlformats.org/officeDocument/2006/relationships/hyperlink" Target="https://www.sec.gov/Archives/edgar/data/60714/000119312513084410/d447083dex3i1.htm" TargetMode="External"/><Relationship Id="rId280" Type="http://schemas.openxmlformats.org/officeDocument/2006/relationships/hyperlink" Target="https://www.sec.gov/Archives/edgar/data/0000060714/000119312521331386/d173096dex3i2.htm" TargetMode="External"/><Relationship Id="rId281" Type="http://schemas.openxmlformats.org/officeDocument/2006/relationships/hyperlink" Target="https://www.sec.gov/Archives/edgar/data/60714/000095017025029046/lxu-ex3_ii-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2025-10-30T15:27:13Z</dcterms:created>
  <dcterms:modified xsi:type="dcterms:W3CDTF">2025-10-30T15:27:13Z</dcterms:modified>
</cp:coreProperties>
</file>