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ind w:left="500" w:right="20" w:hanging="492"/>
        <w:spacing w:after="0" w:line="248"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r>
        <w:trPr>
          <w:trHeight w:val="318"/>
        </w:trPr>
        <w:tc>
          <w:tcPr>
            <w:tcW w:w="3280" w:type="dxa"/>
            <w:vAlign w:val="bottom"/>
            <w:gridSpan w:val="3"/>
          </w:tcPr>
          <w:p>
            <w:pPr>
              <w:ind w:left="80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4399915</wp:posOffset>
            </wp:positionH>
            <wp:positionV relativeFrom="paragraph">
              <wp:posOffset>-213995</wp:posOffset>
            </wp:positionV>
            <wp:extent cx="457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1"/>
              </w:rPr>
              <w:t>Delaware</w:t>
            </w:r>
          </w:p>
        </w:tc>
        <w:tc>
          <w:tcPr>
            <w:tcW w:w="1180" w:type="dxa"/>
            <w:vAlign w:val="bottom"/>
          </w:tcPr>
          <w:p>
            <w:pPr>
              <w:jc w:val="right"/>
              <w:ind w:right="61"/>
              <w:spacing w:after="0"/>
              <w:rPr>
                <w:sz w:val="20"/>
                <w:szCs w:val="20"/>
                <w:color w:val="auto"/>
              </w:rPr>
            </w:pPr>
            <w:r>
              <w:rPr>
                <w:rFonts w:ascii="Arial" w:cs="Arial" w:eastAsia="Arial" w:hAnsi="Arial"/>
                <w:sz w:val="18"/>
                <w:szCs w:val="18"/>
                <w:b w:val="1"/>
                <w:bCs w:val="1"/>
                <w:color w:val="auto"/>
              </w:rPr>
              <w:t>73-1015226</w:t>
            </w:r>
          </w:p>
        </w:tc>
      </w:tr>
      <w:tr>
        <w:trPr>
          <w:trHeight w:val="148"/>
        </w:trPr>
        <w:tc>
          <w:tcPr>
            <w:tcW w:w="7400" w:type="dxa"/>
            <w:vAlign w:val="bottom"/>
          </w:tcPr>
          <w:p>
            <w:pPr>
              <w:jc w:val="center"/>
              <w:ind w:right="27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400" w:type="dxa"/>
            <w:vAlign w:val="bottom"/>
          </w:tcPr>
          <w:p>
            <w:pPr>
              <w:jc w:val="center"/>
              <w:ind w:right="2762"/>
              <w:spacing w:after="0"/>
              <w:rPr>
                <w:sz w:val="20"/>
                <w:szCs w:val="20"/>
                <w:color w:val="auto"/>
              </w:rPr>
            </w:pPr>
            <w:r>
              <w:rPr>
                <w:rFonts w:ascii="Arial" w:cs="Arial" w:eastAsia="Arial" w:hAnsi="Arial"/>
                <w:sz w:val="14"/>
                <w:szCs w:val="14"/>
                <w:b w:val="1"/>
                <w:bCs w:val="1"/>
                <w:color w:val="auto"/>
                <w:w w:val="94"/>
              </w:rPr>
              <w:t>incorporation or organization)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 No.)</w:t>
            </w:r>
          </w:p>
        </w:tc>
      </w:tr>
      <w:tr>
        <w:trPr>
          <w:trHeight w:val="259"/>
        </w:trPr>
        <w:tc>
          <w:tcPr>
            <w:tcW w:w="7400" w:type="dxa"/>
            <w:vAlign w:val="bottom"/>
          </w:tcPr>
          <w:p>
            <w:pPr>
              <w:jc w:val="center"/>
              <w:ind w:right="2762"/>
              <w:spacing w:after="0"/>
              <w:rPr>
                <w:sz w:val="20"/>
                <w:szCs w:val="20"/>
                <w:color w:val="auto"/>
              </w:rPr>
            </w:pPr>
            <w:r>
              <w:rPr>
                <w:rFonts w:ascii="Arial" w:cs="Arial" w:eastAsia="Arial" w:hAnsi="Arial"/>
                <w:sz w:val="18"/>
                <w:szCs w:val="18"/>
                <w:b w:val="1"/>
                <w:bCs w:val="1"/>
                <w:color w:val="auto"/>
                <w:w w:val="92"/>
              </w:rPr>
              <w:t>3503 NW 63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Street, Suite 500, Oklahoma City, Oklahoma</w:t>
            </w:r>
          </w:p>
        </w:tc>
        <w:tc>
          <w:tcPr>
            <w:tcW w:w="11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73116</w:t>
            </w:r>
          </w:p>
        </w:tc>
      </w:tr>
      <w:tr>
        <w:trPr>
          <w:trHeight w:val="186"/>
        </w:trPr>
        <w:tc>
          <w:tcPr>
            <w:tcW w:w="7400" w:type="dxa"/>
            <w:vAlign w:val="bottom"/>
          </w:tcPr>
          <w:p>
            <w:pPr>
              <w:jc w:val="center"/>
              <w:ind w:right="274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r>
      <w:tr>
        <w:trPr>
          <w:trHeight w:val="282"/>
        </w:trPr>
        <w:tc>
          <w:tcPr>
            <w:tcW w:w="7400" w:type="dxa"/>
            <w:vAlign w:val="bottom"/>
          </w:tcPr>
          <w:p>
            <w:pPr>
              <w:ind w:left="2940"/>
              <w:spacing w:after="0"/>
              <w:rPr>
                <w:sz w:val="20"/>
                <w:szCs w:val="20"/>
                <w:color w:val="auto"/>
              </w:rPr>
            </w:pPr>
            <w:r>
              <w:rPr>
                <w:rFonts w:ascii="Arial" w:cs="Arial" w:eastAsia="Arial" w:hAnsi="Arial"/>
                <w:sz w:val="14"/>
                <w:szCs w:val="14"/>
                <w:b w:val="1"/>
                <w:bCs w:val="1"/>
                <w:color w:val="auto"/>
                <w:w w:val="93"/>
              </w:rPr>
              <w:t xml:space="preserve">(Registrant's telephone number, including area code) </w:t>
            </w:r>
            <w:r>
              <w:rPr>
                <w:rFonts w:ascii="Arial" w:cs="Arial" w:eastAsia="Arial" w:hAnsi="Arial"/>
                <w:sz w:val="17"/>
                <w:szCs w:val="17"/>
                <w:b w:val="1"/>
                <w:bCs w:val="1"/>
                <w:color w:val="auto"/>
                <w:w w:val="93"/>
              </w:rPr>
              <w:t>(405) 235-4546</w:t>
            </w:r>
          </w:p>
        </w:tc>
        <w:tc>
          <w:tcPr>
            <w:tcW w:w="1180" w:type="dxa"/>
            <w:vAlign w:val="bottom"/>
          </w:tcPr>
          <w:p>
            <w:pPr>
              <w:spacing w:after="0"/>
              <w:rPr>
                <w:sz w:val="24"/>
                <w:szCs w:val="24"/>
                <w:color w:val="auto"/>
              </w:rPr>
            </w:pPr>
          </w:p>
        </w:tc>
      </w:tr>
    </w:tbl>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20" w:type="dxa"/>
            <w:vAlign w:val="bottom"/>
          </w:tcPr>
          <w:p>
            <w:pPr>
              <w:spacing w:after="0"/>
              <w:rPr>
                <w:sz w:val="14"/>
                <w:szCs w:val="14"/>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91"/>
        </w:trPr>
        <w:tc>
          <w:tcPr>
            <w:tcW w:w="4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Par Value $.10</w:t>
            </w:r>
          </w:p>
        </w:tc>
        <w:tc>
          <w:tcPr>
            <w:tcW w:w="120" w:type="dxa"/>
            <w:vAlign w:val="bottom"/>
          </w:tcPr>
          <w:p>
            <w:pPr>
              <w:spacing w:after="0"/>
              <w:rPr>
                <w:sz w:val="16"/>
                <w:szCs w:val="16"/>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LXU</w:t>
            </w:r>
          </w:p>
        </w:tc>
        <w:tc>
          <w:tcPr>
            <w:tcW w:w="50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63"/>
        </w:trPr>
        <w:tc>
          <w:tcPr>
            <w:tcW w:w="44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8"/>
              </w:rPr>
              <w:t>Preferred Stock Purchase Rights</w:t>
            </w:r>
          </w:p>
        </w:tc>
        <w:tc>
          <w:tcPr>
            <w:tcW w:w="1800" w:type="dxa"/>
            <w:vAlign w:val="bottom"/>
            <w:gridSpan w:val="2"/>
            <w:vMerge w:val="continue"/>
          </w:tcPr>
          <w:p>
            <w:pPr>
              <w:spacing w:after="0"/>
              <w:rPr>
                <w:sz w:val="5"/>
                <w:szCs w:val="5"/>
                <w:color w:val="auto"/>
              </w:rPr>
            </w:pPr>
          </w:p>
        </w:tc>
        <w:tc>
          <w:tcPr>
            <w:tcW w:w="5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186"/>
        </w:trPr>
        <w:tc>
          <w:tcPr>
            <w:tcW w:w="4400" w:type="dxa"/>
            <w:vAlign w:val="bottom"/>
            <w:gridSpan w:val="2"/>
            <w:vMerge w:val="continue"/>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N/A</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34" w:lineRule="exact"/>
        <w:rPr>
          <w:sz w:val="24"/>
          <w:szCs w:val="24"/>
          <w:color w:val="auto"/>
        </w:rPr>
      </w:pPr>
    </w:p>
    <w:p>
      <w:pPr>
        <w:jc w:val="both"/>
        <w:spacing w:after="0" w:line="283"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502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was 30,037,749 shares as of April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430530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34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Page</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14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660" w:type="dxa"/>
            <w:vAlign w:val="bottom"/>
            <w:gridSpan w:val="1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966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53"/>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34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II – Other Information</w:t>
            </w:r>
          </w:p>
        </w:tc>
        <w:tc>
          <w:tcPr>
            <w:tcW w:w="660" w:type="dxa"/>
            <w:vAlign w:val="bottom"/>
          </w:tcPr>
          <w:p>
            <w:pPr>
              <w:spacing w:after="0"/>
              <w:rPr>
                <w:sz w:val="24"/>
                <w:szCs w:val="24"/>
                <w:color w:val="auto"/>
              </w:rPr>
            </w:pPr>
          </w:p>
        </w:tc>
      </w:tr>
      <w:tr>
        <w:trPr>
          <w:trHeight w:val="39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832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8740" w:type="dxa"/>
            <w:vAlign w:val="bottom"/>
            <w:gridSpan w:val="10"/>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53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9660" w:type="dxa"/>
            <w:vAlign w:val="bottom"/>
            <w:gridSpan w:val="1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Mining Safety Disclosures</w:t>
              </w:r>
            </w:hyperlink>
          </w:p>
        </w:tc>
        <w:tc>
          <w:tcPr>
            <w:tcW w:w="7340" w:type="dxa"/>
            <w:vAlign w:val="bottom"/>
            <w:gridSpan w:val="4"/>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Other Information</w:t>
              </w:r>
            </w:hyperlink>
          </w:p>
        </w:tc>
        <w:tc>
          <w:tcPr>
            <w:tcW w:w="600" w:type="dxa"/>
            <w:vAlign w:val="bottom"/>
            <w:tcBorders>
              <w:top w:val="single" w:sz="8" w:color="0000EE"/>
            </w:tcBorders>
            <w:gridSpan w:val="4"/>
          </w:tcPr>
          <w:p>
            <w:pPr>
              <w:spacing w:after="0"/>
              <w:rPr>
                <w:sz w:val="24"/>
                <w:szCs w:val="24"/>
                <w:color w:val="auto"/>
              </w:rPr>
            </w:pPr>
          </w:p>
        </w:tc>
        <w:tc>
          <w:tcPr>
            <w:tcW w:w="77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660" w:type="dxa"/>
            <w:vAlign w:val="bottom"/>
            <w:gridSpan w:val="1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885"/>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840" w:type="dxa"/>
            <w:vAlign w:val="bottom"/>
            <w:gridSpan w:val="10"/>
          </w:tcPr>
          <w:p>
            <w:pPr>
              <w:jc w:val="right"/>
              <w:ind w:right="1700"/>
              <w:spacing w:after="0"/>
              <w:rPr>
                <w:sz w:val="20"/>
                <w:szCs w:val="20"/>
                <w:color w:val="auto"/>
              </w:rPr>
            </w:pPr>
            <w:r>
              <w:rPr>
                <w:rFonts w:ascii="Arial" w:cs="Arial" w:eastAsia="Arial" w:hAnsi="Arial"/>
                <w:sz w:val="18"/>
                <w:szCs w:val="18"/>
                <w:color w:val="auto"/>
              </w:rPr>
              <w:t>2</w:t>
            </w:r>
          </w:p>
        </w:tc>
        <w:tc>
          <w:tcPr>
            <w:tcW w:w="3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34"/>
        </w:trPr>
        <w:tc>
          <w:tcPr>
            <w:tcW w:w="22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LSB INDUSTRIES, INC.</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(Information at March 31, 2021 is unaudited)</w:t>
            </w: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December 31,</w:t>
            </w:r>
          </w:p>
        </w:tc>
      </w:tr>
      <w:tr>
        <w:trPr>
          <w:trHeight w:val="230"/>
        </w:trPr>
        <w:tc>
          <w:tcPr>
            <w:tcW w:w="2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7"/>
        </w:trPr>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00" w:type="dxa"/>
            <w:vAlign w:val="bottom"/>
            <w:gridSpan w:val="6"/>
          </w:tcPr>
          <w:p>
            <w:pPr>
              <w:jc w:val="right"/>
              <w:ind w:right="1360"/>
              <w:spacing w:after="0"/>
              <w:rPr>
                <w:sz w:val="20"/>
                <w:szCs w:val="20"/>
                <w:color w:val="auto"/>
              </w:rPr>
            </w:pPr>
            <w:r>
              <w:rPr>
                <w:rFonts w:ascii="Arial" w:cs="Arial" w:eastAsia="Arial" w:hAnsi="Arial"/>
                <w:sz w:val="16"/>
                <w:szCs w:val="16"/>
                <w:color w:val="auto"/>
              </w:rPr>
              <w:t>(In Thousands)</w:t>
            </w:r>
          </w:p>
        </w:tc>
      </w:tr>
      <w:tr>
        <w:trPr>
          <w:trHeight w:val="23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4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14,232</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16,264</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Accounts receivable</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60,503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42,929</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Allowance for doubtful accounts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(378)</w:t>
            </w:r>
          </w:p>
        </w:tc>
      </w:tr>
      <w:tr>
        <w:trPr>
          <w:trHeight w:val="223"/>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Accounts receivable, net</w:t>
            </w:r>
          </w:p>
        </w:tc>
        <w:tc>
          <w:tcPr>
            <w:tcW w:w="4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42,551</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Inventories: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Finished goods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17,778</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Raw materials</w:t>
            </w:r>
          </w:p>
        </w:tc>
        <w:tc>
          <w:tcPr>
            <w:tcW w:w="4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1,795</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gridSpan w:val="2"/>
          </w:tcPr>
          <w:p>
            <w:pPr>
              <w:ind w:left="380"/>
              <w:spacing w:after="0"/>
              <w:rPr>
                <w:sz w:val="20"/>
                <w:szCs w:val="20"/>
                <w:color w:val="auto"/>
              </w:rPr>
            </w:pPr>
            <w:r>
              <w:rPr>
                <w:rFonts w:ascii="Arial" w:cs="Arial" w:eastAsia="Arial" w:hAnsi="Arial"/>
                <w:sz w:val="18"/>
                <w:szCs w:val="18"/>
                <w:color w:val="auto"/>
              </w:rPr>
              <w:t>Total inventories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19,573</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Supplies, prepaid items and other:</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Prepaid insurance</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12,315</w:t>
            </w: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Precious metals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w:t>
            </w:r>
          </w:p>
        </w:tc>
        <w:tc>
          <w:tcPr>
            <w:tcW w:w="120" w:type="dxa"/>
            <w:vAlign w:val="bottom"/>
            <w:shd w:val="clear" w:color="auto" w:fill="CFF0FC"/>
          </w:tcPr>
          <w:p>
            <w:pPr>
              <w:spacing w:after="0"/>
              <w:rPr>
                <w:sz w:val="19"/>
                <w:szCs w:val="19"/>
                <w:color w:val="auto"/>
              </w:rPr>
            </w:pPr>
          </w:p>
        </w:tc>
      </w:tr>
      <w:tr>
        <w:trPr>
          <w:trHeight w:val="229"/>
        </w:trPr>
        <w:tc>
          <w:tcPr>
            <w:tcW w:w="3320" w:type="dxa"/>
            <w:vAlign w:val="bottom"/>
            <w:gridSpan w:val="2"/>
          </w:tcPr>
          <w:p>
            <w:pPr>
              <w:ind w:left="260"/>
              <w:spacing w:after="0"/>
              <w:rPr>
                <w:sz w:val="20"/>
                <w:szCs w:val="20"/>
                <w:color w:val="auto"/>
              </w:rPr>
            </w:pPr>
            <w:r>
              <w:rPr>
                <w:rFonts w:ascii="Arial" w:cs="Arial" w:eastAsia="Arial" w:hAnsi="Arial"/>
                <w:sz w:val="18"/>
                <w:szCs w:val="18"/>
                <w:color w:val="auto"/>
              </w:rPr>
              <w:t>Supplies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25,406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25,288</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4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6,802</w:t>
            </w:r>
          </w:p>
        </w:tc>
        <w:tc>
          <w:tcPr>
            <w:tcW w:w="120" w:type="dxa"/>
            <w:vAlign w:val="bottom"/>
            <w:shd w:val="clear" w:color="auto" w:fill="CFF0FC"/>
          </w:tcPr>
          <w:p>
            <w:pPr>
              <w:spacing w:after="0"/>
              <w:rPr>
                <w:sz w:val="19"/>
                <w:szCs w:val="19"/>
                <w:color w:val="auto"/>
              </w:rPr>
            </w:pPr>
          </w:p>
        </w:tc>
      </w:tr>
      <w:tr>
        <w:trPr>
          <w:trHeight w:val="223"/>
        </w:trPr>
        <w:tc>
          <w:tcPr>
            <w:tcW w:w="332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w w:val="94"/>
              </w:rPr>
              <w:t>Total supplies, prepaid items and other</w:t>
            </w:r>
          </w:p>
        </w:tc>
        <w:tc>
          <w:tcPr>
            <w:tcW w:w="4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45,389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51,192</w:t>
            </w:r>
          </w:p>
        </w:tc>
        <w:tc>
          <w:tcPr>
            <w:tcW w:w="120" w:type="dxa"/>
            <w:vAlign w:val="bottom"/>
            <w:tcBorders>
              <w:bottom w:val="single" w:sz="8" w:color="CFF0FC"/>
            </w:tcBorders>
          </w:tcPr>
          <w:p>
            <w:pPr>
              <w:spacing w:after="0"/>
              <w:rPr>
                <w:sz w:val="19"/>
                <w:szCs w:val="19"/>
                <w:color w:val="auto"/>
              </w:rPr>
            </w:pPr>
          </w:p>
        </w:tc>
      </w:tr>
      <w:tr>
        <w:trPr>
          <w:trHeight w:val="223"/>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138,964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129,580</w:t>
            </w:r>
          </w:p>
        </w:tc>
        <w:tc>
          <w:tcPr>
            <w:tcW w:w="120" w:type="dxa"/>
            <w:vAlign w:val="bottom"/>
            <w:shd w:val="clear" w:color="auto" w:fill="CFF0FC"/>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882,816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891,198</w:t>
            </w:r>
          </w:p>
        </w:tc>
        <w:tc>
          <w:tcPr>
            <w:tcW w:w="120" w:type="dxa"/>
            <w:vAlign w:val="bottom"/>
            <w:shd w:val="clear" w:color="auto" w:fill="CFF0FC"/>
          </w:tcPr>
          <w:p>
            <w:pPr>
              <w:spacing w:after="0"/>
              <w:rPr>
                <w:sz w:val="19"/>
                <w:szCs w:val="19"/>
                <w:color w:val="auto"/>
              </w:rPr>
            </w:pPr>
          </w:p>
        </w:tc>
      </w:tr>
      <w:tr>
        <w:trPr>
          <w:trHeight w:val="230"/>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4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320" w:type="dxa"/>
            <w:vAlign w:val="bottom"/>
            <w:gridSpan w:val="2"/>
          </w:tcPr>
          <w:p>
            <w:pPr>
              <w:ind w:left="140"/>
              <w:spacing w:after="0"/>
              <w:rPr>
                <w:sz w:val="20"/>
                <w:szCs w:val="20"/>
                <w:color w:val="auto"/>
              </w:rPr>
            </w:pPr>
            <w:r>
              <w:rPr>
                <w:rFonts w:ascii="Arial" w:cs="Arial" w:eastAsia="Arial" w:hAnsi="Arial"/>
                <w:sz w:val="18"/>
                <w:szCs w:val="18"/>
                <w:color w:val="auto"/>
              </w:rPr>
              <w:t>Operating lease assets</w:t>
            </w: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27,671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26,403</w:t>
            </w:r>
          </w:p>
        </w:tc>
        <w:tc>
          <w:tcPr>
            <w:tcW w:w="120" w:type="dxa"/>
            <w:vAlign w:val="bottom"/>
          </w:tcPr>
          <w:p>
            <w:pPr>
              <w:spacing w:after="0"/>
              <w:rPr>
                <w:sz w:val="19"/>
                <w:szCs w:val="19"/>
                <w:color w:val="auto"/>
              </w:rPr>
            </w:pPr>
          </w:p>
        </w:tc>
      </w:tr>
      <w:tr>
        <w:trPr>
          <w:trHeight w:val="230"/>
        </w:trPr>
        <w:tc>
          <w:tcPr>
            <w:tcW w:w="33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and other assets, net</w:t>
            </w:r>
          </w:p>
        </w:tc>
        <w:tc>
          <w:tcPr>
            <w:tcW w:w="4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6,121</w:t>
            </w:r>
          </w:p>
        </w:tc>
        <w:tc>
          <w:tcPr>
            <w:tcW w:w="12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32,524</w:t>
            </w:r>
          </w:p>
        </w:tc>
        <w:tc>
          <w:tcPr>
            <w:tcW w:w="120" w:type="dxa"/>
            <w:vAlign w:val="bottom"/>
          </w:tcPr>
          <w:p>
            <w:pPr>
              <w:spacing w:after="0"/>
              <w:rPr>
                <w:sz w:val="19"/>
                <w:szCs w:val="19"/>
                <w:color w:val="auto"/>
              </w:rPr>
            </w:pPr>
          </w:p>
        </w:tc>
      </w:tr>
      <w:tr>
        <w:trPr>
          <w:trHeight w:val="229"/>
        </w:trPr>
        <w:tc>
          <w:tcPr>
            <w:tcW w:w="22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3"/>
        </w:trPr>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1,053,302</w:t>
            </w:r>
          </w:p>
        </w:tc>
        <w:tc>
          <w:tcPr>
            <w:tcW w:w="120" w:type="dxa"/>
            <w:vAlign w:val="bottom"/>
          </w:tcPr>
          <w:p>
            <w:pPr>
              <w:spacing w:after="0"/>
              <w:rPr>
                <w:sz w:val="19"/>
                <w:szCs w:val="19"/>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color w:val="auto"/>
                <w:w w:val="92"/>
              </w:rPr>
              <w:t>(Continued on following page)</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2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340" w:type="dxa"/>
            <w:vAlign w:val="bottom"/>
          </w:tcPr>
          <w:p>
            <w:pPr>
              <w:jc w:val="center"/>
              <w:ind w:left="170"/>
              <w:spacing w:after="0"/>
              <w:rPr>
                <w:sz w:val="20"/>
                <w:szCs w:val="20"/>
                <w:color w:val="auto"/>
              </w:rPr>
            </w:pPr>
            <w:r>
              <w:rPr>
                <w:rFonts w:ascii="Arial" w:cs="Arial" w:eastAsia="Arial" w:hAnsi="Arial"/>
                <w:sz w:val="18"/>
                <w:szCs w:val="18"/>
                <w:color w:val="auto"/>
                <w:w w:val="79"/>
              </w:rPr>
              <w:t>3</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2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March 31, 2021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March 31,</w:t>
            </w:r>
          </w:p>
        </w:tc>
        <w:tc>
          <w:tcPr>
            <w:tcW w:w="180" w:type="dxa"/>
            <w:vAlign w:val="bottom"/>
          </w:tcPr>
          <w:p>
            <w:pPr>
              <w:spacing w:after="0"/>
              <w:rPr>
                <w:sz w:val="19"/>
                <w:szCs w:val="19"/>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December 31,</w:t>
            </w:r>
          </w:p>
        </w:tc>
      </w:tr>
      <w:tr>
        <w:trPr>
          <w:trHeight w:val="230"/>
        </w:trPr>
        <w:tc>
          <w:tcPr>
            <w:tcW w:w="7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7"/>
        </w:trPr>
        <w:tc>
          <w:tcPr>
            <w:tcW w:w="7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5"/>
          </w:tcPr>
          <w:p>
            <w:pPr>
              <w:jc w:val="right"/>
              <w:ind w:right="1380"/>
              <w:spacing w:after="0"/>
              <w:rPr>
                <w:sz w:val="20"/>
                <w:szCs w:val="20"/>
                <w:color w:val="auto"/>
              </w:rPr>
            </w:pPr>
            <w:r>
              <w:rPr>
                <w:rFonts w:ascii="Arial" w:cs="Arial" w:eastAsia="Arial" w:hAnsi="Arial"/>
                <w:sz w:val="16"/>
                <w:szCs w:val="16"/>
                <w:color w:val="auto"/>
              </w:rPr>
              <w:t>(In Thousands)</w:t>
            </w:r>
          </w:p>
        </w:tc>
      </w:tr>
      <w:tr>
        <w:trPr>
          <w:trHeight w:val="233"/>
        </w:trPr>
        <w:tc>
          <w:tcPr>
            <w:tcW w:w="7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57,360</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46,551</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Short-term financing</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8,157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13,576</w:t>
            </w: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and other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40,722</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30,367</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18,082</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16,801</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124,321</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107,295</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Long-term debt, net</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463,673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467,389</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20,244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19,845</w:t>
            </w: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accrued and other liabilities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6,090</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31,266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30,939</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5)</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Redeemable preferred stocks:</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of $287,493,000 ($277,982,000 at December 31, 2020)</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282,123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272,101</w:t>
            </w:r>
          </w:p>
        </w:tc>
        <w:tc>
          <w:tcPr>
            <w:tcW w:w="120" w:type="dxa"/>
            <w:vAlign w:val="bottom"/>
          </w:tcPr>
          <w:p>
            <w:pPr>
              <w:spacing w:after="0"/>
              <w:rPr>
                <w:sz w:val="20"/>
                <w:szCs w:val="20"/>
                <w:color w:val="auto"/>
              </w:rPr>
            </w:pPr>
          </w:p>
        </w:tc>
      </w:tr>
      <w:tr>
        <w:trPr>
          <w:trHeight w:val="215"/>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outstanding; aggregate liquidation preference of $100</w:t>
            </w:r>
          </w:p>
        </w:tc>
        <w:tc>
          <w:tcPr>
            <w:tcW w:w="28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Series B 12% cumulative, convertible preferred stock, $100 par value; 20,000</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40" w:type="dxa"/>
            <w:vAlign w:val="bottom"/>
          </w:tcPr>
          <w:p>
            <w:pPr>
              <w:ind w:left="260"/>
              <w:spacing w:after="0"/>
              <w:rPr>
                <w:sz w:val="20"/>
                <w:szCs w:val="20"/>
                <w:color w:val="auto"/>
              </w:rPr>
            </w:pPr>
            <w:r>
              <w:rPr>
                <w:rFonts w:ascii="Arial" w:cs="Arial" w:eastAsia="Arial" w:hAnsi="Arial"/>
                <w:sz w:val="18"/>
                <w:szCs w:val="18"/>
                <w:color w:val="auto"/>
              </w:rPr>
              <w:t>shares issued and outstanding; aggregate liquidation preference</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of $3,325,000 ($3,265,000 at December 31, 2020)</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0"/>
                <w:szCs w:val="20"/>
                <w:color w:val="auto"/>
              </w:rPr>
            </w:pPr>
          </w:p>
        </w:tc>
      </w:tr>
      <w:tr>
        <w:trPr>
          <w:trHeight w:val="215"/>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1,000,000 shares issued and outstanding; aggregate liquidation preference</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$1,327,000 ($1,312,000 at December 31, 2020)</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20"/>
                <w:szCs w:val="20"/>
                <w:color w:val="auto"/>
              </w:rPr>
            </w:pPr>
          </w:p>
        </w:tc>
      </w:tr>
      <w:tr>
        <w:trPr>
          <w:trHeight w:val="215"/>
        </w:trPr>
        <w:tc>
          <w:tcPr>
            <w:tcW w:w="7640" w:type="dxa"/>
            <w:vAlign w:val="bottom"/>
          </w:tcPr>
          <w:p>
            <w:pPr>
              <w:ind w:left="140"/>
              <w:spacing w:after="0"/>
              <w:rPr>
                <w:sz w:val="20"/>
                <w:szCs w:val="20"/>
                <w:color w:val="auto"/>
              </w:rPr>
            </w:pPr>
            <w:r>
              <w:rPr>
                <w:rFonts w:ascii="Arial" w:cs="Arial" w:eastAsia="Arial" w:hAnsi="Arial"/>
                <w:sz w:val="18"/>
                <w:szCs w:val="18"/>
                <w:color w:val="auto"/>
              </w:rPr>
              <w:t>Common stock, $.10 par value; 75,000,000 shares authorized,</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31,283,210 shares issued</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3,128</w:t>
            </w:r>
          </w:p>
        </w:tc>
        <w:tc>
          <w:tcPr>
            <w:tcW w:w="120" w:type="dxa"/>
            <w:vAlign w:val="bottom"/>
          </w:tcPr>
          <w:p>
            <w:pPr>
              <w:spacing w:after="0"/>
              <w:rPr>
                <w:sz w:val="20"/>
                <w:szCs w:val="20"/>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Capital in excess of par value</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193,618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198,215</w:t>
            </w:r>
          </w:p>
        </w:tc>
        <w:tc>
          <w:tcPr>
            <w:tcW w:w="12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(64,788)</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(41,487)</w:t>
            </w:r>
          </w:p>
        </w:tc>
      </w:tr>
      <w:tr>
        <w:trPr>
          <w:trHeight w:val="223"/>
        </w:trPr>
        <w:tc>
          <w:tcPr>
            <w:tcW w:w="76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134,958</w:t>
            </w:r>
          </w:p>
        </w:tc>
        <w:tc>
          <w:tcPr>
            <w:tcW w:w="2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162,856</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Less treasury stock, at cost:</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stock, 1,245,461 shares (2,074,565 shares at December 31, 2020)</w:t>
            </w:r>
          </w:p>
        </w:tc>
        <w:tc>
          <w:tcPr>
            <w:tcW w:w="2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7,921</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13,213</w:t>
            </w:r>
          </w:p>
        </w:tc>
        <w:tc>
          <w:tcPr>
            <w:tcW w:w="120" w:type="dxa"/>
            <w:vAlign w:val="bottom"/>
            <w:shd w:val="clear" w:color="auto" w:fill="CFF0FC"/>
          </w:tcPr>
          <w:p>
            <w:pPr>
              <w:spacing w:after="0"/>
              <w:rPr>
                <w:sz w:val="19"/>
                <w:szCs w:val="19"/>
                <w:color w:val="auto"/>
              </w:rPr>
            </w:pPr>
          </w:p>
        </w:tc>
      </w:tr>
      <w:tr>
        <w:trPr>
          <w:trHeight w:val="223"/>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127,037</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149,643</w:t>
            </w:r>
          </w:p>
        </w:tc>
        <w:tc>
          <w:tcPr>
            <w:tcW w:w="12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1,054,997</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1,053,302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820" w:type="dxa"/>
            <w:vAlign w:val="bottom"/>
            <w:gridSpan w:val="4"/>
          </w:tcPr>
          <w:p>
            <w:pPr>
              <w:jc w:val="center"/>
              <w:ind w:left="492"/>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gridSpan w:val="3"/>
          </w:tcPr>
          <w:p>
            <w:pPr>
              <w:jc w:val="center"/>
              <w:ind w:right="330"/>
              <w:spacing w:after="0"/>
              <w:rPr>
                <w:sz w:val="20"/>
                <w:szCs w:val="20"/>
                <w:color w:val="auto"/>
              </w:rPr>
            </w:pPr>
            <w:r>
              <w:rPr>
                <w:rFonts w:ascii="Arial" w:cs="Arial" w:eastAsia="Arial" w:hAnsi="Arial"/>
                <w:sz w:val="18"/>
                <w:szCs w:val="18"/>
                <w:color w:val="auto"/>
                <w:w w:val="92"/>
              </w:rPr>
              <w:t>March 31,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7"/>
        </w:trPr>
        <w:tc>
          <w:tcPr>
            <w:tcW w:w="416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3520" w:type="dxa"/>
            <w:vAlign w:val="bottom"/>
            <w:gridSpan w:val="6"/>
          </w:tcPr>
          <w:p>
            <w:pPr>
              <w:jc w:val="center"/>
              <w:ind w:right="140"/>
              <w:spacing w:after="0"/>
              <w:rPr>
                <w:sz w:val="20"/>
                <w:szCs w:val="20"/>
                <w:color w:val="auto"/>
              </w:rPr>
            </w:pPr>
            <w:r>
              <w:rPr>
                <w:rFonts w:ascii="Arial" w:cs="Arial" w:eastAsia="Arial" w:hAnsi="Arial"/>
                <w:sz w:val="16"/>
                <w:szCs w:val="16"/>
                <w:color w:val="auto"/>
                <w:w w:val="91"/>
              </w:rPr>
              <w:t>(In Thousands, Except Per Share Amounts)</w:t>
            </w:r>
          </w:p>
        </w:tc>
      </w:tr>
      <w:tr>
        <w:trPr>
          <w:trHeight w:val="232"/>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4540" w:type="dxa"/>
            <w:vAlign w:val="bottom"/>
            <w:gridSpan w:val="2"/>
            <w:shd w:val="clear" w:color="auto" w:fill="CFF0FC"/>
          </w:tcPr>
          <w:p>
            <w:pPr>
              <w:jc w:val="right"/>
              <w:ind w:right="792"/>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98,116</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83,411</w:t>
            </w:r>
          </w:p>
        </w:tc>
        <w:tc>
          <w:tcPr>
            <w:tcW w:w="120" w:type="dxa"/>
            <w:vAlign w:val="bottom"/>
            <w:shd w:val="clear" w:color="auto" w:fill="CFF0FC"/>
          </w:tcPr>
          <w:p>
            <w:pPr>
              <w:spacing w:after="0"/>
              <w:rPr>
                <w:sz w:val="20"/>
                <w:szCs w:val="20"/>
                <w:color w:val="auto"/>
              </w:rPr>
            </w:pPr>
          </w:p>
        </w:tc>
      </w:tr>
      <w:tr>
        <w:trPr>
          <w:trHeight w:val="229"/>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35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90,056</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80,860</w:t>
            </w:r>
          </w:p>
        </w:tc>
        <w:tc>
          <w:tcPr>
            <w:tcW w:w="120" w:type="dxa"/>
            <w:vAlign w:val="bottom"/>
            <w:tcBorders>
              <w:bottom w:val="single" w:sz="8" w:color="CFF0FC"/>
            </w:tcBorders>
          </w:tcPr>
          <w:p>
            <w:pPr>
              <w:spacing w:after="0"/>
              <w:rPr>
                <w:sz w:val="19"/>
                <w:szCs w:val="19"/>
                <w:color w:val="auto"/>
              </w:rPr>
            </w:pP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3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12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3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10,006</w:t>
            </w:r>
          </w:p>
        </w:tc>
        <w:tc>
          <w:tcPr>
            <w:tcW w:w="120" w:type="dxa"/>
            <w:vAlign w:val="bottom"/>
            <w:shd w:val="clear" w:color="auto" w:fill="CFF0FC"/>
          </w:tcPr>
          <w:p>
            <w:pPr>
              <w:spacing w:after="0"/>
              <w:rPr>
                <w:sz w:val="19"/>
                <w:szCs w:val="19"/>
                <w:color w:val="auto"/>
              </w:rPr>
            </w:pPr>
          </w:p>
        </w:tc>
      </w:tr>
      <w:tr>
        <w:trPr>
          <w:trHeight w:val="229"/>
        </w:trPr>
        <w:tc>
          <w:tcPr>
            <w:tcW w:w="4160" w:type="dxa"/>
            <w:vAlign w:val="bottom"/>
          </w:tcPr>
          <w:p>
            <w:pPr>
              <w:spacing w:after="0"/>
              <w:rPr>
                <w:sz w:val="20"/>
                <w:szCs w:val="20"/>
                <w:color w:val="auto"/>
              </w:rPr>
            </w:pPr>
            <w:r>
              <w:rPr>
                <w:rFonts w:ascii="Arial" w:cs="Arial" w:eastAsia="Arial" w:hAnsi="Arial"/>
                <w:sz w:val="18"/>
                <w:szCs w:val="18"/>
                <w:color w:val="auto"/>
              </w:rPr>
              <w:t>Other income, net</w:t>
            </w: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(263)</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5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(6,987)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3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12,372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13,479</w:t>
            </w:r>
          </w:p>
        </w:tc>
        <w:tc>
          <w:tcPr>
            <w:tcW w:w="12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(675)</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provision (benefit) for income taxes</w:t>
            </w:r>
          </w:p>
        </w:tc>
        <w:tc>
          <w:tcPr>
            <w:tcW w:w="35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(13,237)</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(19,791)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5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(13,279)</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(19,452)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3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FF0FC"/>
          </w:tcPr>
          <w:p>
            <w:pPr>
              <w:spacing w:after="0"/>
              <w:rPr>
                <w:sz w:val="19"/>
                <w:szCs w:val="19"/>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Dividends on Series E redeemable preferred stock</w:t>
            </w:r>
          </w:p>
        </w:tc>
        <w:tc>
          <w:tcPr>
            <w:tcW w:w="3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9,511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8,307</w:t>
            </w:r>
          </w:p>
        </w:tc>
        <w:tc>
          <w:tcPr>
            <w:tcW w:w="120" w:type="dxa"/>
            <w:vAlign w:val="bottom"/>
          </w:tcPr>
          <w:p>
            <w:pPr>
              <w:spacing w:after="0"/>
              <w:rPr>
                <w:sz w:val="19"/>
                <w:szCs w:val="19"/>
                <w:color w:val="auto"/>
              </w:rPr>
            </w:pPr>
          </w:p>
        </w:tc>
      </w:tr>
      <w:tr>
        <w:trPr>
          <w:trHeight w:val="229"/>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35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FF0FC"/>
          </w:tcPr>
          <w:p>
            <w:pPr>
              <w:spacing w:after="0"/>
              <w:rPr>
                <w:sz w:val="19"/>
                <w:szCs w:val="19"/>
                <w:color w:val="auto"/>
              </w:rPr>
            </w:pPr>
          </w:p>
        </w:tc>
      </w:tr>
      <w:tr>
        <w:trPr>
          <w:trHeight w:val="263"/>
        </w:trPr>
        <w:tc>
          <w:tcPr>
            <w:tcW w:w="4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356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(23,376)</w:t>
            </w:r>
          </w:p>
        </w:tc>
        <w:tc>
          <w:tcPr>
            <w:tcW w:w="28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(28,338)</w:t>
            </w:r>
          </w:p>
        </w:tc>
        <w:tc>
          <w:tcPr>
            <w:tcW w:w="120" w:type="dxa"/>
            <w:vAlign w:val="bottom"/>
            <w:tcBorders>
              <w:bottom w:val="single" w:sz="8" w:color="CFF0FC"/>
            </w:tcBorders>
          </w:tcPr>
          <w:p>
            <w:pPr>
              <w:spacing w:after="0"/>
              <w:rPr>
                <w:sz w:val="22"/>
                <w:szCs w:val="22"/>
                <w:color w:val="auto"/>
              </w:rPr>
            </w:pPr>
          </w:p>
        </w:tc>
      </w:tr>
      <w:tr>
        <w:trPr>
          <w:trHeight w:val="210"/>
        </w:trPr>
        <w:tc>
          <w:tcPr>
            <w:tcW w:w="416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Basic and dilutive net loss per common share</w:t>
            </w:r>
          </w:p>
        </w:tc>
        <w:tc>
          <w:tcPr>
            <w:tcW w:w="454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(0.82)</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r>
      <w:tr>
        <w:trPr>
          <w:trHeight w:val="20"/>
        </w:trPr>
        <w:tc>
          <w:tcPr>
            <w:tcW w:w="4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4160" w:type="dxa"/>
            <w:vAlign w:val="bottom"/>
          </w:tcPr>
          <w:p>
            <w:pPr>
              <w:spacing w:after="0"/>
              <w:rPr>
                <w:sz w:val="24"/>
                <w:szCs w:val="24"/>
                <w:color w:val="auto"/>
              </w:rPr>
            </w:pPr>
          </w:p>
        </w:tc>
        <w:tc>
          <w:tcPr>
            <w:tcW w:w="4540" w:type="dxa"/>
            <w:vAlign w:val="bottom"/>
            <w:gridSpan w:val="2"/>
          </w:tcPr>
          <w:p>
            <w:pPr>
              <w:jc w:val="center"/>
              <w:ind w:right="1512"/>
              <w:spacing w:after="0"/>
              <w:rPr>
                <w:sz w:val="20"/>
                <w:szCs w:val="20"/>
                <w:color w:val="auto"/>
              </w:rPr>
            </w:pPr>
            <w:r>
              <w:rPr>
                <w:rFonts w:ascii="Arial" w:cs="Arial" w:eastAsia="Arial" w:hAnsi="Arial"/>
                <w:sz w:val="18"/>
                <w:szCs w:val="18"/>
                <w:color w:val="auto"/>
                <w:w w:val="87"/>
              </w:rPr>
              <w:t>See accompanying notes.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4160" w:type="dxa"/>
            <w:vAlign w:val="bottom"/>
          </w:tcPr>
          <w:p>
            <w:pPr>
              <w:spacing w:after="0"/>
              <w:rPr>
                <w:sz w:val="24"/>
                <w:szCs w:val="24"/>
                <w:color w:val="auto"/>
              </w:rPr>
            </w:pPr>
          </w:p>
        </w:tc>
        <w:tc>
          <w:tcPr>
            <w:tcW w:w="3560" w:type="dxa"/>
            <w:vAlign w:val="bottom"/>
          </w:tcPr>
          <w:p>
            <w:pPr>
              <w:jc w:val="right"/>
              <w:ind w:right="1970"/>
              <w:spacing w:after="0"/>
              <w:rPr>
                <w:sz w:val="20"/>
                <w:szCs w:val="20"/>
                <w:color w:val="auto"/>
              </w:rPr>
            </w:pPr>
            <w:r>
              <w:rPr>
                <w:rFonts w:ascii="Arial" w:cs="Arial" w:eastAsia="Arial" w:hAnsi="Arial"/>
                <w:sz w:val="18"/>
                <w:szCs w:val="18"/>
                <w:color w:val="auto"/>
              </w:rPr>
              <w:t>5</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101"/>
              <w:spacing w:after="0"/>
              <w:rPr>
                <w:sz w:val="20"/>
                <w:szCs w:val="20"/>
                <w:color w:val="auto"/>
              </w:rPr>
            </w:pPr>
            <w:r>
              <w:rPr>
                <w:rFonts w:ascii="Arial" w:cs="Arial" w:eastAsia="Arial" w:hAnsi="Arial"/>
                <w:sz w:val="18"/>
                <w:szCs w:val="18"/>
                <w:color w:val="auto"/>
                <w:w w:val="90"/>
              </w:rPr>
              <w:t>Treasury</w:t>
            </w: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Non-</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3"/>
              </w:rPr>
              <w:t>Common</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3"/>
              </w:rPr>
              <w:t>Capital in</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Retained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Common</w:t>
            </w:r>
          </w:p>
        </w:tc>
        <w:tc>
          <w:tcPr>
            <w:tcW w:w="900" w:type="dxa"/>
            <w:vAlign w:val="bottom"/>
            <w:gridSpan w:val="2"/>
          </w:tcPr>
          <w:p>
            <w:pPr>
              <w:jc w:val="center"/>
              <w:ind w:right="121"/>
              <w:spacing w:after="0"/>
              <w:rPr>
                <w:sz w:val="20"/>
                <w:szCs w:val="20"/>
                <w:color w:val="auto"/>
              </w:rPr>
            </w:pPr>
            <w:r>
              <w:rPr>
                <w:rFonts w:ascii="Arial" w:cs="Arial" w:eastAsia="Arial" w:hAnsi="Arial"/>
                <w:sz w:val="18"/>
                <w:szCs w:val="18"/>
                <w:color w:val="auto"/>
                <w:w w:val="90"/>
              </w:rPr>
              <w:t>Stock-</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Redeemable</w:t>
            </w:r>
          </w:p>
        </w:tc>
        <w:tc>
          <w:tcPr>
            <w:tcW w:w="120" w:type="dxa"/>
            <w:vAlign w:val="bottom"/>
          </w:tcPr>
          <w:p>
            <w:pPr>
              <w:spacing w:after="0"/>
              <w:rPr>
                <w:sz w:val="18"/>
                <w:szCs w:val="18"/>
                <w:color w:val="auto"/>
              </w:rPr>
            </w:pPr>
          </w:p>
        </w:tc>
        <w:tc>
          <w:tcPr>
            <w:tcW w:w="600" w:type="dxa"/>
            <w:vAlign w:val="bottom"/>
          </w:tcPr>
          <w:p>
            <w:pPr>
              <w:jc w:val="center"/>
              <w:ind w:right="32"/>
              <w:spacing w:after="0"/>
              <w:rPr>
                <w:sz w:val="20"/>
                <w:szCs w:val="20"/>
                <w:color w:val="auto"/>
              </w:rPr>
            </w:pPr>
            <w:r>
              <w:rPr>
                <w:rFonts w:ascii="Arial" w:cs="Arial" w:eastAsia="Arial" w:hAnsi="Arial"/>
                <w:sz w:val="18"/>
                <w:szCs w:val="18"/>
                <w:color w:val="auto"/>
                <w:w w:val="88"/>
              </w:rPr>
              <w:t>Stock</w:t>
            </w:r>
          </w:p>
        </w:tc>
        <w:tc>
          <w:tcPr>
            <w:tcW w:w="2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Excess of</w:t>
            </w:r>
          </w:p>
        </w:tc>
        <w:tc>
          <w:tcPr>
            <w:tcW w:w="1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Earnings</w:t>
            </w:r>
          </w:p>
        </w:tc>
        <w:tc>
          <w:tcPr>
            <w:tcW w:w="900" w:type="dxa"/>
            <w:vAlign w:val="bottom"/>
            <w:gridSpan w:val="3"/>
          </w:tcPr>
          <w:p>
            <w:pPr>
              <w:ind w:left="20"/>
              <w:spacing w:after="0"/>
              <w:rPr>
                <w:sz w:val="20"/>
                <w:szCs w:val="20"/>
                <w:color w:val="auto"/>
              </w:rPr>
            </w:pPr>
            <w:r>
              <w:rPr>
                <w:rFonts w:ascii="Arial" w:cs="Arial" w:eastAsia="Arial" w:hAnsi="Arial"/>
                <w:sz w:val="18"/>
                <w:szCs w:val="18"/>
                <w:color w:val="auto"/>
              </w:rPr>
              <w:t>Treasury</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Stock</w:t>
            </w:r>
          </w:p>
        </w:tc>
        <w:tc>
          <w:tcPr>
            <w:tcW w:w="900" w:type="dxa"/>
            <w:vAlign w:val="bottom"/>
            <w:gridSpan w:val="2"/>
          </w:tcPr>
          <w:p>
            <w:pPr>
              <w:jc w:val="center"/>
              <w:ind w:right="121"/>
              <w:spacing w:after="0"/>
              <w:rPr>
                <w:sz w:val="20"/>
                <w:szCs w:val="20"/>
                <w:color w:val="auto"/>
              </w:rPr>
            </w:pPr>
            <w:r>
              <w:rPr>
                <w:rFonts w:ascii="Arial" w:cs="Arial" w:eastAsia="Arial" w:hAnsi="Arial"/>
                <w:sz w:val="18"/>
                <w:szCs w:val="18"/>
                <w:color w:val="auto"/>
                <w:w w:val="90"/>
              </w:rPr>
              <w:t>Common</w:t>
            </w:r>
          </w:p>
        </w:tc>
        <w:tc>
          <w:tcPr>
            <w:tcW w:w="10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Preferred</w:t>
            </w:r>
          </w:p>
        </w:tc>
        <w:tc>
          <w:tcPr>
            <w:tcW w:w="120" w:type="dxa"/>
            <w:vAlign w:val="bottom"/>
          </w:tcPr>
          <w:p>
            <w:pPr>
              <w:spacing w:after="0"/>
              <w:rPr>
                <w:sz w:val="18"/>
                <w:szCs w:val="18"/>
                <w:color w:val="auto"/>
              </w:rPr>
            </w:pPr>
          </w:p>
        </w:tc>
        <w:tc>
          <w:tcPr>
            <w:tcW w:w="600" w:type="dxa"/>
            <w:vAlign w:val="bottom"/>
          </w:tcPr>
          <w:p>
            <w:pPr>
              <w:jc w:val="center"/>
              <w:ind w:right="32"/>
              <w:spacing w:after="0"/>
              <w:rPr>
                <w:sz w:val="20"/>
                <w:szCs w:val="20"/>
                <w:color w:val="auto"/>
              </w:rPr>
            </w:pPr>
            <w:r>
              <w:rPr>
                <w:rFonts w:ascii="Arial" w:cs="Arial" w:eastAsia="Arial" w:hAnsi="Arial"/>
                <w:sz w:val="18"/>
                <w:szCs w:val="18"/>
                <w:color w:val="auto"/>
                <w:w w:val="85"/>
              </w:rPr>
              <w:t>Par</w:t>
            </w:r>
          </w:p>
        </w:tc>
        <w:tc>
          <w:tcPr>
            <w:tcW w:w="200" w:type="dxa"/>
            <w:vAlign w:val="bottom"/>
          </w:tcPr>
          <w:p>
            <w:pPr>
              <w:spacing w:after="0"/>
              <w:rPr>
                <w:sz w:val="18"/>
                <w:szCs w:val="18"/>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Par</w:t>
            </w: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8"/>
                <w:szCs w:val="18"/>
                <w:color w:val="auto"/>
              </w:rPr>
            </w:pPr>
          </w:p>
        </w:tc>
        <w:tc>
          <w:tcPr>
            <w:tcW w:w="800" w:type="dxa"/>
            <w:vAlign w:val="bottom"/>
            <w:gridSpan w:val="2"/>
          </w:tcPr>
          <w:p>
            <w:pPr>
              <w:jc w:val="right"/>
              <w:ind w:right="241"/>
              <w:spacing w:after="0"/>
              <w:rPr>
                <w:sz w:val="20"/>
                <w:szCs w:val="20"/>
                <w:color w:val="auto"/>
              </w:rPr>
            </w:pPr>
            <w:r>
              <w:rPr>
                <w:rFonts w:ascii="Arial" w:cs="Arial" w:eastAsia="Arial" w:hAnsi="Arial"/>
                <w:sz w:val="18"/>
                <w:szCs w:val="18"/>
                <w:color w:val="auto"/>
                <w:w w:val="90"/>
              </w:rPr>
              <w:t>Stock-</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0"/>
              </w:rPr>
              <w:t>Shares</w:t>
            </w:r>
          </w:p>
        </w:tc>
        <w:tc>
          <w:tcPr>
            <w:tcW w:w="900" w:type="dxa"/>
            <w:vAlign w:val="bottom"/>
            <w:gridSpan w:val="2"/>
          </w:tcPr>
          <w:p>
            <w:pPr>
              <w:jc w:val="center"/>
              <w:ind w:right="101"/>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Stock</w:t>
            </w:r>
          </w:p>
        </w:tc>
        <w:tc>
          <w:tcPr>
            <w:tcW w:w="120" w:type="dxa"/>
            <w:vAlign w:val="bottom"/>
          </w:tcPr>
          <w:p>
            <w:pPr>
              <w:spacing w:after="0"/>
              <w:rPr>
                <w:sz w:val="20"/>
                <w:szCs w:val="20"/>
                <w:color w:val="auto"/>
              </w:rPr>
            </w:pPr>
          </w:p>
        </w:tc>
        <w:tc>
          <w:tcPr>
            <w:tcW w:w="600" w:type="dxa"/>
            <w:vAlign w:val="bottom"/>
          </w:tcPr>
          <w:p>
            <w:pPr>
              <w:jc w:val="center"/>
              <w:ind w:right="32"/>
              <w:spacing w:after="0"/>
              <w:rPr>
                <w:sz w:val="20"/>
                <w:szCs w:val="20"/>
                <w:color w:val="auto"/>
              </w:rPr>
            </w:pPr>
            <w:r>
              <w:rPr>
                <w:rFonts w:ascii="Arial" w:cs="Arial" w:eastAsia="Arial" w:hAnsi="Arial"/>
                <w:sz w:val="18"/>
                <w:szCs w:val="18"/>
                <w:color w:val="auto"/>
                <w:w w:val="86"/>
              </w:rPr>
              <w:t>Value</w:t>
            </w:r>
          </w:p>
        </w:tc>
        <w:tc>
          <w:tcPr>
            <w:tcW w:w="2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140" w:type="dxa"/>
            <w:vAlign w:val="bottom"/>
          </w:tcPr>
          <w:p>
            <w:pPr>
              <w:spacing w:after="0"/>
              <w:rPr>
                <w:sz w:val="20"/>
                <w:szCs w:val="20"/>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color w:val="auto"/>
                <w:w w:val="99"/>
              </w:rPr>
              <w:t>Deficit)</w:t>
            </w:r>
          </w:p>
        </w:tc>
        <w:tc>
          <w:tcPr>
            <w:tcW w:w="900" w:type="dxa"/>
            <w:vAlign w:val="bottom"/>
            <w:gridSpan w:val="3"/>
          </w:tcPr>
          <w:p>
            <w:pPr>
              <w:spacing w:after="0"/>
              <w:rPr>
                <w:sz w:val="20"/>
                <w:szCs w:val="20"/>
                <w:color w:val="auto"/>
              </w:rPr>
            </w:pPr>
            <w:r>
              <w:rPr>
                <w:rFonts w:ascii="Arial" w:cs="Arial" w:eastAsia="Arial" w:hAnsi="Arial"/>
                <w:sz w:val="18"/>
                <w:szCs w:val="18"/>
                <w:color w:val="auto"/>
              </w:rPr>
              <w:t>Common</w:t>
            </w:r>
          </w:p>
        </w:tc>
        <w:tc>
          <w:tcPr>
            <w:tcW w:w="2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Total</w:t>
            </w:r>
          </w:p>
        </w:tc>
      </w:tr>
      <w:tr>
        <w:trPr>
          <w:trHeight w:val="207"/>
        </w:trPr>
        <w:tc>
          <w:tcPr>
            <w:tcW w:w="36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gridSpan w:val="4"/>
          </w:tcPr>
          <w:p>
            <w:pPr>
              <w:jc w:val="right"/>
              <w:ind w:right="440"/>
              <w:spacing w:after="0"/>
              <w:rPr>
                <w:sz w:val="20"/>
                <w:szCs w:val="20"/>
                <w:color w:val="auto"/>
              </w:rPr>
            </w:pPr>
            <w:r>
              <w:rPr>
                <w:rFonts w:ascii="Arial" w:cs="Arial" w:eastAsia="Arial" w:hAnsi="Arial"/>
                <w:sz w:val="16"/>
                <w:szCs w:val="16"/>
                <w:color w:val="auto"/>
              </w:rPr>
              <w:t>(In Thousands)</w:t>
            </w: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18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$ 198,215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(41,487)</w:t>
            </w: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w w:val="95"/>
              </w:rPr>
              <w:t>(13,213)</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$ 149,643</w:t>
            </w:r>
          </w:p>
        </w:tc>
        <w:tc>
          <w:tcPr>
            <w:tcW w:w="100" w:type="dxa"/>
            <w:vAlign w:val="bottom"/>
            <w:shd w:val="clear" w:color="auto" w:fill="CFF0FC"/>
          </w:tcPr>
          <w:p>
            <w:pPr>
              <w:spacing w:after="0"/>
              <w:rPr>
                <w:sz w:val="20"/>
                <w:szCs w:val="20"/>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(13,279)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(13,279)</w:t>
            </w:r>
          </w:p>
        </w:tc>
      </w:tr>
      <w:tr>
        <w:trPr>
          <w:trHeight w:val="215"/>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(9,511)</w:t>
            </w: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(9,511)</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(511)</w:t>
            </w: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Issuance of restricted stock, net</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(5,310)</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(18)</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36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31,283</w:t>
            </w:r>
          </w:p>
        </w:tc>
        <w:tc>
          <w:tcPr>
            <w:tcW w:w="1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$ 193,618</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(64,788)</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(7,921</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$ 127,037</w:t>
            </w:r>
          </w:p>
        </w:tc>
        <w:tc>
          <w:tcPr>
            <w:tcW w:w="10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$ 196,833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57,632</w:t>
            </w: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w w:val="90"/>
              </w:rPr>
              <w:t>$ (13,266)</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2"/>
              </w:rPr>
              <w:t>$ 247,327</w:t>
            </w:r>
          </w:p>
        </w:tc>
        <w:tc>
          <w:tcPr>
            <w:tcW w:w="100" w:type="dxa"/>
            <w:vAlign w:val="bottom"/>
            <w:shd w:val="clear" w:color="auto" w:fill="CFF0FC"/>
          </w:tcPr>
          <w:p>
            <w:pPr>
              <w:spacing w:after="0"/>
              <w:rPr>
                <w:sz w:val="19"/>
                <w:szCs w:val="19"/>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(19,452)</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(19,452)</w:t>
            </w:r>
          </w:p>
        </w:tc>
      </w:tr>
      <w:tr>
        <w:trPr>
          <w:trHeight w:val="215"/>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w:t>
            </w: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preferred stock</w:t>
            </w: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(8,307)</w:t>
            </w:r>
          </w:p>
        </w:tc>
        <w:tc>
          <w:tcPr>
            <w:tcW w:w="7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(8,307)</w:t>
            </w: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(504)</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(504)</w:t>
            </w:r>
          </w:p>
        </w:tc>
      </w:tr>
      <w:tr>
        <w:trPr>
          <w:trHeight w:val="23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FF0FC"/>
          </w:tcPr>
          <w:p>
            <w:pPr>
              <w:spacing w:after="0"/>
              <w:rPr>
                <w:sz w:val="19"/>
                <w:szCs w:val="19"/>
                <w:color w:val="auto"/>
              </w:rPr>
            </w:pPr>
          </w:p>
        </w:tc>
      </w:tr>
      <w:tr>
        <w:trPr>
          <w:trHeight w:val="229"/>
        </w:trPr>
        <w:tc>
          <w:tcPr>
            <w:tcW w:w="360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(356)</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r>
      <w:tr>
        <w:trPr>
          <w:trHeight w:val="223"/>
        </w:trPr>
        <w:tc>
          <w:tcPr>
            <w:tcW w:w="3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2020</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$ 196,972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 (12,974</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$ 219,495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2820" w:type="dxa"/>
            <w:vAlign w:val="bottom"/>
            <w:gridSpan w:val="4"/>
          </w:tcPr>
          <w:p>
            <w:pPr>
              <w:jc w:val="center"/>
              <w:ind w:left="490"/>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40" w:type="dxa"/>
            <w:vAlign w:val="bottom"/>
            <w:gridSpan w:val="3"/>
          </w:tcPr>
          <w:p>
            <w:pPr>
              <w:jc w:val="center"/>
              <w:ind w:right="330"/>
              <w:spacing w:after="0"/>
              <w:rPr>
                <w:sz w:val="20"/>
                <w:szCs w:val="20"/>
                <w:color w:val="auto"/>
              </w:rPr>
            </w:pPr>
            <w:r>
              <w:rPr>
                <w:rFonts w:ascii="Arial" w:cs="Arial" w:eastAsia="Arial" w:hAnsi="Arial"/>
                <w:sz w:val="18"/>
                <w:szCs w:val="18"/>
                <w:color w:val="auto"/>
                <w:w w:val="92"/>
              </w:rPr>
              <w:t>March 31,</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7"/>
        </w:trPr>
        <w:tc>
          <w:tcPr>
            <w:tcW w:w="7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40" w:type="dxa"/>
            <w:vAlign w:val="bottom"/>
            <w:gridSpan w:val="3"/>
          </w:tcPr>
          <w:p>
            <w:pPr>
              <w:jc w:val="center"/>
              <w:ind w:right="310"/>
              <w:spacing w:after="0"/>
              <w:rPr>
                <w:sz w:val="20"/>
                <w:szCs w:val="20"/>
                <w:color w:val="auto"/>
              </w:rPr>
            </w:pPr>
            <w:r>
              <w:rPr>
                <w:rFonts w:ascii="Arial" w:cs="Arial" w:eastAsia="Arial" w:hAnsi="Arial"/>
                <w:sz w:val="16"/>
                <w:szCs w:val="16"/>
                <w:color w:val="auto"/>
                <w:w w:val="92"/>
              </w:rPr>
              <w:t>(In Thousands)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(13,279)</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(19,452)</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(used) by operating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of property, plant and equipment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16,762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17,592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intangible and other assets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(1,058)</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Cash provided (used) by changes in assets and liabilities: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2"/>
              </w:rPr>
              <w:t>(17,321)</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(7,512)</w:t>
            </w: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(2,996)</w:t>
            </w: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insurance</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8,598</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(3,171)</w:t>
            </w: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interest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10,412</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11,805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Other assets and other liabilities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(2,873)</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(used) by operating activities</w:t>
            </w: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12,711</w:t>
            </w:r>
          </w:p>
        </w:tc>
        <w:tc>
          <w:tcPr>
            <w:tcW w:w="2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(2,178)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Expenditures for property, plant and equipment</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(6,133)</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(10,737)</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investing activities</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cash used by investing activities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(5,935)</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(10,558)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revolving debt facility</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30,000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Proceeds from other long-term debt</w:t>
            </w:r>
          </w:p>
        </w:tc>
        <w:tc>
          <w:tcPr>
            <w:tcW w:w="9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other long-term debt</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(3,353)</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(2,042)</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Payments on short-term financing</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(5,419)</w:t>
            </w:r>
          </w:p>
        </w:tc>
        <w:tc>
          <w:tcPr>
            <w:tcW w:w="9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(3,036)</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financing activities</w:t>
            </w:r>
          </w:p>
        </w:tc>
        <w:tc>
          <w:tcPr>
            <w:tcW w:w="9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w:t>
            </w:r>
          </w:p>
        </w:tc>
        <w:tc>
          <w:tcPr>
            <w:tcW w:w="98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(64)</w:t>
            </w: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(used) by financing activities</w:t>
            </w: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(8,808)</w:t>
            </w:r>
          </w:p>
        </w:tc>
        <w:tc>
          <w:tcPr>
            <w:tcW w:w="280" w:type="dxa"/>
            <w:vAlign w:val="bottom"/>
            <w:tcBorders>
              <w:bottom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27,428</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(2,032)</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14,692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16,264</w:t>
            </w:r>
          </w:p>
        </w:tc>
        <w:tc>
          <w:tcPr>
            <w:tcW w:w="2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22,791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14,232</w:t>
            </w:r>
          </w:p>
        </w:tc>
        <w:tc>
          <w:tcPr>
            <w:tcW w:w="2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37,483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2020 (“2020 Form 10-K”), filed with the Securities and Exchange Commission (“SEC”) on February 25, 2021.</w:t>
      </w:r>
    </w:p>
    <w:p>
      <w:pPr>
        <w:spacing w:after="0" w:line="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Basis of Consolidation – </w:t>
      </w:r>
      <w:r>
        <w:rPr>
          <w:rFonts w:ascii="Arial" w:cs="Arial" w:eastAsia="Arial" w:hAnsi="Arial"/>
          <w:sz w:val="18"/>
          <w:szCs w:val="18"/>
          <w:color w:val="auto"/>
        </w:rPr>
        <w:t>LSB Industries, Inc. (“LSB”) and its subsidiaries (the “Company,” “we,” “us,” or “our”) are consolidated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condensed consolidated financial statements. LSB is a holding company with no significant operations or assets other than cash, cash equivalents, and investments in its subsidiaries. All material intercompany accounts and transactions have been eliminated.</w:t>
      </w:r>
    </w:p>
    <w:p>
      <w:pPr>
        <w:spacing w:after="0" w:line="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Nature of Business – </w:t>
      </w:r>
      <w:r>
        <w:rPr>
          <w:rFonts w:ascii="Arial" w:cs="Arial" w:eastAsia="Arial" w:hAnsi="Arial"/>
          <w:sz w:val="17"/>
          <w:szCs w:val="17"/>
          <w:color w:val="auto"/>
        </w:rPr>
        <w:t>We are engaged in the manufacture and sale of chemical products. The chemical products we primarily manufacture, market and sell</w:t>
      </w:r>
      <w:r>
        <w:rPr>
          <w:rFonts w:ascii="Arial" w:cs="Arial" w:eastAsia="Arial" w:hAnsi="Arial"/>
          <w:sz w:val="17"/>
          <w:szCs w:val="17"/>
          <w:b w:val="1"/>
          <w:bCs w:val="1"/>
          <w:color w:val="auto"/>
        </w:rPr>
        <w:t xml:space="preserve"> </w:t>
      </w:r>
      <w:r>
        <w:rPr>
          <w:rFonts w:ascii="Arial" w:cs="Arial" w:eastAsia="Arial" w:hAnsi="Arial"/>
          <w:sz w:val="17"/>
          <w:szCs w:val="17"/>
          <w:color w:val="auto"/>
        </w:rPr>
        <w:t>are ammonia, fertilizer grade AN (“HDAN”) and UAN for agricultural applications, high purity and commercial grade ammonia, high purity AN, sulfuric acids, concentrated, blended and regular nitric acid, mixed nitrating acids, carbon dioxide, and diesel exhaust fluid for industrial applications, and industrial grade AN (“LDAN”) and solutions for the mining industry. We manufacture and distribute our products in four facilities; three of which we own and are located in El Dorado, Arkansas (the “El Dorado Facility”); Cherokee, Alabama (the “Cherokee Facility”); and Pryor, Oklahoma (the “Pryor Facility”); and one of which we operate on behalf of a global chemical company in Baytown, Texas.</w:t>
      </w:r>
    </w:p>
    <w:p>
      <w:pPr>
        <w:spacing w:after="0" w:line="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to customers include farmers, ranchers, fertilizer dealers and distributors primarily in the ranch land and grain production markets in the United States (“U.S.”); industrial users of acids throughout the U.S. and parts of Canada; and explosive manufacturers in the U.S. and parts of Mexico and Canada.</w:t>
      </w:r>
    </w:p>
    <w:p>
      <w:pPr>
        <w:spacing w:after="0" w:line="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our opinion, the unaudited condensed consolidated financial statements of the Company as of March 31, 2021 and for the three months ended March 31, 2021 and 2020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5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2020 Form 10-K.</w:t>
      </w:r>
    </w:p>
    <w:p>
      <w:pPr>
        <w:spacing w:after="0" w:line="3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Use of Estimates – </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Income Taxes – </w:t>
      </w:r>
      <w:r>
        <w:rPr>
          <w:rFonts w:ascii="Arial" w:cs="Arial" w:eastAsia="Arial" w:hAnsi="Arial"/>
          <w:sz w:val="17"/>
          <w:szCs w:val="17"/>
          <w:color w:val="auto"/>
        </w:rPr>
        <w:t>Income taxes are accounted for under the asset and liability method. Deferred tax assets and liabilities are measured using enacted tax</w:t>
      </w:r>
      <w:r>
        <w:rPr>
          <w:rFonts w:ascii="Arial" w:cs="Arial" w:eastAsia="Arial" w:hAnsi="Arial"/>
          <w:sz w:val="17"/>
          <w:szCs w:val="17"/>
          <w:b w:val="1"/>
          <w:bCs w:val="1"/>
          <w:color w:val="auto"/>
        </w:rPr>
        <w:t xml:space="preserve"> </w:t>
      </w:r>
      <w:r>
        <w:rPr>
          <w:rFonts w:ascii="Arial" w:cs="Arial" w:eastAsia="Arial" w:hAnsi="Arial"/>
          <w:sz w:val="17"/>
          <w:szCs w:val="17"/>
          <w:color w:val="auto"/>
        </w:rPr>
        <w:t>rates expected to apply to taxable income in the years in which those differences are expected to be recovered or settled. The effect on deferred tax assets and liabilities of a change in tax rates is recognized in the statement of operations in the period that includes the enactment date.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do not recognize a tax benefit unless we conclude that it is more likely than not that the benefit will be sustained on audit by the relevant taxing authorities based solely on the technical merits of the associated tax position. If the recognition threshold is met, we recognize a tax benefit measured at the largest amount of the tax benefit that, in our judgment, is greater than 50% likely to be realized.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We reduce income tax expense for investment tax credits in the period the credit arises and is earned.</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 (continued)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 Certain conditions may exist which may result in a loss, but which will only be resolved when future events occur. We and our legal</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assess such contingent liabilities, and such assessment inherently involves an exercise of judgment. If the assessment of a contingency indicates that it is probable that a loss has been incurred, we would accrue for such contingent losses when such losses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Redeemable Preferred Stocks </w:t>
      </w:r>
      <w:r>
        <w:rPr>
          <w:rFonts w:ascii="Arial" w:cs="Arial" w:eastAsia="Arial" w:hAnsi="Arial"/>
          <w:sz w:val="16"/>
          <w:szCs w:val="16"/>
          <w:color w:val="auto"/>
        </w:rPr>
        <w:t>– Our redeemable preferred stocks that are redeemable outside of our control are classified as temporary/mezzanine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The redeemable preferred stocks were recorded at fair value upon issuance, net of issuance costs or discounts. In addition, certain embedded features included in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The accretion was recorded to retained earnings. However, this accretion will change if the expected redemption date changes.</w:t>
      </w:r>
    </w:p>
    <w:p>
      <w:pPr>
        <w:spacing w:after="0" w:line="52" w:lineRule="exact"/>
        <w:rPr>
          <w:sz w:val="20"/>
          <w:szCs w:val="20"/>
          <w:color w:val="auto"/>
        </w:rPr>
      </w:pPr>
    </w:p>
    <w:p>
      <w:pPr>
        <w:jc w:val="both"/>
        <w:ind w:right="20"/>
        <w:spacing w:after="0" w:line="312" w:lineRule="auto"/>
        <w:rPr>
          <w:sz w:val="20"/>
          <w:szCs w:val="20"/>
          <w:color w:val="auto"/>
        </w:rPr>
      </w:pPr>
      <w:r>
        <w:rPr>
          <w:rFonts w:ascii="Arial" w:cs="Arial" w:eastAsia="Arial" w:hAnsi="Arial"/>
          <w:sz w:val="17"/>
          <w:szCs w:val="17"/>
          <w:b w:val="1"/>
          <w:bCs w:val="1"/>
          <w:color w:val="auto"/>
        </w:rPr>
        <w:t xml:space="preserve">Derivatives, Hedges and Financial Instruments </w:t>
      </w:r>
      <w:r>
        <w:rPr>
          <w:rFonts w:ascii="Arial" w:cs="Arial" w:eastAsia="Arial" w:hAnsi="Arial"/>
          <w:sz w:val="17"/>
          <w:szCs w:val="17"/>
          <w:color w:val="auto"/>
        </w:rPr>
        <w:t>– Derivatives are recognized in the balance sheet and are measured at fair value. Changes in fair value</w:t>
      </w:r>
      <w:r>
        <w:rPr>
          <w:rFonts w:ascii="Arial" w:cs="Arial" w:eastAsia="Arial" w:hAnsi="Arial"/>
          <w:sz w:val="17"/>
          <w:szCs w:val="17"/>
          <w:b w:val="1"/>
          <w:bCs w:val="1"/>
          <w:color w:val="auto"/>
        </w:rPr>
        <w:t xml:space="preserve"> </w:t>
      </w:r>
      <w:r>
        <w:rPr>
          <w:rFonts w:ascii="Arial" w:cs="Arial" w:eastAsia="Arial" w:hAnsi="Arial"/>
          <w:sz w:val="17"/>
          <w:szCs w:val="17"/>
          <w:color w:val="auto"/>
        </w:rPr>
        <w:t>of derivatives are recorded in results of operations unless the normal purchase or sale exceptions apply, or hedge accounting is elected.</w:t>
      </w:r>
    </w:p>
    <w:p>
      <w:pPr>
        <w:spacing w:after="0" w:line="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amounts recognized for our derivative contracts executed with the same counterparty under a master netting arrangement may be offset. We have the choice to offset or not, but that choice must be applied consistently. A master netting arrangement exists if the reporting entity has multiple contracts with a single counterparty that are subject to a contractual agreement that provides for the net settlement of all contracts through a single payment in a single currency in the event of default on or termination of any one contract. Offsetting the fair values recognized for the derivative contracts outstanding with a single counterparty results in the net fair value of the transactions being reported as an asset or a liability in the balance sheet. When applicable, we present the fair values of our derivative contracts under master netting agreements using a gross fair value presentation.</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Valuations of contracts classified as Level 1 are based on quoted prices in active markets for identical contracts.</w:t>
      </w:r>
    </w:p>
    <w:p>
      <w:pPr>
        <w:spacing w:after="0" w:line="117"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of contracts classified as Level 2 are based on quoted prices for similar contracts and valuation inputs other than quoted prices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observable for these contracts.</w:t>
      </w:r>
    </w:p>
    <w:p>
      <w:pPr>
        <w:spacing w:after="0" w:line="54" w:lineRule="exact"/>
        <w:rPr>
          <w:sz w:val="20"/>
          <w:szCs w:val="20"/>
          <w:color w:val="auto"/>
        </w:rPr>
      </w:pPr>
    </w:p>
    <w:p>
      <w:pPr>
        <w:ind w:left="380"/>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of assets and liabilities classified as Level 3 are based on prices or valuation techniques that require inputs that are both</w:t>
      </w:r>
      <w:r>
        <w:rPr>
          <w:rFonts w:ascii="Arial" w:cs="Arial" w:eastAsia="Arial" w:hAnsi="Arial"/>
          <w:sz w:val="18"/>
          <w:szCs w:val="18"/>
          <w:b w:val="1"/>
          <w:bCs w:val="1"/>
          <w:color w:val="auto"/>
        </w:rPr>
        <w:t xml:space="preserve"> </w:t>
      </w:r>
      <w:r>
        <w:rPr>
          <w:rFonts w:ascii="Arial" w:cs="Arial" w:eastAsia="Arial" w:hAnsi="Arial"/>
          <w:sz w:val="18"/>
          <w:szCs w:val="18"/>
          <w:color w:val="auto"/>
        </w:rPr>
        <w:t>unobservable and significant to the overall fair value measurement.</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and December 31, 2020, we did not have any financial instruments with fair values materially different from their carrying amounts (which excludes issuance costs, if applicable). The fair value of financial instruments is not indicative of the overall fair value of our assets and liabilities since financial instruments do not include all assets, including intangibles, and all liabilities.</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Equity Awards </w:t>
      </w:r>
      <w:r>
        <w:rPr>
          <w:rFonts w:ascii="Arial" w:cs="Arial" w:eastAsia="Arial" w:hAnsi="Arial"/>
          <w:sz w:val="18"/>
          <w:szCs w:val="18"/>
          <w:color w:val="auto"/>
        </w:rPr>
        <w:t>– Equity award transactions with employees are measured based on the estimated fair value of the equity awards issued. For equity awards</w:t>
      </w:r>
      <w:r>
        <w:rPr>
          <w:rFonts w:ascii="Arial" w:cs="Arial" w:eastAsia="Arial" w:hAnsi="Arial"/>
          <w:sz w:val="18"/>
          <w:szCs w:val="18"/>
          <w:b w:val="1"/>
          <w:bCs w:val="1"/>
          <w:color w:val="auto"/>
        </w:rPr>
        <w:t xml:space="preserve"> </w:t>
      </w:r>
      <w:r>
        <w:rPr>
          <w:rFonts w:ascii="Arial" w:cs="Arial" w:eastAsia="Arial" w:hAnsi="Arial"/>
          <w:sz w:val="18"/>
          <w:szCs w:val="18"/>
          <w:color w:val="auto"/>
        </w:rPr>
        <w:t>with service conditions that have a graded vesting period, we recognize compensation cost on a straight-line basis over the requisite service period for the entire award. Forfeitures are accounted for as they occur. We may issue new shares of common stock or may use treasury shares associated with the equity awards.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2021, the compensation committee of our Board of Directors approved the grant of 614,999 shares of time-based restricted stock and 219,084 shares of performance-based restricted stock to certain executives under our 2016 Long Term Incentive Plan. The time-based restricted stock shares will vest at the end of each one-year period at the rate of one-third per year for three years, vesting 100% at the end of three years. The performance-based restricted stock will vest at the end of three years, subject to achievement of certain performance metrics. The unvested restricted shares carry dividend and voting rights contingent upon the vesting and lapsing of restriction. Sales of these shares are restricted prior to the date of vesting. Pursuant to the terms of the underlying restricted stock agreements, unvested restricted shares will immediately vest upon the occurrence of a change in control (as defined by agreement), termination without cause or death.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6700" w:firstLine="8"/>
        <w:spacing w:after="0" w:line="378" w:lineRule="auto"/>
        <w:tabs>
          <w:tab w:leader="none" w:pos="22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w:t>
      </w:r>
    </w:p>
    <w:p>
      <w:pPr>
        <w:spacing w:after="0"/>
        <w:rPr>
          <w:sz w:val="20"/>
          <w:szCs w:val="20"/>
          <w:color w:val="auto"/>
        </w:rPr>
      </w:pPr>
      <w:r>
        <w:rPr>
          <w:rFonts w:ascii="Arial" w:cs="Arial" w:eastAsia="Arial" w:hAnsi="Arial"/>
          <w:sz w:val="18"/>
          <w:szCs w:val="18"/>
          <w:b w:val="1"/>
          <w:bCs w:val="1"/>
          <w:i w:val="1"/>
          <w:iCs w:val="1"/>
          <w:color w:val="auto"/>
        </w:rPr>
        <w:t>Revenue Recognition and Performance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3"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10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A contract’s transaction price is allocated to each distinct performance obligation and recognized as revenue when, or as, the performance obligation is satisfied. Generally, satisfaction occurs when control of the promised goods is transferred to the customer or as services are rendered or completed in exchange for consideration in an amount for which we expect to be entitled. Generally, control is transferred when the preparation for shipment of the product to a customer has been completed. Most of our contracts contain a single performance obligation with the promise to transfer a specific product.</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of our revenue is recognized from performance obligations satisfied at a point in time, however, we have a performance obligation to perform certain services that are satisfied over a period of time. Revenue is recognized from this type of performance obligation as services are rendered and are based on the amount for which we have a right to invoice, which reflects the amount of expected consideration that corresponds directly with the value of the services performed.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Price Constraints and Variable Consideration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most of our contracts with customers, the transaction price from the inception of a contract is constrained to a short period of time (generally one month) as these contracts contain terms with variable consideration related to both price and quantity. These contract prices are often based on commodity indexes (such as NYMEX natural gas index) published monthly and the contract quantities are typically based on estimated ranges. The quantities become fixed and determinable over a period of time as each sale order is received from the customer.</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nature of our contracts also gives rise to other types of variable consideration, including volume discounts and rebates, make-whole provisions, other pricing concessions, and short-fall charges. We estimate these amounts based on the expected amount to be provided to customers, which result in a transaction price adjustment reducing revenue (net sales) with the offset increasing contract or refund liabilities. These estimates are based on historical experience, anticipated performance and our best judgment at the time. We reassess these estimates on a quarterly basis.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aforementioned constraints over transaction prices in conjunction with the variable consideration included in our material contracts prevent a practical assignment of a specific dollar amount to performance obligations at the beginning and end of the period. Therefore, we have applied the variable consideration allocation exception.</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revenues to be earned from the satisfaction of performance obligations will be recognized when control transfers as goods are loaded and weighed or services are performed over the remaining duration of our contracts.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ASU 2019-12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December 2019, the FASB issued ASU 2019-12,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b w:val="1"/>
          <w:bCs w:val="1"/>
          <w:color w:val="auto"/>
        </w:rPr>
        <w:t xml:space="preserve"> </w:t>
      </w:r>
      <w:r>
        <w:rPr>
          <w:rFonts w:ascii="Arial" w:cs="Arial" w:eastAsia="Arial" w:hAnsi="Arial"/>
          <w:sz w:val="18"/>
          <w:szCs w:val="18"/>
          <w:color w:val="auto"/>
        </w:rPr>
        <w:t>which</w:t>
      </w:r>
      <w:r>
        <w:rPr>
          <w:rFonts w:ascii="Arial" w:cs="Arial" w:eastAsia="Arial" w:hAnsi="Arial"/>
          <w:sz w:val="18"/>
          <w:szCs w:val="18"/>
          <w:b w:val="1"/>
          <w:bCs w:val="1"/>
          <w:color w:val="auto"/>
        </w:rPr>
        <w:t xml:space="preserve"> </w:t>
      </w:r>
      <w:r>
        <w:rPr>
          <w:rFonts w:ascii="Arial" w:cs="Arial" w:eastAsia="Arial" w:hAnsi="Arial"/>
          <w:sz w:val="18"/>
          <w:szCs w:val="18"/>
          <w:color w:val="auto"/>
        </w:rPr>
        <w:t>affects general principles within Topic 740, Income Taxes. The amendments of ASU 2019-12 are meant to simplify and reduce the cost of accounting for income taxes. The ASU removes certain exceptions to the general framework and also seeks to simplify and/or clarify accounting for income taxes by adding certain requirements that would simplify GAAP for financial statement preparers. On January 1, 2021, we adopted ASU 2019-12, which did not have a material impact on our condensed consolidated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ind w:right="6700" w:firstLine="8"/>
        <w:spacing w:after="0" w:line="422" w:lineRule="auto"/>
        <w:tabs>
          <w:tab w:leader="none" w:pos="225"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(continued) Recently Issued Accounting Pronouncements</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2020-06 </w:t>
      </w:r>
      <w:r>
        <w:rPr>
          <w:rFonts w:ascii="Arial" w:cs="Arial" w:eastAsia="Arial" w:hAnsi="Arial"/>
          <w:sz w:val="18"/>
          <w:szCs w:val="18"/>
          <w:color w:val="auto"/>
        </w:rPr>
        <w:t>- In August 2020, the FASB issued ASU 2020-06,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52525"/>
        </w:rPr>
        <w:t>Debt-Debt with Conversion and other Options (Subtopic 470-20) and Derivatives and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252525"/>
        </w:rPr>
        <w:t>Hedging – Contracts in Entity’s own Equity (Subtopic 815-40)</w:t>
      </w:r>
      <w:r>
        <w:rPr>
          <w:rFonts w:ascii="Arial" w:cs="Arial" w:eastAsia="Arial" w:hAnsi="Arial"/>
          <w:sz w:val="18"/>
          <w:szCs w:val="18"/>
          <w:color w:val="252525"/>
        </w:rPr>
        <w:t>. This ASU</w:t>
      </w:r>
      <w:r>
        <w:rPr>
          <w:rFonts w:ascii="Arial" w:cs="Arial" w:eastAsia="Arial" w:hAnsi="Arial"/>
          <w:sz w:val="18"/>
          <w:szCs w:val="18"/>
          <w:i w:val="1"/>
          <w:iCs w:val="1"/>
          <w:color w:val="252525"/>
        </w:rPr>
        <w:t xml:space="preserve"> </w:t>
      </w:r>
      <w:r>
        <w:rPr>
          <w:rFonts w:ascii="Arial" w:cs="Arial" w:eastAsia="Arial" w:hAnsi="Arial"/>
          <w:sz w:val="18"/>
          <w:szCs w:val="18"/>
          <w:color w:val="000000"/>
        </w:rPr>
        <w:t>addresses the complexity associated with applying GAAP to certain financial</w:t>
      </w:r>
      <w:r>
        <w:rPr>
          <w:rFonts w:ascii="Arial" w:cs="Arial" w:eastAsia="Arial" w:hAnsi="Arial"/>
          <w:sz w:val="18"/>
          <w:szCs w:val="18"/>
          <w:i w:val="1"/>
          <w:iCs w:val="1"/>
          <w:color w:val="252525"/>
        </w:rPr>
        <w:t xml:space="preserve"> </w:t>
      </w:r>
      <w:r>
        <w:rPr>
          <w:rFonts w:ascii="Arial" w:cs="Arial" w:eastAsia="Arial" w:hAnsi="Arial"/>
          <w:sz w:val="18"/>
          <w:szCs w:val="18"/>
          <w:color w:val="000000"/>
        </w:rPr>
        <w:t>instruments with characteristics of liabilities and equity. The ASU includes amendments to the guidance on convertible instruments and the derivative scope exception for contracts in an entity’s own equity and simplifies the accounting for convertible instruments which include beneficial conversion features or cash conversion features by removing certain separation models. Additionally, the ASU requires entities to use the “if-converted” method when calculating diluted earnings per share for convertible instruments. This ASU will be effective for us on January 1, 2024; however, early adoption is permitted beginning January 1, 2021. We are evaluating the timing and the effect of our pending adoption of this ASU on our consolidated financial statements and related disclosures at this time.</w:t>
      </w:r>
    </w:p>
    <w:p>
      <w:pPr>
        <w:spacing w:after="0" w:line="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ASU 2020-04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March 2020, the FASB issued ASU 2020-04</w:t>
      </w:r>
      <w:r>
        <w:rPr>
          <w:rFonts w:ascii="Arial" w:cs="Arial" w:eastAsia="Arial" w:hAnsi="Arial"/>
          <w:sz w:val="18"/>
          <w:szCs w:val="18"/>
          <w:i w:val="1"/>
          <w:iCs w:val="1"/>
          <w:color w:val="auto"/>
        </w:rPr>
        <w:t>, Reference Rate Reform (Topic 848): Facilitation of the Effects of Reference Rate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Reform on Financial Reporting, </w:t>
      </w:r>
      <w:r>
        <w:rPr>
          <w:rFonts w:ascii="Arial" w:cs="Arial" w:eastAsia="Arial" w:hAnsi="Arial"/>
          <w:sz w:val="18"/>
          <w:szCs w:val="18"/>
          <w:color w:val="auto"/>
        </w:rPr>
        <w:t>which provides optional guidance for a limited time to ease the potential accounting burden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transitioning away from reference rates such as LIBOR that are expected to be discontinued. This ASU provides exceptions and optional expedients for applying GAAP to contract modifications, hedging relationships, and other transactions that reference LIBOR or other reference rates to be discontinued as a result of reference rate reform. They do not apply to modifications made or hedges entered into or evaluated after December 31, 2022, unless the hedging relationships existed as of that date and optional expedients for them were elected and retained through the end of the hedging relationship. This ASU became effective upon issuance. We continue to evaluate the effect of this ASU and plan to utilize this relief for our debt agreements that include LIBOR rates.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2"/>
          </w:tcPr>
          <w:p>
            <w:pPr>
              <w:spacing w:after="0"/>
              <w:rPr>
                <w:sz w:val="20"/>
                <w:szCs w:val="20"/>
                <w:color w:val="auto"/>
              </w:rPr>
            </w:pPr>
            <w:r>
              <w:rPr>
                <w:rFonts w:ascii="Arial" w:cs="Arial" w:eastAsia="Arial" w:hAnsi="Arial"/>
                <w:sz w:val="18"/>
                <w:szCs w:val="18"/>
                <w:b w:val="1"/>
                <w:bCs w:val="1"/>
                <w:color w:val="auto"/>
              </w:rPr>
              <w:t>2. Loss Per Common Share</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5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r>
      <w:tr>
        <w:trPr>
          <w:trHeight w:val="229"/>
        </w:trPr>
        <w:tc>
          <w:tcPr>
            <w:tcW w:w="58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center"/>
              <w:ind w:left="791"/>
              <w:spacing w:after="0"/>
              <w:rPr>
                <w:sz w:val="20"/>
                <w:szCs w:val="20"/>
                <w:color w:val="auto"/>
              </w:rPr>
            </w:pPr>
            <w:r>
              <w:rPr>
                <w:rFonts w:ascii="Arial" w:cs="Arial" w:eastAsia="Arial" w:hAnsi="Arial"/>
                <w:sz w:val="18"/>
                <w:szCs w:val="18"/>
                <w:color w:val="auto"/>
                <w:w w:val="92"/>
              </w:rPr>
              <w:t>March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r>
      <w:tr>
        <w:trPr>
          <w:trHeight w:val="200"/>
        </w:trPr>
        <w:tc>
          <w:tcPr>
            <w:tcW w:w="58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5"/>
          </w:tcPr>
          <w:p>
            <w:pPr>
              <w:jc w:val="center"/>
              <w:ind w:right="280"/>
              <w:spacing w:after="0"/>
              <w:rPr>
                <w:sz w:val="20"/>
                <w:szCs w:val="20"/>
                <w:color w:val="auto"/>
              </w:rPr>
            </w:pPr>
            <w:r>
              <w:rPr>
                <w:rFonts w:ascii="Arial" w:cs="Arial" w:eastAsia="Arial" w:hAnsi="Arial"/>
                <w:sz w:val="16"/>
                <w:szCs w:val="16"/>
                <w:color w:val="auto"/>
                <w:w w:val="90"/>
              </w:rPr>
              <w:t>(Dollars In Thousands, Except Per Share</w:t>
            </w:r>
          </w:p>
        </w:tc>
      </w:tr>
      <w:tr>
        <w:trPr>
          <w:trHeight w:val="209"/>
        </w:trPr>
        <w:tc>
          <w:tcPr>
            <w:tcW w:w="5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jc w:val="center"/>
              <w:ind w:left="791"/>
              <w:spacing w:after="0"/>
              <w:rPr>
                <w:sz w:val="20"/>
                <w:szCs w:val="20"/>
                <w:color w:val="auto"/>
              </w:rPr>
            </w:pPr>
            <w:r>
              <w:rPr>
                <w:rFonts w:ascii="Arial" w:cs="Arial" w:eastAsia="Arial" w:hAnsi="Arial"/>
                <w:sz w:val="16"/>
                <w:szCs w:val="16"/>
                <w:color w:val="auto"/>
                <w:w w:val="96"/>
              </w:rPr>
              <w:t>Amounts)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3"/>
        </w:trPr>
        <w:tc>
          <w:tcPr>
            <w:tcW w:w="580" w:type="dxa"/>
            <w:vAlign w:val="bottom"/>
          </w:tcPr>
          <w:p>
            <w:pPr>
              <w:spacing w:after="0"/>
              <w:rPr>
                <w:sz w:val="20"/>
                <w:szCs w:val="20"/>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(13,279)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(19,452)</w:t>
            </w:r>
          </w:p>
        </w:tc>
      </w:tr>
      <w:tr>
        <w:trPr>
          <w:trHeight w:val="230"/>
        </w:trPr>
        <w:tc>
          <w:tcPr>
            <w:tcW w:w="580" w:type="dxa"/>
            <w:vAlign w:val="bottom"/>
          </w:tcPr>
          <w:p>
            <w:pPr>
              <w:spacing w:after="0"/>
              <w:rPr>
                <w:sz w:val="19"/>
                <w:szCs w:val="19"/>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Adjustments for basic net loss per common share:</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Dividend requirements on Series E Redeemable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520" w:type="dxa"/>
            <w:vAlign w:val="bottom"/>
          </w:tcPr>
          <w:p>
            <w:pPr>
              <w:ind w:left="620"/>
              <w:spacing w:after="0"/>
              <w:rPr>
                <w:sz w:val="20"/>
                <w:szCs w:val="20"/>
                <w:color w:val="auto"/>
              </w:rPr>
            </w:pPr>
            <w:r>
              <w:rPr>
                <w:rFonts w:ascii="Arial" w:cs="Arial" w:eastAsia="Arial" w:hAnsi="Arial"/>
                <w:sz w:val="18"/>
                <w:szCs w:val="18"/>
                <w:color w:val="auto"/>
              </w:rPr>
              <w:t>Preferred</w:t>
            </w: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(9,511)</w:t>
            </w:r>
          </w:p>
        </w:tc>
        <w:tc>
          <w:tcPr>
            <w:tcW w:w="3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(8,307)</w:t>
            </w:r>
          </w:p>
        </w:tc>
      </w:tr>
      <w:tr>
        <w:trPr>
          <w:trHeight w:val="230"/>
        </w:trPr>
        <w:tc>
          <w:tcPr>
            <w:tcW w:w="58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Dividend requirements on Series B Preferred</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(60)</w:t>
            </w:r>
          </w:p>
        </w:tc>
      </w:tr>
      <w:tr>
        <w:trPr>
          <w:trHeight w:val="229"/>
        </w:trPr>
        <w:tc>
          <w:tcPr>
            <w:tcW w:w="580" w:type="dxa"/>
            <w:vAlign w:val="bottom"/>
          </w:tcPr>
          <w:p>
            <w:pPr>
              <w:spacing w:after="0"/>
              <w:rPr>
                <w:sz w:val="19"/>
                <w:szCs w:val="19"/>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Dividend requirements on Series D Preferred</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29"/>
        </w:trPr>
        <w:tc>
          <w:tcPr>
            <w:tcW w:w="58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Accretion of Series E Redeemable Preferred</w:t>
            </w:r>
          </w:p>
        </w:tc>
        <w:tc>
          <w:tcPr>
            <w:tcW w:w="14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(511)</w:t>
            </w: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(504)</w:t>
            </w:r>
          </w:p>
        </w:tc>
      </w:tr>
      <w:tr>
        <w:trPr>
          <w:trHeight w:val="195"/>
        </w:trPr>
        <w:tc>
          <w:tcPr>
            <w:tcW w:w="580" w:type="dxa"/>
            <w:vAlign w:val="bottom"/>
          </w:tcPr>
          <w:p>
            <w:pPr>
              <w:spacing w:after="0"/>
              <w:rPr>
                <w:sz w:val="16"/>
                <w:szCs w:val="16"/>
                <w:color w:val="auto"/>
              </w:rPr>
            </w:pPr>
          </w:p>
        </w:tc>
        <w:tc>
          <w:tcPr>
            <w:tcW w:w="5520" w:type="dxa"/>
            <w:vAlign w:val="bottom"/>
          </w:tcPr>
          <w:p>
            <w:pPr>
              <w:ind w:left="240"/>
              <w:spacing w:after="0" w:line="195" w:lineRule="exact"/>
              <w:rPr>
                <w:sz w:val="20"/>
                <w:szCs w:val="20"/>
                <w:color w:val="auto"/>
              </w:rPr>
            </w:pPr>
            <w:r>
              <w:rPr>
                <w:rFonts w:ascii="Arial" w:cs="Arial" w:eastAsia="Arial" w:hAnsi="Arial"/>
                <w:sz w:val="18"/>
                <w:szCs w:val="18"/>
                <w:color w:val="auto"/>
              </w:rPr>
              <w:t>Numerator for basic and dilutive net loss per common</w:t>
            </w:r>
          </w:p>
        </w:tc>
        <w:tc>
          <w:tcPr>
            <w:tcW w:w="14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70"/>
        </w:trPr>
        <w:tc>
          <w:tcPr>
            <w:tcW w:w="580" w:type="dxa"/>
            <w:vAlign w:val="bottom"/>
          </w:tcPr>
          <w:p>
            <w:pPr>
              <w:spacing w:after="0"/>
              <w:rPr>
                <w:sz w:val="23"/>
                <w:szCs w:val="23"/>
                <w:color w:val="auto"/>
              </w:rPr>
            </w:pPr>
          </w:p>
        </w:tc>
        <w:tc>
          <w:tcPr>
            <w:tcW w:w="5520" w:type="dxa"/>
            <w:vAlign w:val="bottom"/>
          </w:tcPr>
          <w:p>
            <w:pPr>
              <w:ind w:left="380"/>
              <w:spacing w:after="0"/>
              <w:rPr>
                <w:sz w:val="20"/>
                <w:szCs w:val="20"/>
                <w:color w:val="auto"/>
              </w:rPr>
            </w:pPr>
            <w:r>
              <w:rPr>
                <w:rFonts w:ascii="Arial" w:cs="Arial" w:eastAsia="Arial" w:hAnsi="Arial"/>
                <w:sz w:val="18"/>
                <w:szCs w:val="18"/>
                <w:color w:val="auto"/>
              </w:rPr>
              <w:t>share - net loss attributable to common stockholders</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(23,376)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(28,338)</w:t>
            </w:r>
          </w:p>
        </w:tc>
      </w:tr>
      <w:tr>
        <w:trPr>
          <w:trHeight w:val="210"/>
        </w:trPr>
        <w:tc>
          <w:tcPr>
            <w:tcW w:w="580" w:type="dxa"/>
            <w:vAlign w:val="bottom"/>
          </w:tcPr>
          <w:p>
            <w:pPr>
              <w:spacing w:after="0"/>
              <w:rPr>
                <w:sz w:val="18"/>
                <w:szCs w:val="18"/>
                <w:color w:val="auto"/>
              </w:rPr>
            </w:pPr>
          </w:p>
        </w:tc>
        <w:tc>
          <w:tcPr>
            <w:tcW w:w="552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Denominator:</w:t>
            </w:r>
          </w:p>
        </w:tc>
        <w:tc>
          <w:tcPr>
            <w:tcW w:w="1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Denominator for basic and dilutive net loss per</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common share - adjusted weighted-average</w:t>
            </w:r>
          </w:p>
        </w:tc>
        <w:tc>
          <w:tcPr>
            <w:tcW w:w="1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55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shares (1)</w:t>
            </w:r>
          </w:p>
        </w:tc>
        <w:tc>
          <w:tcPr>
            <w:tcW w:w="14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28,343,693</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28,176,205</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8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dilutive net loss per common share</w:t>
            </w: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(0.82)</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w:t>
            </w:r>
          </w:p>
        </w:tc>
      </w:tr>
      <w:tr>
        <w:trPr>
          <w:trHeight w:val="20"/>
        </w:trPr>
        <w:tc>
          <w:tcPr>
            <w:tcW w:w="580" w:type="dxa"/>
            <w:vAlign w:val="bottom"/>
          </w:tcPr>
          <w:p>
            <w:pPr>
              <w:spacing w:after="0" w:line="20" w:lineRule="exact"/>
              <w:rPr>
                <w:sz w:val="1"/>
                <w:szCs w:val="1"/>
                <w:color w:val="auto"/>
              </w:rPr>
            </w:pPr>
          </w:p>
        </w:tc>
        <w:tc>
          <w:tcPr>
            <w:tcW w:w="552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the weighted-average shares of unvested restricted stock that are contingently issuable.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loss per common share as their effect would have been antidilutive: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6940" w:type="dxa"/>
            <w:vAlign w:val="bottom"/>
          </w:tcPr>
          <w:p>
            <w:pPr>
              <w:spacing w:after="0"/>
              <w:rPr>
                <w:sz w:val="19"/>
                <w:szCs w:val="19"/>
                <w:color w:val="auto"/>
              </w:rPr>
            </w:pPr>
          </w:p>
        </w:tc>
        <w:tc>
          <w:tcPr>
            <w:tcW w:w="3160" w:type="dxa"/>
            <w:vAlign w:val="bottom"/>
            <w:gridSpan w:val="5"/>
          </w:tcPr>
          <w:p>
            <w:pPr>
              <w:jc w:val="center"/>
              <w:ind w:right="120"/>
              <w:spacing w:after="0"/>
              <w:rPr>
                <w:sz w:val="20"/>
                <w:szCs w:val="20"/>
                <w:color w:val="auto"/>
              </w:rPr>
            </w:pPr>
            <w:r>
              <w:rPr>
                <w:rFonts w:ascii="Arial" w:cs="Arial" w:eastAsia="Arial" w:hAnsi="Arial"/>
                <w:sz w:val="18"/>
                <w:szCs w:val="18"/>
                <w:color w:val="auto"/>
                <w:w w:val="90"/>
              </w:rPr>
              <w:t>Three Months Ended</w:t>
            </w:r>
          </w:p>
        </w:tc>
      </w:tr>
      <w:tr>
        <w:trPr>
          <w:trHeight w:val="230"/>
        </w:trPr>
        <w:tc>
          <w:tcPr>
            <w:tcW w:w="6940" w:type="dxa"/>
            <w:vAlign w:val="bottom"/>
          </w:tcPr>
          <w:p>
            <w:pPr>
              <w:spacing w:after="0"/>
              <w:rPr>
                <w:sz w:val="19"/>
                <w:szCs w:val="19"/>
                <w:color w:val="auto"/>
              </w:rPr>
            </w:pPr>
          </w:p>
        </w:tc>
        <w:tc>
          <w:tcPr>
            <w:tcW w:w="2020" w:type="dxa"/>
            <w:vAlign w:val="bottom"/>
            <w:gridSpan w:val="3"/>
          </w:tcPr>
          <w:p>
            <w:pPr>
              <w:jc w:val="center"/>
              <w:ind w:left="910"/>
              <w:spacing w:after="0"/>
              <w:rPr>
                <w:sz w:val="20"/>
                <w:szCs w:val="20"/>
                <w:color w:val="auto"/>
              </w:rPr>
            </w:pPr>
            <w:r>
              <w:rPr>
                <w:rFonts w:ascii="Arial" w:cs="Arial" w:eastAsia="Arial" w:hAnsi="Arial"/>
                <w:sz w:val="18"/>
                <w:szCs w:val="18"/>
                <w:color w:val="auto"/>
                <w:w w:val="92"/>
              </w:rPr>
              <w:t>March 31,</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940" w:type="dxa"/>
            <w:vAlign w:val="bottom"/>
            <w:tcBorders>
              <w:bottom w:val="single" w:sz="8" w:color="CFF0FC"/>
            </w:tcBorders>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FF0F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1,809,339</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1,206,856</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Convertible preferred stocks</w:t>
            </w:r>
          </w:p>
        </w:tc>
        <w:tc>
          <w:tcPr>
            <w:tcW w:w="1400" w:type="dxa"/>
            <w:vAlign w:val="bottom"/>
          </w:tcPr>
          <w:p>
            <w:pPr>
              <w:jc w:val="right"/>
              <w:spacing w:after="0"/>
              <w:rPr>
                <w:sz w:val="20"/>
                <w:szCs w:val="20"/>
                <w:color w:val="auto"/>
              </w:rPr>
            </w:pPr>
            <w:r>
              <w:rPr>
                <w:rFonts w:ascii="Arial" w:cs="Arial" w:eastAsia="Arial" w:hAnsi="Arial"/>
                <w:sz w:val="18"/>
                <w:szCs w:val="18"/>
                <w:color w:val="auto"/>
              </w:rPr>
              <w:t>916,666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916,666</w:t>
            </w:r>
          </w:p>
        </w:tc>
        <w:tc>
          <w:tcPr>
            <w:tcW w:w="12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303,646</w:t>
            </w:r>
          </w:p>
        </w:tc>
        <w:tc>
          <w:tcPr>
            <w:tcW w:w="120" w:type="dxa"/>
            <w:vAlign w:val="bottom"/>
            <w:shd w:val="clear" w:color="auto" w:fill="CFF0FC"/>
          </w:tcPr>
          <w:p>
            <w:pPr>
              <w:spacing w:after="0"/>
              <w:rPr>
                <w:sz w:val="19"/>
                <w:szCs w:val="19"/>
                <w:color w:val="auto"/>
              </w:rPr>
            </w:pPr>
          </w:p>
        </w:tc>
      </w:tr>
      <w:tr>
        <w:trPr>
          <w:trHeight w:val="230"/>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options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92,809</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124,000</w:t>
            </w:r>
          </w:p>
        </w:tc>
        <w:tc>
          <w:tcPr>
            <w:tcW w:w="120" w:type="dxa"/>
            <w:vAlign w:val="bottom"/>
            <w:tcBorders>
              <w:bottom w:val="single" w:sz="8" w:color="CFF0FC"/>
            </w:tcBorders>
          </w:tcPr>
          <w:p>
            <w:pPr>
              <w:spacing w:after="0"/>
              <w:rPr>
                <w:sz w:val="19"/>
                <w:szCs w:val="19"/>
                <w:color w:val="auto"/>
              </w:rPr>
            </w:pPr>
          </w:p>
        </w:tc>
      </w:tr>
      <w:tr>
        <w:trPr>
          <w:trHeight w:val="223"/>
        </w:trPr>
        <w:tc>
          <w:tcPr>
            <w:tcW w:w="69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3,122,460</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2,551,168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3. Current and Noncurrent Accrued and Other Liabilities</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3"/>
        </w:trPr>
        <w:tc>
          <w:tcPr>
            <w:tcW w:w="17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color w:val="auto"/>
                <w:w w:val="97"/>
              </w:rPr>
              <w:t>March 31,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December 31,</w:t>
            </w:r>
          </w:p>
        </w:tc>
      </w:tr>
      <w:tr>
        <w:trPr>
          <w:trHeight w:val="230"/>
        </w:trPr>
        <w:tc>
          <w:tcPr>
            <w:tcW w:w="170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r>
      <w:tr>
        <w:trPr>
          <w:trHeight w:val="203"/>
        </w:trPr>
        <w:tc>
          <w:tcPr>
            <w:tcW w:w="17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40" w:type="dxa"/>
            <w:vAlign w:val="bottom"/>
            <w:gridSpan w:val="5"/>
          </w:tcPr>
          <w:p>
            <w:pPr>
              <w:ind w:left="640"/>
              <w:spacing w:after="0"/>
              <w:rPr>
                <w:sz w:val="20"/>
                <w:szCs w:val="20"/>
                <w:color w:val="auto"/>
              </w:rPr>
            </w:pPr>
            <w:r>
              <w:rPr>
                <w:rFonts w:ascii="Arial" w:cs="Arial" w:eastAsia="Arial" w:hAnsi="Arial"/>
                <w:sz w:val="16"/>
                <w:szCs w:val="16"/>
                <w:color w:val="auto"/>
              </w:rPr>
              <w:t>(In Thousands)</w:t>
            </w:r>
          </w:p>
        </w:tc>
      </w:tr>
      <w:tr>
        <w:trPr>
          <w:trHeight w:val="236"/>
        </w:trPr>
        <w:tc>
          <w:tcPr>
            <w:tcW w:w="1700" w:type="dxa"/>
            <w:vAlign w:val="bottom"/>
          </w:tcPr>
          <w:p>
            <w:pPr>
              <w:spacing w:after="0"/>
              <w:rPr>
                <w:sz w:val="20"/>
                <w:szCs w:val="20"/>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0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19,081</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8,669</w:t>
            </w:r>
          </w:p>
        </w:tc>
        <w:tc>
          <w:tcPr>
            <w:tcW w:w="80" w:type="dxa"/>
            <w:vAlign w:val="bottom"/>
            <w:shd w:val="clear" w:color="auto" w:fill="CFF0FC"/>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7,564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6,706</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5,837</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Accrued death and other executive benefits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2,539</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w:t>
            </w:r>
          </w:p>
        </w:tc>
        <w:tc>
          <w:tcPr>
            <w:tcW w:w="80" w:type="dxa"/>
            <w:vAlign w:val="bottom"/>
            <w:shd w:val="clear" w:color="auto" w:fill="CFF0FC"/>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10,816</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4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47,055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36,457</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noncurrent portion</w:t>
            </w: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6,333</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80" w:type="dxa"/>
            <w:vAlign w:val="bottom"/>
            <w:tcBorders>
              <w:bottom w:val="single" w:sz="8" w:color="CFF0FC"/>
            </w:tcBorders>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40,722</w:t>
            </w:r>
          </w:p>
        </w:tc>
        <w:tc>
          <w:tcPr>
            <w:tcW w:w="2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30,367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6820" w:type="dxa"/>
            <w:vAlign w:val="bottom"/>
            <w:gridSpan w:val="2"/>
          </w:tcPr>
          <w:p>
            <w:pPr>
              <w:spacing w:after="0"/>
              <w:rPr>
                <w:sz w:val="20"/>
                <w:szCs w:val="20"/>
                <w:color w:val="auto"/>
              </w:rPr>
            </w:pPr>
            <w:r>
              <w:rPr>
                <w:rFonts w:ascii="Arial" w:cs="Arial" w:eastAsia="Arial" w:hAnsi="Arial"/>
                <w:sz w:val="18"/>
                <w:szCs w:val="18"/>
                <w:color w:val="auto"/>
              </w:rPr>
              <w:t>Our long-term debt consists of the following:</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9"/>
        </w:trPr>
        <w:tc>
          <w:tcPr>
            <w:tcW w:w="170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March 31,</w:t>
            </w:r>
          </w:p>
        </w:tc>
        <w:tc>
          <w:tcPr>
            <w:tcW w:w="1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December 31,</w:t>
            </w:r>
          </w:p>
        </w:tc>
      </w:tr>
      <w:tr>
        <w:trPr>
          <w:trHeight w:val="230"/>
        </w:trPr>
        <w:tc>
          <w:tcPr>
            <w:tcW w:w="170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20"/>
                <w:szCs w:val="20"/>
                <w:color w:val="auto"/>
              </w:rPr>
            </w:pPr>
          </w:p>
        </w:tc>
      </w:tr>
      <w:tr>
        <w:trPr>
          <w:trHeight w:val="204"/>
        </w:trPr>
        <w:tc>
          <w:tcPr>
            <w:tcW w:w="17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80" w:type="dxa"/>
            <w:vAlign w:val="bottom"/>
            <w:gridSpan w:val="5"/>
          </w:tcPr>
          <w:p>
            <w:pPr>
              <w:jc w:val="right"/>
              <w:ind w:right="940"/>
              <w:spacing w:after="0"/>
              <w:rPr>
                <w:sz w:val="20"/>
                <w:szCs w:val="20"/>
                <w:color w:val="auto"/>
              </w:rPr>
            </w:pPr>
            <w:r>
              <w:rPr>
                <w:rFonts w:ascii="Arial" w:cs="Arial" w:eastAsia="Arial" w:hAnsi="Arial"/>
                <w:sz w:val="16"/>
                <w:szCs w:val="16"/>
                <w:color w:val="auto"/>
              </w:rPr>
              <w:t>(In Thousands)</w:t>
            </w:r>
          </w:p>
        </w:tc>
      </w:tr>
      <w:tr>
        <w:trPr>
          <w:trHeight w:val="221"/>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3.75% (A)</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Senior Secured Notes due 2023 (B)</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435,000</w:t>
            </w:r>
          </w:p>
        </w:tc>
        <w:tc>
          <w:tcPr>
            <w:tcW w:w="8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Unsecured Loan Agreement due 2022, with an interest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1.00% (C)</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Secured Financing due 2023, with an interest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rate of 8.32% (D)</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9,985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10,715</w:t>
            </w:r>
          </w:p>
        </w:tc>
        <w:tc>
          <w:tcPr>
            <w:tcW w:w="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Loan Agreement due 2025, with an interest</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8.75% (E)</w:t>
            </w:r>
          </w:p>
        </w:tc>
        <w:tc>
          <w:tcPr>
            <w:tcW w:w="16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6,834</w:t>
            </w:r>
          </w:p>
        </w:tc>
        <w:tc>
          <w:tcPr>
            <w:tcW w:w="80" w:type="dxa"/>
            <w:vAlign w:val="bottom"/>
            <w:shd w:val="clear" w:color="auto" w:fill="CFF0FC"/>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Secured Financing due 2025, with an interest</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rate of 8.75% (F)</w:t>
            </w: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27,593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28,636</w:t>
            </w:r>
          </w:p>
        </w:tc>
        <w:tc>
          <w:tcPr>
            <w:tcW w:w="80" w:type="dxa"/>
            <w:vAlign w:val="bottom"/>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2021</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FF0FC"/>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9"/>
                <w:szCs w:val="19"/>
                <w:color w:val="auto"/>
              </w:rPr>
            </w:pPr>
          </w:p>
        </w:tc>
      </w:tr>
      <w:tr>
        <w:trPr>
          <w:trHeight w:val="215"/>
        </w:trPr>
        <w:tc>
          <w:tcPr>
            <w:tcW w:w="1700" w:type="dxa"/>
            <w:vAlign w:val="bottom"/>
          </w:tcPr>
          <w:p>
            <w:pPr>
              <w:spacing w:after="0"/>
              <w:rPr>
                <w:sz w:val="18"/>
                <w:szCs w:val="18"/>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net of premium and debt issuance</w:t>
            </w: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120" w:type="dxa"/>
            <w:vAlign w:val="bottom"/>
            <w:shd w:val="clear" w:color="auto" w:fill="CFF0FC"/>
          </w:tcPr>
          <w:p>
            <w:pPr>
              <w:ind w:left="8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(7,729)</w:t>
            </w:r>
          </w:p>
        </w:tc>
        <w:tc>
          <w:tcPr>
            <w:tcW w:w="1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(8,648)</w:t>
            </w:r>
          </w:p>
        </w:tc>
      </w:tr>
      <w:tr>
        <w:trPr>
          <w:trHeight w:val="223"/>
        </w:trPr>
        <w:tc>
          <w:tcPr>
            <w:tcW w:w="17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481,755</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484,190</w:t>
            </w:r>
          </w:p>
        </w:tc>
        <w:tc>
          <w:tcPr>
            <w:tcW w:w="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18,082</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16,801</w:t>
            </w:r>
          </w:p>
        </w:tc>
        <w:tc>
          <w:tcPr>
            <w:tcW w:w="80" w:type="dxa"/>
            <w:vAlign w:val="bottom"/>
            <w:shd w:val="clear" w:color="auto" w:fill="CFF0FC"/>
          </w:tcPr>
          <w:p>
            <w:pPr>
              <w:spacing w:after="0"/>
              <w:rPr>
                <w:sz w:val="19"/>
                <w:szCs w:val="19"/>
                <w:color w:val="auto"/>
              </w:rPr>
            </w:pPr>
          </w:p>
        </w:tc>
      </w:tr>
      <w:tr>
        <w:trPr>
          <w:trHeight w:val="223"/>
        </w:trPr>
        <w:tc>
          <w:tcPr>
            <w:tcW w:w="6820" w:type="dxa"/>
            <w:vAlign w:val="bottom"/>
            <w:gridSpan w:val="2"/>
          </w:tcPr>
          <w:p>
            <w:pPr>
              <w:ind w:left="1700"/>
              <w:spacing w:after="0"/>
              <w:rPr>
                <w:sz w:val="20"/>
                <w:szCs w:val="20"/>
                <w:color w:val="auto"/>
              </w:rPr>
            </w:pPr>
            <w:r>
              <w:rPr>
                <w:rFonts w:ascii="Arial" w:cs="Arial" w:eastAsia="Arial" w:hAnsi="Arial"/>
                <w:sz w:val="18"/>
                <w:szCs w:val="18"/>
                <w:color w:val="auto"/>
              </w:rPr>
              <w:t>Long-term debt due after one year, net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463,673</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467,389</w:t>
            </w:r>
          </w:p>
        </w:tc>
        <w:tc>
          <w:tcPr>
            <w:tcW w:w="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8"/>
        <w:spacing w:after="0" w:line="288" w:lineRule="auto"/>
        <w:tabs>
          <w:tab w:leader="none" w:pos="307"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Our revolving credit facility, as amended (the “Working Capital Revolver Loan”), provides for advances up to $65 million (the “Maximum Revolver Amount”), based on specific percentages of eligible accounts receivable and inventories and up to $10 million of letters of credit, the outstanding amount of which reduces the available for borrowing under the Working Capital Revolver Loan. At March 31, 2021, our available borrowings under our Working Capital Revolver Loan were approximately $41.8 million, based on our eligible collateral, less outstanding letters of credit and loan balance. The maturity date of the Working Capital Revolver Loan is on the earlier of (i) the date that is 90 days prior to the earliest stated maturity date of the Senior Secured Notes (unless refinanced or repaid) and (ii) February 26, 2024. Subject to certain conditions and subject to lender approval, the Maximum Revolver Amount may increase up to an additional $10 million, less the outstanding aggregate principal amount of the unforgiven portion (as defined in the agreement) of the PPP loan discussed below within footnote (C). The Working Capital Revolver Loan also provides for a springing financial covenant (the “Financial Covenant”), which requires that, if the borrowing availability is less than 10.0% of the total revolver commitments, then the borrowers must maintain a minimum fixed charge coverage ratio of not less than 1.00 to 1.00. The Financial Covenant, if triggered, is tested monthly.</w:t>
      </w:r>
    </w:p>
    <w:p>
      <w:pPr>
        <w:spacing w:after="0" w:line="60" w:lineRule="exact"/>
        <w:rPr>
          <w:rFonts w:ascii="Arial" w:cs="Arial" w:eastAsia="Arial" w:hAnsi="Arial"/>
          <w:sz w:val="16"/>
          <w:szCs w:val="16"/>
          <w:b w:val="1"/>
          <w:bCs w:val="1"/>
          <w:color w:val="auto"/>
        </w:rPr>
      </w:pPr>
    </w:p>
    <w:p>
      <w:pPr>
        <w:ind w:right="20" w:firstLine="8"/>
        <w:spacing w:after="0" w:line="342" w:lineRule="auto"/>
        <w:tabs>
          <w:tab w:leader="none" w:pos="285"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On April 25, 2018, LSB completed the issuance and sale of $400 million aggregate principal amount of its 9.625% Senior Secured Notes due 2023 (the “Notes”), pursuant to an indenture (the “Indenture”), dated as of April 25, 2018. The Notes were issued at a price equal to 99.509% of their face value.</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21, 2019, LSB completed the issuance and sale of $35 million aggregate principal amount of its 9.625% Senior Secured Notes due 2023 (the “New Notes”). The New Notes were issued pursuant to the Indenture (the Notes together with the New Notes, the “Senior Secured Notes”). The New Notes were issued at a price equal to 102.125% of their face value, plus accrued interest from May 1, 2019 to June 21, 2019.</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Senior Secured Notes mature on May 1, 2023</w:t>
      </w:r>
      <w:r>
        <w:rPr>
          <w:rFonts w:ascii="Arial" w:cs="Arial" w:eastAsia="Arial" w:hAnsi="Arial"/>
          <w:sz w:val="18"/>
          <w:szCs w:val="18"/>
          <w:color w:val="0000FF"/>
        </w:rPr>
        <w:t>.</w:t>
      </w:r>
      <w:r>
        <w:rPr>
          <w:rFonts w:ascii="Arial" w:cs="Arial" w:eastAsia="Arial" w:hAnsi="Arial"/>
          <w:sz w:val="18"/>
          <w:szCs w:val="18"/>
          <w:color w:val="auto"/>
        </w:rPr>
        <w:t xml:space="preserve"> Interest is to be paid semiannually in arrears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 (continued)</w:t>
      </w:r>
    </w:p>
    <w:p>
      <w:pPr>
        <w:spacing w:after="0" w:line="121" w:lineRule="exact"/>
        <w:rPr>
          <w:sz w:val="20"/>
          <w:szCs w:val="20"/>
          <w:color w:val="auto"/>
        </w:rPr>
      </w:pPr>
    </w:p>
    <w:p>
      <w:pPr>
        <w:jc w:val="both"/>
        <w:ind w:firstLine="8"/>
        <w:spacing w:after="0" w:line="269" w:lineRule="auto"/>
        <w:tabs>
          <w:tab w:leader="none" w:pos="308"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 xml:space="preserve">In April 2020, LSB entered into a federally guaranteed loan agreement (“PPP loan”) for $10 million with a lender pursuant to a new loan program through the U.S. Small Business Administration (“SBA”) as the result of the Paycheck Protection Program (“PPP”) established by the Coronavirus Aid, Relief, and Economic Security (“CARES”) Act and amended by the Paycheck Protection Program Flexibility Act of 2020. We applied ASC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account for the PPP loan. We have used all or substantially all of the proceeds from the PPP loan for payroll, rent, utilities, and other specified costs that qualify for loan forgiveness. Under the current terms of the PPP loan, loan forgiveness applications are due within 10 months after the end of the loan forgiveness covered period, which period began on the date the PPP loan was disbursed and ends either eight weeks or 24 weeks after disbursement of the loan. In April 2021, we submitted the PPP loan forgiveness application to the lender. Once the SBA notifies the lender the amount of the loan which has been approved for forgiveness, the lender will determine the date that the equal monthly principal and interest payments will begin for the remaining loan balance, if any. Currently, the loan matures in April 2022, which term may be extended to April 2025 if mutually agreed to by the parties. As for the potential loan forgiveness, once the PPP loan is, wholly or partially, forgiven and a legal release is received, the liability would be reduced by the amount forgiven and a gain on extinguishment would be recorded.</w:t>
      </w:r>
    </w:p>
    <w:p>
      <w:pPr>
        <w:spacing w:after="0" w:line="73" w:lineRule="exact"/>
        <w:rPr>
          <w:rFonts w:ascii="Arial" w:cs="Arial" w:eastAsia="Arial" w:hAnsi="Arial"/>
          <w:sz w:val="17"/>
          <w:szCs w:val="17"/>
          <w:b w:val="1"/>
          <w:bCs w:val="1"/>
          <w:color w:val="auto"/>
        </w:rPr>
      </w:pPr>
    </w:p>
    <w:p>
      <w:pPr>
        <w:jc w:val="both"/>
        <w:ind w:firstLine="8"/>
        <w:spacing w:after="0" w:line="263" w:lineRule="auto"/>
        <w:tabs>
          <w:tab w:leader="none" w:pos="303"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El Dorado Chemical Company (“EDC”), one of our subsidiaries, is party to a secured financing arrangement with an affiliate of LSB Funding L.L.C. (“LSB Funding”). Principal and interest are payable in 48 equal monthly installments with a final balloon payment of approximately $3 million due in June 2023.</w:t>
      </w:r>
    </w:p>
    <w:p>
      <w:pPr>
        <w:spacing w:after="0" w:line="75" w:lineRule="exact"/>
        <w:rPr>
          <w:rFonts w:ascii="Arial" w:cs="Arial" w:eastAsia="Arial" w:hAnsi="Arial"/>
          <w:sz w:val="18"/>
          <w:szCs w:val="18"/>
          <w:b w:val="1"/>
          <w:bCs w:val="1"/>
          <w:color w:val="auto"/>
        </w:rPr>
      </w:pPr>
    </w:p>
    <w:p>
      <w:pPr>
        <w:ind w:firstLine="8"/>
        <w:spacing w:after="0" w:line="277" w:lineRule="auto"/>
        <w:tabs>
          <w:tab w:leader="none" w:pos="28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EDC is party to a secured loan agreement with an affiliate of LSB Funding. Principal and interest are payable in 60 equal monthly installments through March 2025.</w:t>
      </w:r>
    </w:p>
    <w:p>
      <w:pPr>
        <w:spacing w:after="0" w:line="62" w:lineRule="exact"/>
        <w:rPr>
          <w:rFonts w:ascii="Arial" w:cs="Arial" w:eastAsia="Arial" w:hAnsi="Arial"/>
          <w:sz w:val="18"/>
          <w:szCs w:val="18"/>
          <w:b w:val="1"/>
          <w:bCs w:val="1"/>
          <w:color w:val="auto"/>
        </w:rPr>
      </w:pPr>
    </w:p>
    <w:p>
      <w:pPr>
        <w:jc w:val="both"/>
        <w:ind w:firstLine="8"/>
        <w:spacing w:after="0" w:line="311" w:lineRule="auto"/>
        <w:tabs>
          <w:tab w:leader="none" w:pos="297"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In August 2020, El Dorado Ammonia L.L.C. (“EDA”), one of our subsidiaries, entered into a $30 million secured financing arrangement with an affiliate of LSB Funding. Beginning in September 2020, principal and interest are payable in 60 equal monthly installments with a final balloon payment of approximately $5 million due in August 2025. This financing arrangement is secured by an ammonia storage tank and is guaranteed by LSB.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Settlements and Outstanding 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several days in February 2021, the Pryor Facility was taken out of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extreme cold weather caused a surge in natural gas prices in the region, along with the curtailment of gas distribution by the operator of the pipeline that supplies natural gas to the facility. Also, as a result of unprecedented cold weather conditions, the primary natural gas supplier to our El Dorado Facility asserted a claim of force majeure and materially restricted the supply of gas to the facility. In order to mitigate a portion of the commodity price risk associated with natural gas, we periodically enter into natural gas forward contracts and volume purchase commitments that locked in the cost of certain volumes of natural gas. Prior to this weather event, we had both types of arrangements. During the first quarter of 2021, as a result of the extreme conditions previously described, we settled all of our natural gas forward contracts and certain volume purchase commitments and recognized a realized gain of approximately $6.8 million, which includes the realized gain discussed under “Natural Gas Contracts” in Note 6 and is classified as a reduction to cost of sales.</w:t>
      </w:r>
    </w:p>
    <w:p>
      <w:pPr>
        <w:spacing w:after="0" w:line="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March 31, 2021, certain of our natural gas contracts qualify as normal purchases under GAAP and thus are not mark-to-market, which contracts included volume purchase commitments with fixed costs of approximately 9.0 million MMBtus of natural gas. These contracts extend through December 2021 at a weighted-average cost of $2.69 per MMBtu ($24.1 million) and a weighted-average market value of $2.55 per MMBtu ($22.9 million).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Legal Matters - </w:t>
      </w:r>
      <w:r>
        <w:rPr>
          <w:rFonts w:ascii="Arial" w:cs="Arial" w:eastAsia="Arial" w:hAnsi="Arial"/>
          <w:sz w:val="18"/>
          <w:szCs w:val="18"/>
          <w:color w:val="auto"/>
        </w:rPr>
        <w:t>Following is a summary of certain legal matters involving the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claims for damages to persons or property, including natural resources, may result from the environmental, health and safety effects of our operations.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2021, our accrued liabilities for environmental matters totaled $468,000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These permits limit the type and amount of effluents that can be discharged and control the method of such discharge.</w:t>
      </w:r>
    </w:p>
    <w:p>
      <w:pPr>
        <w:spacing w:after="0" w:line="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2017, PCC filed a Permit Renewal Application for its Non-Hazardous Injection Well Permit at the Pryor Facility. Although the Injection Well Permit expired in 2018, PCC continues to operate the injection well pending the Oklahoma Department of Environmental Quality (“ODEQ”) action on the Permit Renewal Application. PCC and ODEQ are engaged in ongoing discussions related to the renewal of the injection well to address the wastewater stream.</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contained more restrictive discharge limits than the previous 2004 permit. During 2017, ADEQ issued a final NPDES permit with new dissolved mineral limits; however, EDC filed an appeal, and a Permit Appeal Resolution (“PAR”) was signed in 2018. EDC is in compliance with the revised permit limits agreed upon in the PAR.</w:t>
      </w:r>
    </w:p>
    <w:p>
      <w:pPr>
        <w:spacing w:after="0" w:line="8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2006, the El Dorado Facility entered into a Consent Administrative Order (“CAO”) that recognizes the presence of nitrate contamination in the shallow groundwater. The CAO required EDC to perform semi-annual groundwater monitoring, continue operation of a groundwater recovery system, submit a human health and ecological risk assessment, and submit a remedial action plan.</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risk assessment was submitted in 2007. In 2015, the ADEQ stated that El Dorado Chemical was meeting the requirements of the CAO and should continue semi-annual monitoring. Subsequent to the PAR mentioned previously, a new CAO was signed in 2018, which required an Evaluation Report of the data and effectiveness of the groundwater remedy for nitrate contamination. During 2019, the Evaluation Report was submitted to the ADEQ and the ADEQ approved the report. No liability has been established at March 31, 2021, in connection with this ADEQ matter.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2. Other Environmental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5-year re-evaluation with the KDHE.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final remedy, including the EUC, the finalization of the cost estimates and any required financial assurances remains under discussion with the KDHE, but continues to be delayed due to the impact from the COVID-19 pandemic.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w:t>
      </w:r>
    </w:p>
    <w:p>
      <w:pPr>
        <w:spacing w:after="0" w:line="63" w:lineRule="exact"/>
        <w:rPr>
          <w:sz w:val="20"/>
          <w:szCs w:val="20"/>
          <w:color w:val="auto"/>
        </w:rPr>
      </w:pPr>
    </w:p>
    <w:p>
      <w:pPr>
        <w:ind w:right="220"/>
        <w:spacing w:after="0" w:line="375" w:lineRule="auto"/>
        <w:rPr>
          <w:sz w:val="20"/>
          <w:szCs w:val="20"/>
          <w:color w:val="auto"/>
        </w:rPr>
      </w:pPr>
      <w:r>
        <w:rPr>
          <w:rFonts w:ascii="Arial" w:cs="Arial" w:eastAsia="Arial" w:hAnsi="Arial"/>
          <w:sz w:val="18"/>
          <w:szCs w:val="18"/>
          <w:color w:val="auto"/>
        </w:rPr>
        <w:t xml:space="preserve">The estimated amount is not discounted to its present value. As more information becomes available, our estimated accrual will be refined, as necessary. </w:t>
      </w:r>
      <w:r>
        <w:rPr>
          <w:rFonts w:ascii="Arial" w:cs="Arial" w:eastAsia="Arial" w:hAnsi="Arial"/>
          <w:sz w:val="18"/>
          <w:szCs w:val="18"/>
          <w:b w:val="1"/>
          <w:bCs w:val="1"/>
          <w:color w:val="auto"/>
        </w:rPr>
        <w:t>B. Other Pending, Threatened or Settled Litigation</w:t>
      </w:r>
    </w:p>
    <w:p>
      <w:pPr>
        <w:spacing w:after="0" w:line="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w:t>
      </w:r>
    </w:p>
    <w:p>
      <w:pPr>
        <w:spacing w:after="0" w:line="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2014, EDC and LSB were named as defendants, together with other AN manufacturers and brokers that arranged the transport and delivery of AN to West Fertilizer, in the case styled </w:t>
      </w:r>
      <w:r>
        <w:rPr>
          <w:rFonts w:ascii="Arial" w:cs="Arial" w:eastAsia="Arial" w:hAnsi="Arial"/>
          <w:sz w:val="18"/>
          <w:szCs w:val="18"/>
          <w:i w:val="1"/>
          <w:iCs w:val="1"/>
          <w:color w:val="auto"/>
        </w:rPr>
        <w:t>City of West, Texas vs. CF Industries, Inc., et al.</w:t>
      </w:r>
      <w:r>
        <w:rPr>
          <w:rFonts w:ascii="Arial" w:cs="Arial" w:eastAsia="Arial" w:hAnsi="Arial"/>
          <w:sz w:val="18"/>
          <w:szCs w:val="18"/>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 liability insurance policies have aggregate limits of general liability totaling $100 million, with a self-insured retention of $250,000, which retention limit has been met relating to the West Fertilizer matter. In 2015, the trial court dismissed plaintiff’s negligence claims against us, and EDC based on a duty to inspect but allowed the plaintiffs to proceed on claims for design defect and failure to warn.</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Subsequently, we and EDC have entered into confidential settlement agreements (with approval of our insurance carriers) with several plaintiffs that had claimed wrongful death and bodily injury and insurance companies asserting subrogation claims for damages from the explosion. While these settlements resolve the claims of a number of the claimants in this matter, we continue to be party to litigation related to the explosion. We continue to defend these lawsuits vigorously and we are unable to estimate a possible range of loss at this time if there is an adverse outcome in this matter as to EDC. As of March 31, 2021, no liability reserve has been established in connection with this matter.</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we and EDA received formal written notice from Global Industrial, Inc. (“Global”) of its intention to assert mechanic liens for labor, service, or materials furnished under certain subcontract agreements for the improvement of the new ammonia plant (“Ammonia Plant”) at our El Dorado Facility. Global was a subcontractor of Leidos Constructors, LLC (“Leidos”), the general contractor for EDA for the construction for the Ammonia Plant. Leidos terminated the services of Global with respect to their work performed at our El Dorado Facility.</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LSB and EDA intend to pursue recovery of any damage or loss caused by Global’s work performed through their contract with Leidos at our El Dorado Facility. In 2016, EDC and LSB were served a summons in a case styled </w:t>
      </w:r>
      <w:r>
        <w:rPr>
          <w:rFonts w:ascii="Arial" w:cs="Arial" w:eastAsia="Arial" w:hAnsi="Arial"/>
          <w:sz w:val="17"/>
          <w:szCs w:val="17"/>
          <w:i w:val="1"/>
          <w:iCs w:val="1"/>
          <w:color w:val="auto"/>
        </w:rPr>
        <w:t>Global Industrial, Inc. d/b/a Global Turnaround vs. Leidos Constructors, LLC 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al., </w:t>
      </w:r>
      <w:r>
        <w:rPr>
          <w:rFonts w:ascii="Arial" w:cs="Arial" w:eastAsia="Arial" w:hAnsi="Arial"/>
          <w:sz w:val="17"/>
          <w:szCs w:val="17"/>
          <w:color w:val="auto"/>
        </w:rPr>
        <w:t>in the Circuit court of Union County, Arkansas, wherein Global seeks damages under breach of contract and other claims. At the time of the summons,</w:t>
      </w:r>
      <w:r>
        <w:rPr>
          <w:rFonts w:ascii="Arial" w:cs="Arial" w:eastAsia="Arial" w:hAnsi="Arial"/>
          <w:sz w:val="17"/>
          <w:szCs w:val="17"/>
          <w:i w:val="1"/>
          <w:iCs w:val="1"/>
          <w:color w:val="auto"/>
        </w:rPr>
        <w:t xml:space="preserve"> </w:t>
      </w:r>
      <w:r>
        <w:rPr>
          <w:rFonts w:ascii="Arial" w:cs="Arial" w:eastAsia="Arial" w:hAnsi="Arial"/>
          <w:sz w:val="17"/>
          <w:szCs w:val="17"/>
          <w:color w:val="auto"/>
        </w:rPr>
        <w:t>our accounts payable included invoices totaling approximately $3.5 million related to the claims asserted by Global but such invoices were not approved by Leidos for payment. We have requested indemnification from Leidos under the terms of our contracts, which they have denied. As a result, we are seeking reimbursement of legal expenses from Leidos under our contracts. We also seek damages from Leidos for their wrongdoing during the expansion, including breach of contract, fraud, professional negligence, and gross negligence.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the court bifurcated the case into: (1) Global’s claims against Leidos and LSB, and (2) the cross-claims between Leidos and LSB. Part (1) of the case was tried in the court. In March 2020, the court rendered an interim judgment and issued its final judgment in April 2020. In summary, the judgment awarded Global (i) approximately $7.4 million (including the $3.5 million discussed above) for labor, service, and materials furnished relating to the Ammonia Plant, (ii) approximately $1.3 million for prejudgment interest, and (iii) a claim of lien on certain property and the foreclosure of the lien to satisfy these obligations. In addition, post-judgment interest will accrue at the annual rate of 4.25% until paid. During the first quarter of 2020, this judgment impacted our condensed consolidated statement of operations as follows:</w:t>
      </w:r>
    </w:p>
    <w:p>
      <w:pPr>
        <w:spacing w:after="0" w:line="84" w:lineRule="exact"/>
        <w:rPr>
          <w:sz w:val="20"/>
          <w:szCs w:val="20"/>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depreciation expense of $0.5 million classified as cost of sales; and</w:t>
      </w:r>
    </w:p>
    <w:p>
      <w:pPr>
        <w:spacing w:after="0" w:line="23" w:lineRule="exact"/>
        <w:rPr>
          <w:rFonts w:ascii="Arial" w:cs="Arial" w:eastAsia="Arial" w:hAnsi="Arial"/>
          <w:sz w:val="18"/>
          <w:szCs w:val="18"/>
          <w:color w:val="auto"/>
        </w:rPr>
      </w:pPr>
    </w:p>
    <w:p>
      <w:pPr>
        <w:ind w:left="740" w:hanging="36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prejudgment and post-judgment interest expense totaling $1.3 million.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have filed a notice of intent to appeal, and the Court entered a stay of the judgment pending appeal.</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LSB intends to vigorously prosecute its claims against Leidos and vigorously contest the cross-claims in Part (2) of the matter. Due to the impact from the COVID-19 pandemic, the Trial date for Part (2) of the matter has been delayed and we are awaiting a new trial date.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liability was established at March 31, 2021 or December 31, 2020, in connection with the cross-claims in Part (2) of the matter, except for certain invoices held in accounts payable.</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involved in various other claims and legal actions (including matters involving gain contingencies).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the periods presented, the following significant instruments are accounted for on a fair value basis:</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Natural Gas Contracts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Periodically, we entered into certain forward natural gas contracts (“natural gas contracts”), which are accounted for on a mark-to-market basis. We are utilizing these natural gas contracts as economic hedges for risk management purposes but are not designated as hedging instruments. At December 31, 2020, our natural gas contracts included 7.3 million MMBtu of natural gas, that extended through December 2021, but these contracts were settled during the first quarter of 2021, primarily due to the weather event discussed in Note 5. As a result, we had no outstanding natural gas contracts at March 31, 2021. The valuations of the natural gas contracts are classified as Level 2. At December 31, 2020, the valuation inputs included the contractual weighted-average cost of $2.65 per MMBtu and the weighted-average market value of $2.49 per MMBtu.</w:t>
      </w:r>
    </w:p>
    <w:p>
      <w:pPr>
        <w:spacing w:after="0" w:line="70"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For the three months ended March 31, 2021 and 2020, we recognized a gain of $2.7 million (includes a realized gain of $1.5 million) and a loss of $0.7 million (includes a realized loss of $0.2 million), respectively. The gain is classified as a reduction of cost of sales and the loss is classified as cost of sales.</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Embedded Derivative</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discussed in Note 8, certain embedded features (“embedded derivative”) relating to the redemption of the Series E Redeemable Preferred, which includes certain contingent redemption features and the participation rights value have been bifurcated from the Series E Redeemable Preferred and recorded as a liability. At March 31, 2021 and December 31, 2020, we estimate that the contingent redemption features have fair value since we estimate that it is probable that a portion of the shares of this preferred stock would be redeemed prior to October 25, 2023. For certain other embedded features, we estimated no fair value based on our assessment that there is a remote probability that these features will be exercised.</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the embedded derivative was valued using discounted cash flow models and primarily based on the difference in the present value of estimated future cash flows with no redemptions prior to October 25, 2023 compared to certain redemptions deemed probable during the same period and applying the effective dividend rate of the Series E Redeemable Preferred. In addition, at March 31, 2021 and December 31, 2020, the fair value of the embedded derivative included the valuation of the participation rights, which was based on the equivalent of 303,646 shares of our common stock at $5.13 and $3.39 per share, respectively.</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valuations of the embedded derivative are classified as Level 3. This derivative is valued using market information, management’s redemption assumptions, the underlying number of shares as defined in the terms of the Series E Redeemable Preferred, and the market price of our common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Derivatives, Hedges and Financial Instruments (continued)</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2021 and 2020, we recognized an unrealized loss of approximately $0.4 million and an unrealized gain of approximately $0.6 million, respectively, due to the change in fair value of the embedded derivative. The unrealized gain and loss are included in non-operating other income and expense.</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details our assets and liabilities that are measured at fair value on a recurring basis at March 31, 2021 and December 31,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gridSpan w:val="7"/>
          </w:tcPr>
          <w:p>
            <w:pPr>
              <w:jc w:val="center"/>
              <w:ind w:right="55"/>
              <w:spacing w:after="0"/>
              <w:rPr>
                <w:sz w:val="20"/>
                <w:szCs w:val="20"/>
                <w:color w:val="auto"/>
              </w:rPr>
            </w:pPr>
            <w:r>
              <w:rPr>
                <w:rFonts w:ascii="Arial" w:cs="Arial" w:eastAsia="Arial" w:hAnsi="Arial"/>
                <w:sz w:val="18"/>
                <w:szCs w:val="18"/>
                <w:color w:val="auto"/>
                <w:w w:val="89"/>
              </w:rPr>
              <w:t>Fair Value Measurements at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left="774"/>
              <w:spacing w:after="0"/>
              <w:rPr>
                <w:sz w:val="20"/>
                <w:szCs w:val="20"/>
                <w:color w:val="auto"/>
              </w:rPr>
            </w:pPr>
            <w:r>
              <w:rPr>
                <w:rFonts w:ascii="Arial" w:cs="Arial" w:eastAsia="Arial" w:hAnsi="Arial"/>
                <w:sz w:val="18"/>
                <w:szCs w:val="18"/>
                <w:color w:val="auto"/>
                <w:w w:val="91"/>
              </w:rPr>
              <w:t>March 31, 2021 Using</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0"/>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6"/>
                <w:szCs w:val="16"/>
                <w:color w:val="auto"/>
                <w:w w:val="88"/>
              </w:rPr>
              <w:t>Quoted Prices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in Active</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Significant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94"/>
              </w:rPr>
              <w:t>Total Fair</w:t>
            </w: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Markets for</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Other</w:t>
            </w:r>
          </w:p>
        </w:tc>
        <w:tc>
          <w:tcPr>
            <w:tcW w:w="100" w:type="dxa"/>
            <w:vAlign w:val="bottom"/>
          </w:tcPr>
          <w:p>
            <w:pPr>
              <w:spacing w:after="0"/>
              <w:rPr>
                <w:sz w:val="17"/>
                <w:szCs w:val="17"/>
                <w:color w:val="auto"/>
              </w:rPr>
            </w:pPr>
          </w:p>
        </w:tc>
        <w:tc>
          <w:tcPr>
            <w:tcW w:w="1000" w:type="dxa"/>
            <w:vAlign w:val="bottom"/>
          </w:tcPr>
          <w:p>
            <w:pPr>
              <w:jc w:val="center"/>
              <w:ind w:right="15"/>
              <w:spacing w:after="0"/>
              <w:rPr>
                <w:sz w:val="20"/>
                <w:szCs w:val="20"/>
                <w:color w:val="auto"/>
              </w:rPr>
            </w:pPr>
            <w:r>
              <w:rPr>
                <w:rFonts w:ascii="Arial" w:cs="Arial" w:eastAsia="Arial" w:hAnsi="Arial"/>
                <w:sz w:val="16"/>
                <w:szCs w:val="16"/>
                <w:color w:val="auto"/>
                <w:w w:val="94"/>
              </w:rPr>
              <w:t>Significant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94"/>
              </w:rPr>
              <w:t>Total Fair</w:t>
            </w: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88"/>
              </w:rPr>
              <w:t>Value at</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Identical</w:t>
            </w:r>
          </w:p>
        </w:tc>
        <w:tc>
          <w:tcPr>
            <w:tcW w:w="120" w:type="dxa"/>
            <w:vAlign w:val="bottom"/>
          </w:tcPr>
          <w:p>
            <w:pPr>
              <w:spacing w:after="0"/>
              <w:rPr>
                <w:sz w:val="17"/>
                <w:szCs w:val="17"/>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color w:val="auto"/>
                <w:w w:val="90"/>
              </w:rPr>
              <w:t>Observable</w:t>
            </w:r>
          </w:p>
        </w:tc>
        <w:tc>
          <w:tcPr>
            <w:tcW w:w="100" w:type="dxa"/>
            <w:vAlign w:val="bottom"/>
          </w:tcPr>
          <w:p>
            <w:pPr>
              <w:spacing w:after="0"/>
              <w:rPr>
                <w:sz w:val="17"/>
                <w:szCs w:val="17"/>
                <w:color w:val="auto"/>
              </w:rPr>
            </w:pPr>
          </w:p>
        </w:tc>
        <w:tc>
          <w:tcPr>
            <w:tcW w:w="1000" w:type="dxa"/>
            <w:vAlign w:val="bottom"/>
          </w:tcPr>
          <w:p>
            <w:pPr>
              <w:jc w:val="center"/>
              <w:ind w:right="15"/>
              <w:spacing w:after="0"/>
              <w:rPr>
                <w:sz w:val="20"/>
                <w:szCs w:val="20"/>
                <w:color w:val="auto"/>
              </w:rPr>
            </w:pPr>
            <w:r>
              <w:rPr>
                <w:rFonts w:ascii="Arial" w:cs="Arial" w:eastAsia="Arial" w:hAnsi="Arial"/>
                <w:sz w:val="16"/>
                <w:szCs w:val="16"/>
                <w:color w:val="auto"/>
                <w:w w:val="91"/>
              </w:rPr>
              <w:t>Unobservable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color w:val="auto"/>
                <w:w w:val="88"/>
              </w:rPr>
              <w:t>Value at</w:t>
            </w:r>
          </w:p>
        </w:tc>
      </w:tr>
      <w:tr>
        <w:trPr>
          <w:trHeight w:val="199"/>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color w:val="auto"/>
                <w:w w:val="95"/>
              </w:rPr>
              <w:t>March 31,</w:t>
            </w: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color w:val="auto"/>
                <w:w w:val="90"/>
              </w:rPr>
              <w:t>Contracts</w:t>
            </w:r>
          </w:p>
        </w:tc>
        <w:tc>
          <w:tcPr>
            <w:tcW w:w="120" w:type="dxa"/>
            <w:vAlign w:val="bottom"/>
          </w:tcPr>
          <w:p>
            <w:pPr>
              <w:spacing w:after="0"/>
              <w:rPr>
                <w:sz w:val="17"/>
                <w:szCs w:val="17"/>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Inputs</w:t>
            </w:r>
          </w:p>
        </w:tc>
        <w:tc>
          <w:tcPr>
            <w:tcW w:w="100" w:type="dxa"/>
            <w:vAlign w:val="bottom"/>
          </w:tcPr>
          <w:p>
            <w:pPr>
              <w:spacing w:after="0"/>
              <w:rPr>
                <w:sz w:val="17"/>
                <w:szCs w:val="17"/>
                <w:color w:val="auto"/>
              </w:rPr>
            </w:pPr>
          </w:p>
        </w:tc>
        <w:tc>
          <w:tcPr>
            <w:tcW w:w="1000" w:type="dxa"/>
            <w:vAlign w:val="bottom"/>
          </w:tcPr>
          <w:p>
            <w:pPr>
              <w:jc w:val="center"/>
              <w:ind w:right="15"/>
              <w:spacing w:after="0"/>
              <w:rPr>
                <w:sz w:val="20"/>
                <w:szCs w:val="20"/>
                <w:color w:val="auto"/>
              </w:rPr>
            </w:pPr>
            <w:r>
              <w:rPr>
                <w:rFonts w:ascii="Arial" w:cs="Arial" w:eastAsia="Arial" w:hAnsi="Arial"/>
                <w:sz w:val="16"/>
                <w:szCs w:val="16"/>
                <w:color w:val="auto"/>
                <w:w w:val="96"/>
              </w:rPr>
              <w:t>Inputs</w:t>
            </w:r>
          </w:p>
        </w:tc>
        <w:tc>
          <w:tcPr>
            <w:tcW w:w="22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December 31,</w:t>
            </w:r>
          </w:p>
        </w:tc>
      </w:tr>
      <w:tr>
        <w:trPr>
          <w:trHeight w:val="216"/>
        </w:trPr>
        <w:tc>
          <w:tcPr>
            <w:tcW w:w="4660" w:type="dxa"/>
            <w:vAlign w:val="bottom"/>
            <w:tcBorders>
              <w:bottom w:val="single" w:sz="8" w:color="auto"/>
            </w:tcBorders>
          </w:tcPr>
          <w:p>
            <w:pPr>
              <w:ind w:left="2000"/>
              <w:spacing w:after="0"/>
              <w:rPr>
                <w:sz w:val="20"/>
                <w:szCs w:val="20"/>
                <w:color w:val="auto"/>
              </w:rPr>
            </w:pPr>
            <w:r>
              <w:rPr>
                <w:rFonts w:ascii="Arial" w:cs="Arial" w:eastAsia="Arial" w:hAnsi="Arial"/>
                <w:sz w:val="14"/>
                <w:szCs w:val="14"/>
                <w:color w:val="auto"/>
              </w:rPr>
              <w:t>Description</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color w:val="auto"/>
                <w:w w:val="89"/>
              </w:rPr>
              <w:t>2021</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3"/>
              </w:rPr>
              <w:t>(Level 1)</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color w:val="auto"/>
                <w:w w:val="96"/>
              </w:rPr>
              <w:t>(Level 2)</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5"/>
              <w:spacing w:after="0" w:line="216" w:lineRule="exact"/>
              <w:rPr>
                <w:sz w:val="20"/>
                <w:szCs w:val="20"/>
                <w:color w:val="auto"/>
              </w:rPr>
            </w:pPr>
            <w:r>
              <w:rPr>
                <w:rFonts w:ascii="Arial" w:cs="Arial" w:eastAsia="Arial" w:hAnsi="Arial"/>
                <w:sz w:val="15"/>
                <w:szCs w:val="15"/>
                <w:color w:val="auto"/>
                <w:w w:val="96"/>
              </w:rPr>
              <w:t>(Level 3)</w:t>
            </w:r>
            <w:r>
              <w:rPr>
                <w:rFonts w:ascii="Arial" w:cs="Arial" w:eastAsia="Arial" w:hAnsi="Arial"/>
                <w:sz w:val="25"/>
                <w:szCs w:val="25"/>
                <w:color w:val="auto"/>
                <w:w w:val="96"/>
                <w:vertAlign w:val="superscript"/>
              </w:rPr>
              <w:t>(1)</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color w:val="auto"/>
                <w:w w:val="89"/>
              </w:rPr>
              <w:t>2020</w:t>
            </w:r>
          </w:p>
        </w:tc>
        <w:tc>
          <w:tcPr>
            <w:tcW w:w="100" w:type="dxa"/>
            <w:vAlign w:val="bottom"/>
          </w:tcPr>
          <w:p>
            <w:pPr>
              <w:spacing w:after="0"/>
              <w:rPr>
                <w:sz w:val="18"/>
                <w:szCs w:val="18"/>
                <w:color w:val="auto"/>
              </w:rPr>
            </w:pPr>
          </w:p>
        </w:tc>
      </w:tr>
      <w:tr>
        <w:trPr>
          <w:trHeight w:val="203"/>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ind w:left="20"/>
              <w:spacing w:after="0"/>
              <w:rPr>
                <w:sz w:val="20"/>
                <w:szCs w:val="20"/>
                <w:color w:val="auto"/>
              </w:rPr>
            </w:pPr>
            <w:r>
              <w:rPr>
                <w:rFonts w:ascii="Arial" w:cs="Arial" w:eastAsia="Arial" w:hAnsi="Arial"/>
                <w:sz w:val="16"/>
                <w:szCs w:val="16"/>
                <w:color w:val="auto"/>
              </w:rPr>
              <w:t>(In Thousands)</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Assets - Supplies, prepaid items and other:</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60" w:type="dxa"/>
            <w:vAlign w:val="bottom"/>
          </w:tcPr>
          <w:p>
            <w:pPr>
              <w:ind w:left="260"/>
              <w:spacing w:after="0"/>
              <w:rPr>
                <w:sz w:val="20"/>
                <w:szCs w:val="20"/>
                <w:color w:val="auto"/>
              </w:rPr>
            </w:pPr>
            <w:r>
              <w:rPr>
                <w:rFonts w:ascii="Arial" w:cs="Arial" w:eastAsia="Arial" w:hAnsi="Arial"/>
                <w:sz w:val="18"/>
                <w:szCs w:val="18"/>
                <w:color w:val="auto"/>
              </w:rPr>
              <w:t>Natural gas contracts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23"/>
        </w:trPr>
        <w:tc>
          <w:tcPr>
            <w:tcW w:w="466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Liabilities - Current and noncurrent accrued and</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660" w:type="dxa"/>
            <w:vAlign w:val="bottom"/>
          </w:tcPr>
          <w:p>
            <w:pPr>
              <w:ind w:left="260"/>
              <w:spacing w:after="0"/>
              <w:rPr>
                <w:sz w:val="20"/>
                <w:szCs w:val="20"/>
                <w:color w:val="auto"/>
              </w:rPr>
            </w:pPr>
            <w:r>
              <w:rPr>
                <w:rFonts w:ascii="Arial" w:cs="Arial" w:eastAsia="Arial" w:hAnsi="Arial"/>
                <w:sz w:val="18"/>
                <w:szCs w:val="18"/>
                <w:color w:val="auto"/>
              </w:rPr>
              <w:t>Natural gas contracts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r>
      <w:tr>
        <w:trPr>
          <w:trHeight w:val="229"/>
        </w:trPr>
        <w:tc>
          <w:tcPr>
            <w:tcW w:w="4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Embedded derivative</w:t>
            </w: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380" w:type="dxa"/>
            <w:vAlign w:val="bottom"/>
            <w:gridSpan w:val="2"/>
            <w:shd w:val="clear" w:color="auto" w:fill="CFF0FC"/>
          </w:tcPr>
          <w:p>
            <w:pPr>
              <w:jc w:val="right"/>
              <w:ind w:right="4"/>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FF0FC"/>
          </w:tcPr>
          <w:p>
            <w:pPr>
              <w:spacing w:after="0"/>
              <w:rPr>
                <w:sz w:val="19"/>
                <w:szCs w:val="19"/>
                <w:color w:val="auto"/>
              </w:rPr>
            </w:pPr>
          </w:p>
        </w:tc>
      </w:tr>
      <w:tr>
        <w:trPr>
          <w:trHeight w:val="224"/>
        </w:trPr>
        <w:tc>
          <w:tcPr>
            <w:tcW w:w="4660" w:type="dxa"/>
            <w:vAlign w:val="bottom"/>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0</wp:posOffset>
            </wp:positionV>
            <wp:extent cx="40373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5" w:lineRule="exact"/>
        <w:rPr>
          <w:sz w:val="20"/>
          <w:szCs w:val="20"/>
          <w:color w:val="auto"/>
        </w:rPr>
      </w:pPr>
    </w:p>
    <w:p>
      <w:pPr>
        <w:ind w:left="740" w:hanging="368"/>
        <w:spacing w:after="0"/>
        <w:tabs>
          <w:tab w:leader="none" w:pos="7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There was no Level 3 transfer activity for the three months ended March 31, 2021 or 2020.</w:t>
      </w:r>
    </w:p>
    <w:p>
      <w:pPr>
        <w:spacing w:after="0" w:line="113" w:lineRule="exact"/>
        <w:rPr>
          <w:rFonts w:ascii="Arial" w:cs="Arial" w:eastAsia="Arial" w:hAnsi="Arial"/>
          <w:sz w:val="18"/>
          <w:szCs w:val="18"/>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-333375</wp:posOffset>
            </wp:positionV>
            <wp:extent cx="4037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Provision (benefit) for income taxes is as follows:</w:t>
            </w:r>
          </w:p>
        </w:tc>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5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920" w:type="dxa"/>
            <w:vAlign w:val="bottom"/>
            <w:gridSpan w:val="4"/>
          </w:tcPr>
          <w:p>
            <w:pPr>
              <w:jc w:val="center"/>
              <w:ind w:left="390"/>
              <w:spacing w:after="0"/>
              <w:rPr>
                <w:sz w:val="20"/>
                <w:szCs w:val="20"/>
                <w:color w:val="auto"/>
              </w:rPr>
            </w:pPr>
            <w:r>
              <w:rPr>
                <w:rFonts w:ascii="Arial" w:cs="Arial" w:eastAsia="Arial" w:hAnsi="Arial"/>
                <w:sz w:val="18"/>
                <w:szCs w:val="18"/>
                <w:color w:val="auto"/>
                <w:w w:val="90"/>
              </w:rPr>
              <w:t>Three Months Ended</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40" w:type="dxa"/>
            <w:vAlign w:val="bottom"/>
            <w:gridSpan w:val="3"/>
          </w:tcPr>
          <w:p>
            <w:pPr>
              <w:jc w:val="center"/>
              <w:ind w:right="530"/>
              <w:spacing w:after="0"/>
              <w:rPr>
                <w:sz w:val="20"/>
                <w:szCs w:val="20"/>
                <w:color w:val="auto"/>
              </w:rPr>
            </w:pPr>
            <w:r>
              <w:rPr>
                <w:rFonts w:ascii="Arial" w:cs="Arial" w:eastAsia="Arial" w:hAnsi="Arial"/>
                <w:sz w:val="18"/>
                <w:szCs w:val="18"/>
                <w:color w:val="auto"/>
                <w:w w:val="92"/>
              </w:rPr>
              <w:t>March 31,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p>
        </w:tc>
        <w:tc>
          <w:tcPr>
            <w:tcW w:w="4240" w:type="dxa"/>
            <w:vAlign w:val="bottom"/>
            <w:gridSpan w:val="2"/>
          </w:tcPr>
          <w:p>
            <w:pPr>
              <w:jc w:val="right"/>
              <w:ind w:right="3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5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3"/>
          </w:tcPr>
          <w:p>
            <w:pPr>
              <w:jc w:val="center"/>
              <w:ind w:right="510"/>
              <w:spacing w:after="0"/>
              <w:rPr>
                <w:sz w:val="20"/>
                <w:szCs w:val="20"/>
                <w:color w:val="auto"/>
              </w:rPr>
            </w:pPr>
            <w:r>
              <w:rPr>
                <w:rFonts w:ascii="Arial" w:cs="Arial" w:eastAsia="Arial" w:hAnsi="Arial"/>
                <w:sz w:val="16"/>
                <w:szCs w:val="16"/>
                <w:color w:val="auto"/>
                <w:w w:val="92"/>
              </w:rPr>
              <w:t>(In Thousands)</w:t>
            </w: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3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60"/>
              <w:spacing w:after="0"/>
              <w:rPr>
                <w:sz w:val="20"/>
                <w:szCs w:val="20"/>
                <w:color w:val="auto"/>
              </w:rPr>
            </w:pPr>
            <w:r>
              <w:rPr>
                <w:rFonts w:ascii="Arial" w:cs="Arial" w:eastAsia="Arial" w:hAnsi="Arial"/>
                <w:sz w:val="18"/>
                <w:szCs w:val="18"/>
                <w:color w:val="auto"/>
              </w:rPr>
              <w:t>Federal</w:t>
            </w:r>
          </w:p>
        </w:tc>
        <w:tc>
          <w:tcPr>
            <w:tcW w:w="42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3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(285)</w:t>
            </w: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w:t>
            </w:r>
          </w:p>
        </w:tc>
        <w:tc>
          <w:tcPr>
            <w:tcW w:w="316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Borders>
              <w:bottom w:val="single" w:sz="8" w:color="CFF0FC"/>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19"/>
                <w:szCs w:val="19"/>
                <w:color w:val="auto"/>
              </w:rPr>
            </w:pPr>
          </w:p>
        </w:tc>
        <w:tc>
          <w:tcPr>
            <w:tcW w:w="3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3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4240" w:type="dxa"/>
            <w:vAlign w:val="bottom"/>
            <w:gridSpan w:val="2"/>
            <w:shd w:val="clear" w:color="auto" w:fill="CFF0FC"/>
          </w:tcPr>
          <w:p>
            <w:pPr>
              <w:jc w:val="right"/>
              <w:ind w:right="89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w:t>
            </w:r>
          </w:p>
        </w:tc>
        <w:tc>
          <w:tcPr>
            <w:tcW w:w="1080" w:type="dxa"/>
            <w:vAlign w:val="bottom"/>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State</w:t>
            </w:r>
          </w:p>
        </w:tc>
        <w:tc>
          <w:tcPr>
            <w:tcW w:w="31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Deferred</w:t>
            </w:r>
          </w:p>
        </w:tc>
        <w:tc>
          <w:tcPr>
            <w:tcW w:w="31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ind w:left="740"/>
              <w:spacing w:after="0"/>
              <w:rPr>
                <w:sz w:val="20"/>
                <w:szCs w:val="20"/>
                <w:color w:val="auto"/>
              </w:rPr>
            </w:pPr>
            <w:r>
              <w:rPr>
                <w:rFonts w:ascii="Arial" w:cs="Arial" w:eastAsia="Arial" w:hAnsi="Arial"/>
                <w:sz w:val="18"/>
                <w:szCs w:val="18"/>
                <w:color w:val="auto"/>
              </w:rPr>
              <w:t>Provision (benefit) for income taxes</w:t>
            </w:r>
          </w:p>
        </w:tc>
        <w:tc>
          <w:tcPr>
            <w:tcW w:w="316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160" w:type="dxa"/>
            <w:vAlign w:val="bottom"/>
            <w:vMerge w:val="restart"/>
          </w:tcPr>
          <w:p>
            <w:pPr>
              <w:jc w:val="right"/>
              <w:ind w:right="1910"/>
              <w:spacing w:after="0"/>
              <w:rPr>
                <w:sz w:val="20"/>
                <w:szCs w:val="20"/>
                <w:color w:val="auto"/>
              </w:rPr>
            </w:pPr>
            <w:r>
              <w:rPr>
                <w:rFonts w:ascii="Arial" w:cs="Arial" w:eastAsia="Arial" w:hAnsi="Arial"/>
                <w:sz w:val="18"/>
                <w:szCs w:val="18"/>
                <w:color w:val="auto"/>
              </w:rPr>
              <w:t>18</w:t>
            </w: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2021 and 2020, the current provision (benefit) for state income taxes shown above includes regular state income tax, provisions for uncertain state income tax positions, the impact of state tax law changes and other similar adjustments.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estimated annual effective tax rate for 2021 includes the impact of permanent tax differences including but not limited to limits on deductible compensation, and valuation allowances.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currently believe that it is more-likely-than-not that a portion of our federal deferred tax assets will not be able to be utilized and we estimate the valuation allowance to be recorded during 2021 to be approximately $3.0 million. We have also determined it is more-likely-than-not that a portion of our state deferred tax assets will not be able to be utilized. However, we estimate a reduction in the related valuation allowance associated with these state deferred tax assets to be recorded during 2021 will be approximately $0.5 million.</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7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tax provision for the three months ended March 31, 2021 was minimal and the tax benefit for the three months ended March 31, 2020 was $0.3 million (2% benefit on pre-tax loss). For both periods, the effective tax rate is less than the statutory tax rate primarily due to the impact of the valuation allowances.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2017-2020 years remain open for all purposes of examination by the U.S. Internal Revenue Service and other major tax jurisdictions. Additionally, the 2013-2016 years remain subject to examination for determining the amount of net operating loss and other carryforwards.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and Series F Redeemable Preferred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2021, the Series E Redeemable Preferred had a 14% annual dividend rate and a participating right in dividends and liquidating distributions equal to 303,646 shares of common stock (participation rights value). Dividends accrue semi-annually in arrears and are compounded. Pursuant to the terms of the Series E Redeemable Preferred, the annual dividend rate increased 0.50% in April 2021 and will increase (a) by an additional 0.50% in April 2022 and (b) by an additional 1.0% in April 2023. The Series E Redeemable Preferred contains redemption features and a participation rights value that are being accounted for as derivative instruments and have been bifurcated from the Series E Redeemable Preferred as discussed in Note 6.</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the Series F Redeemable Preferred has voting rights to vote as a single class on all matters which the common stock have the right to vote and is entitled to a number of votes equal to 456,225 shares of our common stock.</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2"/>
          </w:tcPr>
          <w:p>
            <w:pPr>
              <w:spacing w:after="0"/>
              <w:rPr>
                <w:sz w:val="20"/>
                <w:szCs w:val="20"/>
                <w:color w:val="auto"/>
              </w:rPr>
            </w:pPr>
            <w:r>
              <w:rPr>
                <w:rFonts w:ascii="Arial" w:cs="Arial" w:eastAsia="Arial" w:hAnsi="Arial"/>
                <w:sz w:val="18"/>
                <w:szCs w:val="18"/>
                <w:color w:val="auto"/>
              </w:rPr>
              <w:t>Changes in our Series E and Series F Redeemable Preferred are as follows: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3"/>
        </w:trPr>
        <w:tc>
          <w:tcPr>
            <w:tcW w:w="17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440" w:type="dxa"/>
            <w:vAlign w:val="bottom"/>
            <w:gridSpan w:val="5"/>
          </w:tcPr>
          <w:p>
            <w:pPr>
              <w:jc w:val="center"/>
              <w:ind w:right="80"/>
              <w:spacing w:after="0"/>
              <w:rPr>
                <w:sz w:val="20"/>
                <w:szCs w:val="20"/>
                <w:color w:val="auto"/>
              </w:rPr>
            </w:pPr>
            <w:r>
              <w:rPr>
                <w:rFonts w:ascii="Arial" w:cs="Arial" w:eastAsia="Arial" w:hAnsi="Arial"/>
                <w:sz w:val="18"/>
                <w:szCs w:val="18"/>
                <w:color w:val="auto"/>
                <w:w w:val="87"/>
              </w:rPr>
              <w:t>Series E Redeemable Preferred</w:t>
            </w:r>
          </w:p>
        </w:tc>
      </w:tr>
      <w:tr>
        <w:trPr>
          <w:trHeight w:val="223"/>
        </w:trPr>
        <w:tc>
          <w:tcPr>
            <w:tcW w:w="170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rPr>
              <w:t>Shares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19"/>
                <w:szCs w:val="19"/>
                <w:color w:val="auto"/>
              </w:rPr>
            </w:pPr>
          </w:p>
        </w:tc>
      </w:tr>
      <w:tr>
        <w:trPr>
          <w:trHeight w:val="204"/>
        </w:trPr>
        <w:tc>
          <w:tcPr>
            <w:tcW w:w="170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440" w:type="dxa"/>
            <w:vAlign w:val="bottom"/>
            <w:gridSpan w:val="5"/>
          </w:tcPr>
          <w:p>
            <w:pPr>
              <w:jc w:val="center"/>
              <w:ind w:right="100"/>
              <w:spacing w:after="0"/>
              <w:rPr>
                <w:sz w:val="20"/>
                <w:szCs w:val="20"/>
                <w:color w:val="auto"/>
              </w:rPr>
            </w:pPr>
            <w:r>
              <w:rPr>
                <w:rFonts w:ascii="Arial" w:cs="Arial" w:eastAsia="Arial" w:hAnsi="Arial"/>
                <w:sz w:val="16"/>
                <w:szCs w:val="16"/>
                <w:color w:val="auto"/>
                <w:w w:val="92"/>
              </w:rPr>
              <w:t>(Dollars In Thousands)</w:t>
            </w:r>
          </w:p>
        </w:tc>
      </w:tr>
      <w:tr>
        <w:trPr>
          <w:trHeight w:val="235"/>
        </w:trPr>
        <w:tc>
          <w:tcPr>
            <w:tcW w:w="1700" w:type="dxa"/>
            <w:vAlign w:val="bottom"/>
          </w:tcPr>
          <w:p>
            <w:pPr>
              <w:spacing w:after="0"/>
              <w:rPr>
                <w:sz w:val="20"/>
                <w:szCs w:val="20"/>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2020</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272,101</w:t>
            </w:r>
          </w:p>
        </w:tc>
        <w:tc>
          <w:tcPr>
            <w:tcW w:w="80" w:type="dxa"/>
            <w:vAlign w:val="bottom"/>
            <w:shd w:val="clear" w:color="auto" w:fill="CFF0FC"/>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42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20"/>
                <w:szCs w:val="20"/>
                <w:color w:val="auto"/>
              </w:rPr>
            </w:pPr>
          </w:p>
        </w:tc>
      </w:tr>
      <w:tr>
        <w:trPr>
          <w:trHeight w:val="215"/>
        </w:trPr>
        <w:tc>
          <w:tcPr>
            <w:tcW w:w="1700" w:type="dxa"/>
            <w:vAlign w:val="bottom"/>
          </w:tcPr>
          <w:p>
            <w:pPr>
              <w:spacing w:after="0"/>
              <w:rPr>
                <w:sz w:val="18"/>
                <w:szCs w:val="18"/>
                <w:color w:val="auto"/>
              </w:rPr>
            </w:pPr>
          </w:p>
        </w:tc>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1700" w:type="dxa"/>
            <w:vAlign w:val="bottom"/>
          </w:tcPr>
          <w:p>
            <w:pPr>
              <w:spacing w:after="0"/>
              <w:rPr>
                <w:sz w:val="20"/>
                <w:szCs w:val="20"/>
                <w:color w:val="auto"/>
              </w:rPr>
            </w:pPr>
          </w:p>
        </w:tc>
        <w:tc>
          <w:tcPr>
            <w:tcW w:w="5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FF0FC"/>
          </w:tcPr>
          <w:p>
            <w:pPr>
              <w:spacing w:after="0"/>
              <w:rPr>
                <w:sz w:val="20"/>
                <w:szCs w:val="20"/>
                <w:color w:val="auto"/>
              </w:rPr>
            </w:pPr>
          </w:p>
        </w:tc>
      </w:tr>
      <w:tr>
        <w:trPr>
          <w:trHeight w:val="229"/>
        </w:trPr>
        <w:tc>
          <w:tcPr>
            <w:tcW w:w="1700" w:type="dxa"/>
            <w:vAlign w:val="bottom"/>
          </w:tcPr>
          <w:p>
            <w:pPr>
              <w:spacing w:after="0"/>
              <w:rPr>
                <w:sz w:val="19"/>
                <w:szCs w:val="19"/>
                <w:color w:val="auto"/>
              </w:rPr>
            </w:pPr>
          </w:p>
        </w:tc>
        <w:tc>
          <w:tcPr>
            <w:tcW w:w="5420" w:type="dxa"/>
            <w:vAlign w:val="bottom"/>
          </w:tcPr>
          <w:p>
            <w:pPr>
              <w:ind w:left="240"/>
              <w:spacing w:after="0"/>
              <w:rPr>
                <w:sz w:val="20"/>
                <w:szCs w:val="20"/>
                <w:color w:val="auto"/>
              </w:rPr>
            </w:pPr>
            <w:r>
              <w:rPr>
                <w:rFonts w:ascii="Arial" w:cs="Arial" w:eastAsia="Arial" w:hAnsi="Arial"/>
                <w:sz w:val="18"/>
                <w:szCs w:val="18"/>
                <w:color w:val="auto"/>
              </w:rPr>
              <w:t>Accumulated dividends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9,511</w:t>
            </w:r>
          </w:p>
        </w:tc>
        <w:tc>
          <w:tcPr>
            <w:tcW w:w="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March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282,123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Sales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Net Sales</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1, we primarily derive our revenues from the sales of various chemical products. The following table presents our net sales disaggregated by our principal markets, which disaggregation is consistent with other financial information utilized or provided outside of our condensed consolidated financial statements: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2860" w:type="dxa"/>
            <w:vAlign w:val="bottom"/>
            <w:gridSpan w:val="4"/>
          </w:tcPr>
          <w:p>
            <w:pPr>
              <w:jc w:val="center"/>
              <w:ind w:left="490"/>
              <w:spacing w:after="0"/>
              <w:rPr>
                <w:sz w:val="20"/>
                <w:szCs w:val="20"/>
                <w:color w:val="auto"/>
              </w:rPr>
            </w:pPr>
            <w:r>
              <w:rPr>
                <w:rFonts w:ascii="Arial" w:cs="Arial" w:eastAsia="Arial" w:hAnsi="Arial"/>
                <w:sz w:val="18"/>
                <w:szCs w:val="18"/>
                <w:color w:val="auto"/>
                <w:w w:val="90"/>
              </w:rPr>
              <w:t>Three Months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40" w:type="dxa"/>
            <w:vAlign w:val="bottom"/>
            <w:gridSpan w:val="3"/>
          </w:tcPr>
          <w:p>
            <w:pPr>
              <w:jc w:val="center"/>
              <w:ind w:right="387"/>
              <w:spacing w:after="0"/>
              <w:rPr>
                <w:sz w:val="20"/>
                <w:szCs w:val="20"/>
                <w:color w:val="auto"/>
              </w:rPr>
            </w:pPr>
            <w:r>
              <w:rPr>
                <w:rFonts w:ascii="Arial" w:cs="Arial" w:eastAsia="Arial" w:hAnsi="Arial"/>
                <w:sz w:val="18"/>
                <w:szCs w:val="18"/>
                <w:color w:val="auto"/>
                <w:w w:val="92"/>
              </w:rPr>
              <w:t>March 31,</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7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40" w:type="dxa"/>
            <w:vAlign w:val="bottom"/>
            <w:gridSpan w:val="3"/>
          </w:tcPr>
          <w:p>
            <w:pPr>
              <w:jc w:val="center"/>
              <w:ind w:right="387"/>
              <w:spacing w:after="0"/>
              <w:rPr>
                <w:sz w:val="20"/>
                <w:szCs w:val="20"/>
                <w:color w:val="auto"/>
              </w:rPr>
            </w:pPr>
            <w:r>
              <w:rPr>
                <w:rFonts w:ascii="Arial" w:cs="Arial" w:eastAsia="Arial" w:hAnsi="Arial"/>
                <w:sz w:val="16"/>
                <w:szCs w:val="16"/>
                <w:color w:val="auto"/>
                <w:w w:val="91"/>
              </w:rPr>
              <w:t>(In Thousands)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Agricultural products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44,913</w:t>
            </w:r>
          </w:p>
        </w:tc>
        <w:tc>
          <w:tcPr>
            <w:tcW w:w="130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41,458</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Industrial acids and other chemical products</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40,275</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35,206</w:t>
            </w: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Mining products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12,928</w:t>
            </w:r>
          </w:p>
        </w:tc>
        <w:tc>
          <w:tcPr>
            <w:tcW w:w="3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net sales</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98,116</w:t>
            </w:r>
          </w:p>
        </w:tc>
        <w:tc>
          <w:tcPr>
            <w:tcW w:w="3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83,411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most of our contracts have an original expected duration of one year or less, for our contracts with a duration greater than one year at contract inception, the average remaining expected duration was approximately 18 months at March 31, 2021.</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Liabilities associated with contracts with customers (contract liabilities) primarily relate to deferred revenue and customer deposits associated with cash payments received in advance from customers for volume shortfall charges and product shipments. We had approximately $2.7 million and $2.5 million of contract liabilities as of March 31, 2021 and December 31, 2020, respectively. For the three months ended March 31, 2021 and 2020, revenues of $1.0 million and $0.5 million, respectively, were recognized and included in the balance at the beginning of the respective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2021, we have three separate outstanding financing arrangements with an affiliate of LSB Funding as discussed in footnotes (D), (E) and</w:t>
      </w:r>
    </w:p>
    <w:p>
      <w:pPr>
        <w:spacing w:after="0" w:line="46" w:lineRule="exact"/>
        <w:rPr>
          <w:sz w:val="20"/>
          <w:szCs w:val="20"/>
          <w:color w:val="auto"/>
        </w:rPr>
      </w:pPr>
    </w:p>
    <w:p>
      <w:pPr>
        <w:ind w:firstLine="8"/>
        <w:spacing w:after="0" w:line="260" w:lineRule="auto"/>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 Note 4. Also, an affiliate of LSB Funding holds $50 million of our Senior Secured Notes discussed in footnote (B) of Note 4. In addition, LSB Funding holds all outstanding shares of the Series E and Series F Redeemable Preferred discussed in Note 8.</w:t>
      </w:r>
    </w:p>
    <w:p>
      <w:pPr>
        <w:spacing w:after="0" w:line="7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Golsen Holders and an immediate family member hold all outstanding shares of the Series B Preferred and Series D Preferred, which accumulated dividends on such shares totaled approximately $1.7 million at March 31, 2021.</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4"/>
          </w:tcPr>
          <w:p>
            <w:pPr>
              <w:jc w:val="center"/>
              <w:ind w:right="320"/>
              <w:spacing w:after="0"/>
              <w:rPr>
                <w:sz w:val="20"/>
                <w:szCs w:val="20"/>
                <w:color w:val="auto"/>
              </w:rPr>
            </w:pPr>
            <w:r>
              <w:rPr>
                <w:rFonts w:ascii="Arial" w:cs="Arial" w:eastAsia="Arial" w:hAnsi="Arial"/>
                <w:sz w:val="18"/>
                <w:szCs w:val="18"/>
                <w:color w:val="auto"/>
                <w:w w:val="90"/>
              </w:rPr>
              <w:t>Three Months Ended</w:t>
            </w:r>
          </w:p>
        </w:tc>
      </w:tr>
      <w:tr>
        <w:trPr>
          <w:trHeight w:val="229"/>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left="451"/>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80" w:type="dxa"/>
            <w:vAlign w:val="bottom"/>
          </w:tcPr>
          <w:p>
            <w:pPr>
              <w:spacing w:after="0"/>
              <w:rPr>
                <w:sz w:val="20"/>
                <w:szCs w:val="20"/>
                <w:color w:val="auto"/>
              </w:rPr>
            </w:pPr>
          </w:p>
        </w:tc>
      </w:tr>
      <w:tr>
        <w:trPr>
          <w:trHeight w:val="204"/>
        </w:trPr>
        <w:tc>
          <w:tcPr>
            <w:tcW w:w="5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4"/>
          </w:tcPr>
          <w:p>
            <w:pPr>
              <w:jc w:val="center"/>
              <w:ind w:right="340"/>
              <w:spacing w:after="0"/>
              <w:rPr>
                <w:sz w:val="20"/>
                <w:szCs w:val="20"/>
                <w:color w:val="auto"/>
              </w:rPr>
            </w:pPr>
            <w:r>
              <w:rPr>
                <w:rFonts w:ascii="Arial" w:cs="Arial" w:eastAsia="Arial" w:hAnsi="Arial"/>
                <w:sz w:val="16"/>
                <w:szCs w:val="16"/>
                <w:color w:val="auto"/>
                <w:w w:val="91"/>
              </w:rPr>
              <w:t>(In Thousands)</w:t>
            </w:r>
          </w:p>
        </w:tc>
      </w:tr>
      <w:tr>
        <w:trPr>
          <w:trHeight w:val="235"/>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refunds for:</w:t>
            </w: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29"/>
        </w:trPr>
        <w:tc>
          <w:tcPr>
            <w:tcW w:w="536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(332)</w:t>
            </w: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5360" w:type="dxa"/>
            <w:vAlign w:val="bottom"/>
          </w:tcPr>
          <w:p>
            <w:pPr>
              <w:ind w:left="240"/>
              <w:spacing w:after="0"/>
              <w:rPr>
                <w:sz w:val="20"/>
                <w:szCs w:val="20"/>
                <w:color w:val="auto"/>
              </w:rPr>
            </w:pPr>
            <w:r>
              <w:rPr>
                <w:rFonts w:ascii="Arial" w:cs="Arial" w:eastAsia="Arial" w:hAnsi="Arial"/>
                <w:sz w:val="18"/>
                <w:szCs w:val="18"/>
                <w:color w:val="auto"/>
              </w:rPr>
              <w:t>Accounts receivable, supplies and accounts payable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60" w:type="dxa"/>
            <w:vAlign w:val="bottom"/>
          </w:tcPr>
          <w:p>
            <w:pPr>
              <w:ind w:left="380"/>
              <w:spacing w:after="0"/>
              <w:rPr>
                <w:sz w:val="20"/>
                <w:szCs w:val="20"/>
                <w:color w:val="auto"/>
              </w:rPr>
            </w:pPr>
            <w:r>
              <w:rPr>
                <w:rFonts w:ascii="Arial" w:cs="Arial" w:eastAsia="Arial" w:hAnsi="Arial"/>
                <w:sz w:val="18"/>
                <w:szCs w:val="18"/>
                <w:color w:val="auto"/>
              </w:rPr>
              <w:t>associated with additions of property, plant and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18,091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20,229</w:t>
            </w:r>
          </w:p>
        </w:tc>
        <w:tc>
          <w:tcPr>
            <w:tcW w:w="80" w:type="dxa"/>
            <w:vAlign w:val="bottom"/>
          </w:tcPr>
          <w:p>
            <w:pPr>
              <w:spacing w:after="0"/>
              <w:rPr>
                <w:sz w:val="20"/>
                <w:szCs w:val="20"/>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Dividends accrued on Series E Redeemable Preferred</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9,511</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8,307</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511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March 31, 2021 condensed consolidated financial statements included elsewhere in this report. A reference to a “Note” relates to a note in the accompanying notes to the condensed consolidated financial statements. This MD&amp;A reflects our operating results, unless otherwise noted. Certain statements contained in this MD&amp;A may be deemed to be forward-looking statements. See “Special Note Regarding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LSB is headquartered in Oklahoma City, Oklahoma and through its subsidiaries, manufactures and sells chemical products for the agricultural, mining, and industrial markets. We own and operate facilities in Cherokee, Alabama, El Dorado, Arkansas and Pryor, Oklahoma, and operate a facility on behalf of a global chemical company in Baytown, Texas. Our products are sold through distributors and directly to end customers primarily throughout the U.S. and parts of Mexico and Canada.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Initiatives for 2021</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ind w:left="540" w:hanging="357"/>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Continue Focusing on Becoming a “Best in Class” Chemical Plant Operator with Respect to Safe, Reliable Operations that Produce the Highest Quality Products.</w:t>
      </w:r>
    </w:p>
    <w:p>
      <w:pPr>
        <w:spacing w:after="0" w:line="75"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believe that high safety standards are critical and a precursor to improved plant performance. With that in mind, we have implemented and are currently managing enhanced safety programs at our facilities that focus on improving our safety culture, which will reduce risks and improve our safety performance.</w:t>
      </w:r>
    </w:p>
    <w:p>
      <w:pPr>
        <w:spacing w:after="0" w:line="75" w:lineRule="exact"/>
        <w:rPr>
          <w:rFonts w:ascii="Arial" w:cs="Arial" w:eastAsia="Arial" w:hAnsi="Arial"/>
          <w:sz w:val="18"/>
          <w:szCs w:val="18"/>
          <w:color w:val="auto"/>
        </w:rPr>
      </w:pPr>
    </w:p>
    <w:p>
      <w:pPr>
        <w:jc w:val="both"/>
        <w:ind w:left="1260" w:hanging="375"/>
        <w:spacing w:after="0" w:line="279" w:lineRule="auto"/>
        <w:tabs>
          <w:tab w:leader="none" w:pos="1260" w:val="left"/>
        </w:tabs>
        <w:numPr>
          <w:ilvl w:val="1"/>
          <w:numId w:val="15"/>
        </w:numPr>
        <w:rPr>
          <w:rFonts w:ascii="Arial" w:cs="Arial" w:eastAsia="Arial" w:hAnsi="Arial"/>
          <w:sz w:val="17"/>
          <w:szCs w:val="17"/>
          <w:color w:val="auto"/>
        </w:rPr>
      </w:pPr>
      <w:r>
        <w:rPr>
          <w:rFonts w:ascii="Arial" w:cs="Arial" w:eastAsia="Arial" w:hAnsi="Arial"/>
          <w:sz w:val="17"/>
          <w:szCs w:val="17"/>
          <w:color w:val="auto"/>
        </w:rPr>
        <w:t>We have several initiatives underway that we believe will improve the overall reliability of our plants and allow us to produce more products for sale while lowering our cost of production. Those initiatives are focused on, operations excellence through enhancements in the operating procedure program, asset health monitoring optimization and asset care excellence maintenance programs, and product quality programs focused on providing products to the customer that meet the highest quality standards.</w:t>
      </w:r>
    </w:p>
    <w:p>
      <w:pPr>
        <w:spacing w:after="0" w:line="63" w:lineRule="exact"/>
        <w:rPr>
          <w:rFonts w:ascii="Arial" w:cs="Arial" w:eastAsia="Arial" w:hAnsi="Arial"/>
          <w:sz w:val="17"/>
          <w:szCs w:val="17"/>
          <w:color w:val="auto"/>
        </w:rPr>
      </w:pPr>
    </w:p>
    <w:p>
      <w:pPr>
        <w:jc w:val="both"/>
        <w:ind w:left="540" w:hanging="357"/>
        <w:spacing w:after="0" w:line="263"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Continue Broadening the Distribution of our Products. </w:t>
      </w:r>
      <w:r>
        <w:rPr>
          <w:rFonts w:ascii="Arial" w:cs="Arial" w:eastAsia="Arial" w:hAnsi="Arial"/>
          <w:sz w:val="18"/>
          <w:szCs w:val="18"/>
          <w:color w:val="auto"/>
        </w:rPr>
        <w:t>To further leverage our plants current production capacity, we are continuing to expand the</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our industrial and mining products by partnering with customers to take product into different markets both within and outside the U.S.</w:t>
      </w:r>
    </w:p>
    <w:p>
      <w:pPr>
        <w:spacing w:after="0" w:line="75"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October 2020, we announced a new long-term nitric acid supply contract with a customer. Under the agreement, we agreed to supply between 70,000 to 100,000 tons of nitric acid per year, with sales beginning in the first quarter of 2021. This contract advances our focus to leverage underutilized nitric acid production capacity at our El Dorado Facility.</w:t>
      </w:r>
    </w:p>
    <w:p>
      <w:pPr>
        <w:spacing w:after="0" w:line="75" w:lineRule="exact"/>
        <w:rPr>
          <w:rFonts w:ascii="Arial" w:cs="Arial" w:eastAsia="Arial" w:hAnsi="Arial"/>
          <w:sz w:val="18"/>
          <w:szCs w:val="18"/>
          <w:color w:val="auto"/>
        </w:rPr>
      </w:pPr>
    </w:p>
    <w:p>
      <w:pPr>
        <w:ind w:left="1260" w:hanging="375"/>
        <w:spacing w:after="0" w:line="277"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We also executed a new contract to capture and sell carbon dioxide out of our El Dorado Facility, where our customer is building a guest plant. We expect to begin sales under this agreement in the fourth quarter of 2021.</w:t>
      </w:r>
    </w:p>
    <w:p>
      <w:pPr>
        <w:spacing w:after="0" w:line="62" w:lineRule="exact"/>
        <w:rPr>
          <w:rFonts w:ascii="Arial" w:cs="Arial" w:eastAsia="Arial" w:hAnsi="Arial"/>
          <w:sz w:val="18"/>
          <w:szCs w:val="18"/>
          <w:color w:val="auto"/>
        </w:rPr>
      </w:pPr>
    </w:p>
    <w:p>
      <w:pPr>
        <w:jc w:val="both"/>
        <w:ind w:left="1260" w:hanging="375"/>
        <w:spacing w:after="0" w:line="263" w:lineRule="auto"/>
        <w:tabs>
          <w:tab w:leader="none" w:pos="12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Additionally, early in the second quarter of 2020, we completed a key storage project that is allowing us to further maximize our production of HDAN at our El Dorado Facility, which has, and we expect will continue to enable us to achieve higher production, a lower cost per ton and increased sales of that product during periods of more attractive pricing.</w:t>
      </w:r>
    </w:p>
    <w:p>
      <w:pPr>
        <w:spacing w:after="0" w:line="71" w:lineRule="exact"/>
        <w:rPr>
          <w:rFonts w:ascii="Arial" w:cs="Arial" w:eastAsia="Arial" w:hAnsi="Arial"/>
          <w:sz w:val="18"/>
          <w:szCs w:val="18"/>
          <w:color w:val="auto"/>
        </w:rPr>
      </w:pPr>
    </w:p>
    <w:p>
      <w:pPr>
        <w:jc w:val="both"/>
        <w:ind w:left="540" w:hanging="357"/>
        <w:spacing w:after="0" w:line="291"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Development of a Strategy to Capitalize on Ammonia Opportunities in a Renewable Energy Focused Economy</w:t>
      </w:r>
      <w:r>
        <w:rPr>
          <w:rFonts w:ascii="Arial" w:cs="Arial" w:eastAsia="Arial" w:hAnsi="Arial"/>
          <w:sz w:val="16"/>
          <w:szCs w:val="16"/>
          <w:b w:val="1"/>
          <w:b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As there is a heightened global</w:t>
      </w:r>
      <w:r>
        <w:rPr>
          <w:rFonts w:ascii="Arial" w:cs="Arial" w:eastAsia="Arial" w:hAnsi="Arial"/>
          <w:sz w:val="16"/>
          <w:szCs w:val="16"/>
          <w:i w:val="1"/>
          <w:iCs w:val="1"/>
          <w:color w:val="auto"/>
        </w:rPr>
        <w:t xml:space="preserve"> </w:t>
      </w:r>
      <w:r>
        <w:rPr>
          <w:rFonts w:ascii="Arial" w:cs="Arial" w:eastAsia="Arial" w:hAnsi="Arial"/>
          <w:sz w:val="16"/>
          <w:szCs w:val="16"/>
          <w:color w:val="auto"/>
        </w:rPr>
        <w:t>focus on significantly increasing the use of renewable energy to reduce carbon emissions, we are currently developing a strategy to enter the market for low-carbon or no carbon ammonia, a rapidly emerging trend referred to as “blue-green ammonia.” Many studies have shown that ammonia is the best carrier for hydrogen, given higher energy content and relative ease of storage via hydrogen gas. Ammonia can also be used as zero carbon fuel in the maritime sector, a carbon free fertilizer and as a coal substitute in energy constrained countries. If ammonia were to be used for energy consumption globally, this would equate to five times the amount of current global annual production of ammonia, or approximately 50 times the current seaborne trade. We believe we are well-placed to partake in this opportunity given our ability to retrofit our existing plants rather than investing in greenfield projects, thereby reducing the time to market and the upfront capital expenditures, which will help the overall economics.</w:t>
      </w:r>
    </w:p>
    <w:p>
      <w:pPr>
        <w:spacing w:after="0" w:line="55" w:lineRule="exact"/>
        <w:rPr>
          <w:rFonts w:ascii="Arial" w:cs="Arial" w:eastAsia="Arial" w:hAnsi="Arial"/>
          <w:sz w:val="16"/>
          <w:szCs w:val="16"/>
          <w:color w:val="auto"/>
        </w:rPr>
      </w:pPr>
    </w:p>
    <w:p>
      <w:pPr>
        <w:ind w:left="540" w:right="20" w:hanging="357"/>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Improve Our Capital Structure and Overall Cost of Capital. </w:t>
      </w:r>
      <w:r>
        <w:rPr>
          <w:rFonts w:ascii="Arial" w:cs="Arial" w:eastAsia="Arial" w:hAnsi="Arial"/>
          <w:sz w:val="18"/>
          <w:szCs w:val="18"/>
          <w:color w:val="auto"/>
        </w:rPr>
        <w:t>We are actively seeking ways to improve our capital structure and reduce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cost of capital. We believe that continued improvement in operating performance combined with improving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ind w:left="540" w:right="20"/>
        <w:spacing w:after="0" w:line="277" w:lineRule="auto"/>
        <w:rPr>
          <w:sz w:val="20"/>
          <w:szCs w:val="20"/>
          <w:color w:val="auto"/>
        </w:rPr>
      </w:pPr>
      <w:r>
        <w:rPr>
          <w:rFonts w:ascii="Arial" w:cs="Arial" w:eastAsia="Arial" w:hAnsi="Arial"/>
          <w:sz w:val="18"/>
          <w:szCs w:val="18"/>
          <w:color w:val="auto"/>
        </w:rPr>
        <w:t>fundamentals in the agriculture market and the continued economic recovery from the COVID-19 pandemic, will be a benefit in achieving those efforts.</w:t>
      </w:r>
    </w:p>
    <w:p>
      <w:pPr>
        <w:spacing w:after="0" w:line="62" w:lineRule="exact"/>
        <w:rPr>
          <w:sz w:val="20"/>
          <w:szCs w:val="20"/>
          <w:color w:val="auto"/>
        </w:rPr>
      </w:pPr>
    </w:p>
    <w:p>
      <w:pPr>
        <w:jc w:val="both"/>
        <w:ind w:left="540" w:hanging="357"/>
        <w:spacing w:after="0" w:line="263"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Evaluate Acquisitions of Strategic Assets or Companies. </w:t>
      </w:r>
      <w:r>
        <w:rPr>
          <w:rFonts w:ascii="Arial" w:cs="Arial" w:eastAsia="Arial" w:hAnsi="Arial"/>
          <w:sz w:val="18"/>
          <w:szCs w:val="18"/>
          <w:color w:val="auto"/>
        </w:rPr>
        <w:t>We are evaluating opportunities to acquire strategic assets or companies, mergers with</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and investment in additional production capacity where we believe those acquisitions, mergers or expansion of production capacity will enhance the value of the Company and provide appropriate returns.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results that we expect or desire.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Agricultural Spring Season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the latter part of 2020, the corn market continues to experience positive indicators pushing corn prices to an eight-year high. Chinese demand for corn is strong as China continues to rebuild their swine population following the swine flu, which decimated the swine population several years ago. This demand for feed is expected to remain robust as China has moved to large institutional hog farms for which the demand for feed is significant. Secondly, approximately 40% of domestic corn demand comes from ethanol, an additive to gasoline, which has continued to rebound since the second quarter of 2020 as vaccines are rolled out, stay-at-home orders are lifted and demand for gasoline continues to improve. As corn prices increase, fertilizers generally follow suit as growers seek to apply more fertilizer to increase yields. Furthermore, farm income last year, aided by government subsidies, was at its highest levels since 2014, which further supports fertilizer pricing. Also, as discussed below, during February 2021, many areas of the U.S. experienced severe cold weather, negatively impacting the availability of natural gas while the demand for natural gas increased from electrical utilities, businesses and residents in certain regions of the country. These factors resulted in a shortage of natural gas, causing prices for the commodity to rise significantly and industrial users to be severely curtailed on their requirements. Many nitrogen producers were forced or elected to idle their plants. With the supply of nitrogen products in the U.S. tight prior to the cold weather, we believe that these recent widespread production disruptions, coupled with unplanned outages in the global market, have substantially reduced the available supply of nitrogen to the U.S. market and further increased the fertilizer pricing outlook in the near term. Overall, improvements in fertilizer demand and pricing are being somewhat tempered by higher natural gas costs thus far in 2021 as compared to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See a more detailed discussion below under “Key Industry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February Weather Event, Natural Gas Curtailment and Settlement of Natural Gas Contracts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12, 2021, the Pryor Facility was taken out of service due to extreme cold weather that caused a surge in natural gas prices in the region, along with the curtailment of gas distribution by the operator of the pipeline that supplies natural gas to the facility. On February 21, 2021, this facility began a phased restart and the facility’s ammonia plant was in production shortly thereafter.</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Also, as a result of unprecedented cold weather conditions, on February 17, 2021, the primary natural gas supplier to our El Dorado Facility asserted a claim of force majeure and materially restricted the supply of gas to the facility. However, effective February 23, 2021, the force majeure was lifted, and the facility’s ammonia plant was in production shortly thereafter.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weather across the middle of the country improved and temperatures warmed, natural gas prices have normalized, and supply volumes have been restored to levels required for full operation of our facilities.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Notably, our Cherokee Facility was not materially impacted by the extreme cold weather and related natural gas price and supply issues and operated at targeted levels throughout February.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mitigate a portion of the commodity price risk associated with natural gas, we periodically enter into natural gas forward contracts and volume purchase commitments that locked in the cost of certain volumes of natural gas. Prior to this weather event, we had both types of arrangements. During the first quarter of 2021, we settled all of our natural gas forward contracts and certain volume purchase commitments and recognized a realized gain of approximately $6.8 million, which is classified as a reduction to cost of sales. As a result of the settlement of these natural gas contracts, we were able to significantly mitigate the impact from lost production, lost sales and higher costs resulting from the impact of the natural gas shortage caused by the February cold weather event.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Agricultural</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Sales of our agricultural products were approximately 46% of our total net sales for the first quarter of 2021. The </w:t>
      </w:r>
      <w:r>
        <w:rPr>
          <w:rFonts w:ascii="Arial" w:cs="Arial" w:eastAsia="Arial" w:hAnsi="Arial"/>
          <w:sz w:val="18"/>
          <w:szCs w:val="18"/>
          <w:color w:val="2E2E2E"/>
        </w:rPr>
        <w:t>price at which our agricultural products</w:t>
      </w:r>
      <w:r>
        <w:rPr>
          <w:rFonts w:ascii="Arial" w:cs="Arial" w:eastAsia="Arial" w:hAnsi="Arial"/>
          <w:sz w:val="18"/>
          <w:szCs w:val="18"/>
          <w:color w:val="auto"/>
        </w:rPr>
        <w:t xml:space="preserve"> </w:t>
      </w:r>
      <w:r>
        <w:rPr>
          <w:rFonts w:ascii="Arial" w:cs="Arial" w:eastAsia="Arial" w:hAnsi="Arial"/>
          <w:sz w:val="18"/>
          <w:szCs w:val="18"/>
          <w:color w:val="2E2E2E"/>
        </w:rPr>
        <w:t>are ultimately sold depends on numerous factors, including the supply and demand for nitrogen fertilizers which,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2E2E2E"/>
        </w:rPr>
        <w:t>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including the impact from the Phase 1 trade agreement between the U.S. and China. These factors can affect, in addition to selling prices, the level of inventories in the market which can cause price volatility and affect product margins.</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a farmer’s perspective, 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changes in corn prices, as well as soybean, cotton and wheat prices, can affect the number of acres of corn planted in a given year, and the number of acres planted will drive the level of nitrogen fertilizer consumption, likely affecting prices.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March 2021 USDA annual Prospective Planting report currently indicates farmers intend to plant 91 million acres of corn in 2021, slightly higher than in 2020, and certain industry sources maintain an estimated range of 91 to 93 million corn acres. As it relates to the 2021 Crop as noted in the table below, the USDA estimates the U.S. ending stocks to be approximately 34 million metric tons, a 29.7% decrease from a year ago.</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April 2021 estimates are associated with the corn market: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40" w:type="dxa"/>
            <w:vAlign w:val="bottom"/>
          </w:tcPr>
          <w:p>
            <w:pPr>
              <w:spacing w:after="0"/>
              <w:rPr>
                <w:sz w:val="16"/>
                <w:szCs w:val="16"/>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2021 Crop</w:t>
            </w: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2020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2019 Crop</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(2020 Harvest)</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(2019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(2018 Harvest)</w:t>
            </w: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5"/>
        </w:trPr>
        <w:tc>
          <w:tcPr>
            <w:tcW w:w="3540" w:type="dxa"/>
            <w:vAlign w:val="bottom"/>
            <w:vMerge w:val="restart"/>
          </w:tcPr>
          <w:p>
            <w:pPr>
              <w:spacing w:after="0"/>
              <w:rPr>
                <w:sz w:val="20"/>
                <w:szCs w:val="20"/>
                <w:color w:val="auto"/>
              </w:rPr>
            </w:pPr>
            <w:r>
              <w:rPr>
                <w:rFonts w:ascii="Arial" w:cs="Arial" w:eastAsia="Arial" w:hAnsi="Arial"/>
                <w:sz w:val="18"/>
                <w:szCs w:val="18"/>
                <w:color w:val="auto"/>
              </w:rPr>
              <w:t xml:space="preserve">U.S. Area Planted </w:t>
            </w:r>
            <w:r>
              <w:rPr>
                <w:rFonts w:ascii="Arial" w:cs="Arial" w:eastAsia="Arial" w:hAnsi="Arial"/>
                <w:sz w:val="14"/>
                <w:szCs w:val="14"/>
                <w:i w:val="1"/>
                <w:iCs w:val="1"/>
                <w:color w:val="auto"/>
              </w:rPr>
              <w:t>(Million acres)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April Report (1)</w:t>
            </w:r>
          </w:p>
        </w:tc>
        <w:tc>
          <w:tcPr>
            <w:tcW w:w="24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April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(2)</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April Report (1)</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 (3)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90.8</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89.7</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1400" w:type="dxa"/>
            <w:vAlign w:val="bottom"/>
          </w:tcPr>
          <w:p>
            <w:pPr>
              <w:jc w:val="right"/>
              <w:spacing w:after="0"/>
              <w:rPr>
                <w:sz w:val="20"/>
                <w:szCs w:val="20"/>
                <w:color w:val="auto"/>
              </w:rPr>
            </w:pPr>
            <w:r>
              <w:rPr>
                <w:rFonts w:ascii="Arial" w:cs="Arial" w:eastAsia="Arial" w:hAnsi="Arial"/>
                <w:sz w:val="18"/>
                <w:szCs w:val="18"/>
                <w:color w:val="auto"/>
              </w:rPr>
              <w:t>88.9</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Yield per Acre </w:t>
            </w:r>
            <w:r>
              <w:rPr>
                <w:rFonts w:ascii="Arial" w:cs="Arial" w:eastAsia="Arial" w:hAnsi="Arial"/>
                <w:sz w:val="14"/>
                <w:szCs w:val="14"/>
                <w:i w:val="1"/>
                <w:iCs w:val="1"/>
                <w:color w:val="auto"/>
              </w:rPr>
              <w:t>(Bushels)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172.0</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U.S. Production </w:t>
            </w:r>
            <w:r>
              <w:rPr>
                <w:rFonts w:ascii="Arial" w:cs="Arial" w:eastAsia="Arial" w:hAnsi="Arial"/>
                <w:sz w:val="14"/>
                <w:szCs w:val="14"/>
                <w:i w:val="1"/>
                <w:iCs w:val="1"/>
                <w:color w:val="auto"/>
              </w:rPr>
              <w:t>(Million bushels)</w:t>
            </w:r>
          </w:p>
        </w:tc>
        <w:tc>
          <w:tcPr>
            <w:tcW w:w="1380" w:type="dxa"/>
            <w:vAlign w:val="bottom"/>
          </w:tcPr>
          <w:p>
            <w:pPr>
              <w:jc w:val="right"/>
              <w:spacing w:after="0"/>
              <w:rPr>
                <w:sz w:val="20"/>
                <w:szCs w:val="20"/>
                <w:color w:val="auto"/>
              </w:rPr>
            </w:pPr>
            <w:r>
              <w:rPr>
                <w:rFonts w:ascii="Arial" w:cs="Arial" w:eastAsia="Arial" w:hAnsi="Arial"/>
                <w:sz w:val="18"/>
                <w:szCs w:val="18"/>
                <w:color w:val="auto"/>
              </w:rPr>
              <w:t>14,182</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13,620</w:t>
            </w:r>
          </w:p>
        </w:tc>
        <w:tc>
          <w:tcPr>
            <w:tcW w:w="2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400" w:type="dxa"/>
            <w:vAlign w:val="bottom"/>
          </w:tcPr>
          <w:p>
            <w:pPr>
              <w:jc w:val="right"/>
              <w:spacing w:after="0"/>
              <w:rPr>
                <w:sz w:val="20"/>
                <w:szCs w:val="20"/>
                <w:color w:val="auto"/>
              </w:rPr>
            </w:pPr>
            <w:r>
              <w:rPr>
                <w:rFonts w:ascii="Arial" w:cs="Arial" w:eastAsia="Arial" w:hAnsi="Arial"/>
                <w:sz w:val="18"/>
                <w:szCs w:val="18"/>
                <w:color w:val="auto"/>
              </w:rPr>
              <w:t>14,340</w:t>
            </w:r>
          </w:p>
        </w:tc>
        <w:tc>
          <w:tcPr>
            <w:tcW w:w="2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U.S. Ending Stocks </w:t>
            </w:r>
            <w:r>
              <w:rPr>
                <w:rFonts w:ascii="Arial" w:cs="Arial" w:eastAsia="Arial" w:hAnsi="Arial"/>
                <w:sz w:val="14"/>
                <w:szCs w:val="14"/>
                <w:i w:val="1"/>
                <w:iCs w:val="1"/>
                <w:color w:val="auto"/>
              </w:rPr>
              <w:t>(Million metric tons)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w:t>
            </w:r>
          </w:p>
        </w:tc>
        <w:tc>
          <w:tcPr>
            <w:tcW w:w="2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(29.7%)</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w:t>
            </w:r>
          </w:p>
        </w:tc>
        <w:tc>
          <w:tcPr>
            <w:tcW w:w="24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 xml:space="preserve">World Ending Stocks </w:t>
            </w:r>
            <w:r>
              <w:rPr>
                <w:rFonts w:ascii="Arial" w:cs="Arial" w:eastAsia="Arial" w:hAnsi="Arial"/>
                <w:sz w:val="14"/>
                <w:szCs w:val="14"/>
                <w:i w:val="1"/>
                <w:iCs w:val="1"/>
                <w:color w:val="auto"/>
              </w:rPr>
              <w:t>(Million metric tons)</w:t>
            </w:r>
          </w:p>
        </w:tc>
        <w:tc>
          <w:tcPr>
            <w:tcW w:w="1380" w:type="dxa"/>
            <w:vAlign w:val="bottom"/>
          </w:tcPr>
          <w:p>
            <w:pPr>
              <w:jc w:val="right"/>
              <w:spacing w:after="0"/>
              <w:rPr>
                <w:sz w:val="20"/>
                <w:szCs w:val="20"/>
                <w:color w:val="auto"/>
              </w:rPr>
            </w:pPr>
            <w:r>
              <w:rPr>
                <w:rFonts w:ascii="Arial" w:cs="Arial" w:eastAsia="Arial" w:hAnsi="Arial"/>
                <w:sz w:val="18"/>
                <w:szCs w:val="18"/>
                <w:color w:val="auto"/>
              </w:rPr>
              <w:t>283.9</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303.0</w:t>
            </w:r>
          </w:p>
        </w:tc>
        <w:tc>
          <w:tcPr>
            <w:tcW w:w="2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1400" w:type="dxa"/>
            <w:vAlign w:val="bottom"/>
          </w:tcPr>
          <w:p>
            <w:pPr>
              <w:jc w:val="right"/>
              <w:spacing w:after="0"/>
              <w:rPr>
                <w:sz w:val="20"/>
                <w:szCs w:val="20"/>
                <w:color w:val="auto"/>
              </w:rPr>
            </w:pPr>
            <w:r>
              <w:rPr>
                <w:rFonts w:ascii="Arial" w:cs="Arial" w:eastAsia="Arial" w:hAnsi="Arial"/>
                <w:sz w:val="18"/>
                <w:szCs w:val="18"/>
                <w:color w:val="auto"/>
              </w:rPr>
              <w:t>321.1</w:t>
            </w:r>
          </w:p>
        </w:tc>
        <w:tc>
          <w:tcPr>
            <w:tcW w:w="2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740" w:hanging="368"/>
        <w:spacing w:after="0" w:line="254"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Information obtained from WASDE reports dated April 9, 2021 (“April Report”) for the 2020/2021 (“2021 Crop”), 2019/2020 (“2020 Crop”) and 2018/2019 (“2019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spacing w:after="0" w:line="2"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percentage change between the 2021 Crop amounts compared to the 2020 Crop amounts.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percentage change between the 2021 Crop amounts compared to the 2019 Crop amounts.</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a demand perspective for 2021, since the USDA has significantly decreased ending corn stocks and only slightly increased the number corn acres to be planted, coupled with increasing export volumes primarily to China, drought conditions for certain areas in South America, favorable 2020 grower income and improving demand for ethanol, current and projected corn prices have elevated to prices not seen in eight years, which has had a positive impact on fertilizer demand and prices for the spring planting season.</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gasoline has 10% ethanol content. Ethanol is commonly made from corn and ethanol production is the largest user of U.S. corn, representing roughly 40% of total U.S. corn demand.</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available U.S. supply of ammonia and other nitrogen products has tightened in 2021 to date, primarily as the result of higher demand for such products, in addition to the idling of many nitrogen plants in February 2021 due to the severe cold weather discussed above under “Recent Business Developments.”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these factors discussed above, we have experienced a price rally for fertilizers over the last several months, which we expect will continue through the spring planting season.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Industrial and Mining</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of our industrial products were approximately 41% of our total net sales for the first quarter of 2021. Our industrial products sales volumes are dependent upon general economic conditions primarily in the housing, automotive, and paper industries. According to the American Chemistry Council, the U.S. economic indicators are improving and pointing towards continued improvement in the markets we serve. Our sales prices generally vary with the market price of ammonia or natural gas, as applicable, in our pricing arrangements with customers.</w:t>
      </w:r>
    </w:p>
    <w:p>
      <w:pPr>
        <w:spacing w:after="0" w:line="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of our mining products were approximately 13% of our total net sales for the first quarter of 2021. Our mining products are LDAN and AN solution, which are primary used as AN fuel oil and specialty emulsions for usage in the quarry and the construction industries, for metals mining, and to a lesser extent, for coal. In our mining markets, our sales volumes are typically driven by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changes in the overall North American consumption levels of mining products that can be impacted by weather. Metals prices continue to improve in 2021 as producers continue to extract as much as possible. This includes an increase in copper mining, driven primarily by demand for electric vehicles. For 2021, the EIA is projecting a 9% increase in U.S. coal production driven by a forecasted 39% increase in natural gas prices for electricity generators, making coal more competitive in the electric power sector. We believe our plants are well located to support the more stable quarry and construction industries and the metals mining industries.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Farmer Economics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demand for fertilizer is affected by the aggregate crop planting decisions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historically have purchased natural gas either on the spot market, through forward purchase contracts, or a combination of both and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The following table shows the volume of natural gas we purchased and the average cost per MMBtu:</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4"/>
          </w:tcPr>
          <w:p>
            <w:pPr>
              <w:jc w:val="center"/>
              <w:ind w:left="51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r>
              <w:rPr>
                <w:rFonts w:ascii="Arial" w:cs="Arial" w:eastAsia="Arial" w:hAnsi="Arial"/>
                <w:sz w:val="15"/>
                <w:szCs w:val="15"/>
                <w:color w:val="auto"/>
              </w:rPr>
              <w:t>(1)</w:t>
            </w:r>
          </w:p>
        </w:tc>
        <w:tc>
          <w:tcPr>
            <w:tcW w:w="1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w:t>
            </w:r>
          </w:p>
        </w:tc>
        <w:tc>
          <w:tcPr>
            <w:tcW w:w="1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13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20" w:hanging="369"/>
        <w:spacing w:after="0" w:line="263"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The natural gas average cost excludes a gain of approximately $6.8 million associated with the settlements of natural gas contracts and volume purchase commitments discussed above under “Recent Business Developments”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was imported. Therefore, nitrogen fertilizers prices in the U.S. are influenced by the cost to transport product from exporting countries, giving domestic producers who transport shorter distances an advantage. However, we continue to evaluate the recent rising costs of rail and truck freight domestically. Since the Magellan ammonia pipeline was permanently shut down in 2020, certain Oklahoma and Texas producers that relied on the pipeline to transport their ammonia are relying on other transportation modes, primarily trucks, but also rail and barge transport. As a result of increases in demand for trucks to transport ammonia, primarily during the spring and fall planting seasons, higher transportation costs have and could continue to impact our margins, if we were unable to fully pass through these costs to our customers. As a result, we continue to evaluate supply chain efficiencies to reduce or counter the impact of higher logistics costs.</w:t>
      </w:r>
    </w:p>
    <w:p>
      <w:pPr>
        <w:spacing w:after="0" w:line="69" w:lineRule="exact"/>
        <w:rPr>
          <w:sz w:val="20"/>
          <w:szCs w:val="20"/>
          <w:color w:val="auto"/>
        </w:rPr>
      </w:pPr>
    </w:p>
    <w:p>
      <w:pPr>
        <w:jc w:val="center"/>
        <w:ind w:right="932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Consistent, reliable and safe operations at our chemical plants are critical to our financial performance and results of operations. The financial effects of planned downtime at our plants, including Turnarounds (primarily associated with our ammonia plants),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Our Cherokee Facility is currently on a three-year ammonia plant Turnaround cycle with the next ammonia plant Turnaround planned in the third quarter of 2021.</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El Dorado and Pryor Facilities are currently on a three-year ammonia plant Turnaround cycle with both currently scheduled for their next ammonia plant Turnarounds in the third quarter of 2022.</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Ammonia Production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Ammonia is the basic product used to produce all of our upgraded products. The ammonia production rates of our plants affect the total cost per ton of each product produced and the overall sales of our products.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2021, we are targeting total ammonia production of approximately 830,000 tons to 850,000 tons despite a 30-day Turnaround at our Cherokee Facility, which will lower ammonia production during the third quarter by approximately 15,000 tons.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focus on continuous improvement in reliability as discussed in key operating initiatives will result in year over year improvement in ammonia production for 2021.</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Forward Sales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are agreed upon, with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First Quarter of 2021</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consolidated net sales for the first quarter of 2021 were $98.1 million compared to $83.4 million for the same period in 2020. Our consolidated operating loss was $0.5 million compared to $7.0 million for the same period in 2020. The items impacting our operating results are discussed in more detail below and under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First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Prices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For the first quarter of 2021, average agricultural selling prices for our ammonia increased 18% while UAN and HDAN selling prices increased slightly compared to the first quarter of 2020. As discussed above under “Forward Sales Contracts”, our selling prices were below spot market prices since most of these sales were pursuant to forward sales contracts during the first quarter of 2021. Ammonia prices have improved due to contracted inventory levels in North America driven by higher demand and from numerous plant outages caused primarily by the </w:t>
      </w:r>
      <w:r>
        <w:rPr>
          <w:rFonts w:ascii="Arial" w:cs="Arial" w:eastAsia="Arial" w:hAnsi="Arial"/>
          <w:sz w:val="16"/>
          <w:szCs w:val="16"/>
          <w:color w:val="auto"/>
          <w:highlight w:val="white"/>
        </w:rPr>
        <w:t>extreme cold weather event during February.</w:t>
      </w:r>
    </w:p>
    <w:p>
      <w:pPr>
        <w:spacing w:after="0" w:line="4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the first three months of 2021, average industrial selling prices for most of our products were higher compared to the same period of 2020, primarily driven by the $98 per metric ton increase in the Tampa Ammonia benchmark price, as many of our industrial contracts are indexed to the Tampa Ammonia benchmark price. As for our mining products, average selling prices for our products increased as mining activity improves in addition to certain of our mining contracts are linked to natural gas indexes and as the cost of natural gas increases, the pricing for these products increases accordingly.</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Settlement of Natural Gas Contracts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above under “Recent Business Developments”, during the first quarter of 2021, we settled all of our natural gas forward contracts and certain volume purchase commitments and recognized a realized gain of approximately $6.8 million, which is classified as a reduction to cost of sales. As a result of the settlement of these natural gas contracts, we were able to significantly mitigate the impact from lost production, lost sales and higher costs resulting from the impact of the natural gas shortage caused by the February cold weather event.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Fees-Leidos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first quarters of 2021 and 2020, certain legal fees were approximately $0.9 million and $3.3 million, respectively. These fees relate to claims we are pursuing against Leidos to recover damages and losses associated with the construction of the ammonia plant at the El Dorado Facility as discussed in footnote B of Note 5. Due to the impact from the COVID-19 pandemic, the trial date has been delayed. We are awaiting a new trial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Results of Operations should be read in conjunction with our condensed consolidated financial statements for the three months ended March 31, 2021 and 2020 and accompanying notes and the discussions under “Overview” and “Liquidity and Capital Resources” included in this MD&amp;A.</w:t>
      </w:r>
    </w:p>
    <w:p>
      <w:pPr>
        <w:sectPr>
          <w:pgSz w:w="11900" w:h="16838" w:orient="portrait"/>
          <w:cols w:equalWidth="0" w:num="1">
            <w:col w:w="11240"/>
          </w:cols>
          <w:pgMar w:left="320" w:top="445" w:right="339" w:bottom="1440" w:gutter="0" w:footer="0" w:header="0"/>
        </w:sectPr>
      </w:pP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We present the following information about our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and gross profit represents net sales less cost of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br w:type="column"/>
      </w:r>
    </w:p>
    <w:p>
      <w:pPr>
        <w:jc w:val="right"/>
        <w:spacing w:after="0" w:line="342" w:lineRule="auto"/>
        <w:rPr>
          <w:sz w:val="20"/>
          <w:szCs w:val="20"/>
          <w:color w:val="auto"/>
        </w:rPr>
      </w:pPr>
      <w:r>
        <w:rPr>
          <w:rFonts w:ascii="Arial" w:cs="Arial" w:eastAsia="Arial" w:hAnsi="Arial"/>
          <w:sz w:val="16"/>
          <w:szCs w:val="16"/>
          <w:color w:val="auto"/>
        </w:rPr>
        <w:t>Net sales to unaffiliated customers are reported in the condensed consolidated Net sales are reported on a gross basis with the cost of freight being recorded in</w:t>
      </w:r>
    </w:p>
    <w:p>
      <w:pPr>
        <w:spacing w:after="0" w:line="214" w:lineRule="exact"/>
        <w:rPr>
          <w:sz w:val="20"/>
          <w:szCs w:val="20"/>
          <w:color w:val="auto"/>
        </w:rPr>
      </w:pPr>
    </w:p>
    <w:p>
      <w:pPr>
        <w:sectPr>
          <w:pgSz w:w="11900" w:h="16838" w:orient="portrait"/>
          <w:cols w:equalWidth="0" w:num="2">
            <w:col w:w="5360" w:space="20"/>
            <w:col w:w="5860"/>
          </w:cols>
          <w:pgMar w:left="320" w:top="44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7860" w:type="dxa"/>
            <w:vAlign w:val="bottom"/>
            <w:gridSpan w:val="12"/>
          </w:tcPr>
          <w:p>
            <w:pPr>
              <w:jc w:val="right"/>
              <w:ind w:right="1020"/>
              <w:spacing w:after="0"/>
              <w:rPr>
                <w:sz w:val="20"/>
                <w:szCs w:val="20"/>
                <w:color w:val="auto"/>
              </w:rPr>
            </w:pPr>
            <w:r>
              <w:rPr>
                <w:rFonts w:ascii="Arial" w:cs="Arial" w:eastAsia="Arial" w:hAnsi="Arial"/>
                <w:sz w:val="18"/>
                <w:szCs w:val="18"/>
                <w:b w:val="1"/>
                <w:bCs w:val="1"/>
                <w:color w:val="auto"/>
                <w:w w:val="91"/>
              </w:rPr>
              <w:t>Three Months Ended March 31, 2021 Compared to Three Months Ended March 31, 2020</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740" w:type="dxa"/>
            <w:vAlign w:val="bottom"/>
            <w:gridSpan w:val="2"/>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00" w:type="dxa"/>
            <w:vAlign w:val="bottom"/>
            <w:gridSpan w:val="6"/>
          </w:tcPr>
          <w:p>
            <w:pPr>
              <w:jc w:val="right"/>
              <w:ind w:right="88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Percentage</w:t>
            </w:r>
          </w:p>
        </w:tc>
        <w:tc>
          <w:tcPr>
            <w:tcW w:w="0" w:type="dxa"/>
            <w:vAlign w:val="bottom"/>
          </w:tcPr>
          <w:p>
            <w:pPr>
              <w:spacing w:after="0"/>
              <w:rPr>
                <w:sz w:val="1"/>
                <w:szCs w:val="1"/>
                <w:color w:val="auto"/>
              </w:rPr>
            </w:pPr>
          </w:p>
        </w:tc>
      </w:tr>
      <w:tr>
        <w:trPr>
          <w:trHeight w:val="243"/>
        </w:trPr>
        <w:tc>
          <w:tcPr>
            <w:tcW w:w="22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w w:val="98"/>
              </w:rPr>
              <w:t>Change</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7"/>
        </w:trPr>
        <w:tc>
          <w:tcPr>
            <w:tcW w:w="22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5"/>
          </w:tcPr>
          <w:p>
            <w:pPr>
              <w:jc w:val="right"/>
              <w:ind w:right="200"/>
              <w:spacing w:after="0"/>
              <w:rPr>
                <w:sz w:val="20"/>
                <w:szCs w:val="20"/>
                <w:color w:val="auto"/>
              </w:rPr>
            </w:pPr>
            <w:r>
              <w:rPr>
                <w:rFonts w:ascii="Arial" w:cs="Arial" w:eastAsia="Arial" w:hAnsi="Arial"/>
                <w:sz w:val="16"/>
                <w:szCs w:val="16"/>
                <w:color w:val="auto"/>
                <w:w w:val="96"/>
              </w:rPr>
              <w:t>(Dollars In Thousands)</w:t>
            </w: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Agricultural products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44,913</w:t>
            </w:r>
          </w:p>
        </w:tc>
        <w:tc>
          <w:tcPr>
            <w:tcW w:w="22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41,458</w:t>
            </w:r>
          </w:p>
        </w:tc>
        <w:tc>
          <w:tcPr>
            <w:tcW w:w="32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3,455</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Industrial and mining products</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53,203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41,953</w:t>
            </w:r>
          </w:p>
        </w:tc>
        <w:tc>
          <w:tcPr>
            <w:tcW w:w="3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11,250</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63"/>
        </w:trPr>
        <w:tc>
          <w:tcPr>
            <w:tcW w:w="57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net sales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98,116</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83,411</w:t>
            </w:r>
          </w:p>
        </w:tc>
        <w:tc>
          <w:tcPr>
            <w:tcW w:w="3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14,705</w:t>
            </w:r>
          </w:p>
        </w:tc>
        <w:tc>
          <w:tcPr>
            <w:tcW w:w="300" w:type="dxa"/>
            <w:vAlign w:val="bottom"/>
            <w:tcBorders>
              <w:bottom w:val="single" w:sz="8" w:color="CFF0FC"/>
            </w:tcBorders>
          </w:tcPr>
          <w:p>
            <w:pPr>
              <w:spacing w:after="0"/>
              <w:rPr>
                <w:sz w:val="22"/>
                <w:szCs w:val="22"/>
                <w:color w:val="auto"/>
              </w:rPr>
            </w:pPr>
          </w:p>
        </w:tc>
        <w:tc>
          <w:tcPr>
            <w:tcW w:w="11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200" w:type="dxa"/>
            <w:vAlign w:val="bottom"/>
            <w:shd w:val="clear" w:color="auto" w:fill="CFF0FC"/>
          </w:tcPr>
          <w:p>
            <w:pPr>
              <w:spacing w:after="0"/>
              <w:rPr>
                <w:sz w:val="18"/>
                <w:szCs w:val="18"/>
                <w:color w:val="auto"/>
              </w:rPr>
            </w:pPr>
          </w:p>
        </w:tc>
        <w:tc>
          <w:tcPr>
            <w:tcW w:w="3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14"/>
                <w:szCs w:val="14"/>
                <w:color w:val="auto"/>
              </w:rPr>
              <w:t>(1)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24,939</w:t>
            </w: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20,128</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4,811</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(2)</w:t>
            </w:r>
          </w:p>
        </w:tc>
        <w:tc>
          <w:tcPr>
            <w:tcW w:w="24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8"/>
                <w:szCs w:val="18"/>
                <w:color w:val="auto"/>
              </w:rPr>
              <w:t>(16,739)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(17,577)</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838</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Turnaround expense</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79"/>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(140)</w:t>
            </w: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ind w:left="26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5,509</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10,006</w:t>
            </w: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(1,213)</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7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9"/>
                <w:szCs w:val="19"/>
                <w:color w:val="auto"/>
              </w:rPr>
            </w:pPr>
          </w:p>
        </w:tc>
        <w:tc>
          <w:tcPr>
            <w:tcW w:w="1140" w:type="dxa"/>
            <w:vAlign w:val="bottom"/>
            <w:gridSpan w:val="2"/>
          </w:tcPr>
          <w:p>
            <w:pPr>
              <w:jc w:val="right"/>
              <w:ind w:right="79"/>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(468)</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Operating loss</w:t>
            </w: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(6,987)</w:t>
            </w:r>
          </w:p>
        </w:tc>
        <w:tc>
          <w:tcPr>
            <w:tcW w:w="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6,517</w:t>
            </w:r>
          </w:p>
        </w:tc>
        <w:tc>
          <w:tcPr>
            <w:tcW w:w="30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 xml:space="preserve">Interest expense, net </w:t>
            </w:r>
            <w:r>
              <w:rPr>
                <w:rFonts w:ascii="Arial" w:cs="Arial" w:eastAsia="Arial" w:hAnsi="Arial"/>
                <w:sz w:val="14"/>
                <w:szCs w:val="14"/>
                <w:color w:val="auto"/>
              </w:rPr>
              <w:t>(3)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13,479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(1,107)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(675)</w:t>
            </w: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1,070</w:t>
            </w: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381</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(19,452)</w:t>
            </w: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 xml:space="preserve">Gross profit percentage </w:t>
            </w:r>
            <w:r>
              <w:rPr>
                <w:rFonts w:ascii="Arial" w:cs="Arial" w:eastAsia="Arial" w:hAnsi="Arial"/>
                <w:sz w:val="14"/>
                <w:szCs w:val="14"/>
                <w:color w:val="auto"/>
              </w:rPr>
              <w:t>(4)</w:t>
            </w:r>
          </w:p>
        </w:tc>
        <w:tc>
          <w:tcPr>
            <w:tcW w:w="2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1"/>
                <w:szCs w:val="21"/>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5.1%</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 xml:space="preserve">Adjusted gross profit percentage </w:t>
            </w:r>
            <w:r>
              <w:rPr>
                <w:rFonts w:ascii="Arial" w:cs="Arial" w:eastAsia="Arial" w:hAnsi="Arial"/>
                <w:sz w:val="14"/>
                <w:szCs w:val="14"/>
                <w:color w:val="auto"/>
              </w:rPr>
              <w:t>(4)</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gridSpan w:val="2"/>
            <w:vMerge w:val="restart"/>
          </w:tcPr>
          <w:p>
            <w:pPr>
              <w:ind w:left="140"/>
              <w:spacing w:after="0"/>
              <w:rPr>
                <w:sz w:val="20"/>
                <w:szCs w:val="20"/>
                <w:color w:val="auto"/>
              </w:rPr>
            </w:pPr>
            <w:r>
              <w:rPr>
                <w:rFonts w:ascii="Arial" w:cs="Arial" w:eastAsia="Arial" w:hAnsi="Arial"/>
                <w:sz w:val="18"/>
                <w:szCs w:val="18"/>
                <w:color w:val="auto"/>
              </w:rPr>
              <w:t>Property, plant and equipment expenditures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180" w:type="dxa"/>
            <w:vAlign w:val="bottom"/>
            <w:tcBorders>
              <w:top w:val="single" w:sz="8" w:color="CFF0FC"/>
              <w:bottom w:val="single" w:sz="8" w:color="CFF0FC"/>
            </w:tcBorders>
            <w:gridSpan w:val="2"/>
            <w:vMerge w:val="restart"/>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10,737</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(4,604)</w:t>
            </w:r>
          </w:p>
        </w:tc>
        <w:tc>
          <w:tcPr>
            <w:tcW w:w="30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740" w:hanging="368"/>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a non-GAAP measure since the amount excludes unallocated depreciation, amortization and Turnaround expenses.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amount classified as cost of sales.</w:t>
      </w:r>
    </w:p>
    <w:p>
      <w:pPr>
        <w:spacing w:after="0" w:line="32" w:lineRule="exact"/>
        <w:rPr>
          <w:rFonts w:ascii="Arial" w:cs="Arial" w:eastAsia="Arial" w:hAnsi="Arial"/>
          <w:sz w:val="16"/>
          <w:szCs w:val="16"/>
          <w:color w:val="auto"/>
        </w:rPr>
      </w:pPr>
    </w:p>
    <w:p>
      <w:pPr>
        <w:ind w:left="740" w:hanging="368"/>
        <w:spacing w:after="0"/>
        <w:tabs>
          <w:tab w:leader="none" w:pos="7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first quarters of 2021 and 2020 includes interest expense of $0.1 and $1.3 million associated with a litigation judgment discussed in footnote (B) of Note 5.</w:t>
      </w:r>
    </w:p>
    <w:p>
      <w:pPr>
        <w:spacing w:after="0" w:line="43" w:lineRule="exact"/>
        <w:rPr>
          <w:rFonts w:ascii="Arial" w:cs="Arial" w:eastAsia="Arial" w:hAnsi="Arial"/>
          <w:sz w:val="15"/>
          <w:szCs w:val="15"/>
          <w:color w:val="auto"/>
        </w:rPr>
      </w:pPr>
    </w:p>
    <w:p>
      <w:pPr>
        <w:ind w:left="740" w:hanging="368"/>
        <w:spacing w:after="0"/>
        <w:tabs>
          <w:tab w:leader="none" w:pos="7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a percentage of the total net sales.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operating metrics for the agricultural products: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52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March 31,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Percentage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Product (tons sold)</w:t>
            </w:r>
          </w:p>
        </w:tc>
        <w:tc>
          <w:tcPr>
            <w:tcW w:w="3160" w:type="dxa"/>
            <w:vAlign w:val="bottom"/>
            <w:gridSpan w:val="2"/>
          </w:tcPr>
          <w:p>
            <w:pPr>
              <w:jc w:val="right"/>
              <w:ind w:right="2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94"/>
              </w:rPr>
              <w:t>2020</w:t>
            </w:r>
          </w:p>
        </w:tc>
        <w:tc>
          <w:tcPr>
            <w:tcW w:w="22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8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940" w:type="dxa"/>
            <w:vAlign w:val="bottom"/>
            <w:vMerge w:val="restart"/>
            <w:shd w:val="clear" w:color="auto" w:fill="CFF0FC"/>
          </w:tcPr>
          <w:p>
            <w:pPr>
              <w:spacing w:after="0" w:line="20" w:lineRule="exact"/>
              <w:rPr>
                <w:sz w:val="1"/>
                <w:szCs w:val="1"/>
                <w:color w:val="auto"/>
              </w:rPr>
            </w:pPr>
          </w:p>
        </w:tc>
        <w:tc>
          <w:tcPr>
            <w:tcW w:w="214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0" w:type="dxa"/>
            <w:vAlign w:val="bottom"/>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1940" w:type="dxa"/>
            <w:vAlign w:val="bottom"/>
            <w:vMerge w:val="continue"/>
            <w:shd w:val="clear" w:color="auto" w:fill="CFF0FC"/>
          </w:tcPr>
          <w:p>
            <w:pPr>
              <w:spacing w:after="0"/>
              <w:rPr>
                <w:sz w:val="18"/>
                <w:szCs w:val="18"/>
                <w:color w:val="auto"/>
              </w:rPr>
            </w:pPr>
          </w:p>
        </w:tc>
        <w:tc>
          <w:tcPr>
            <w:tcW w:w="2140" w:type="dxa"/>
            <w:vAlign w:val="bottom"/>
            <w:vMerge w:val="continue"/>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109,243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114,689</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(5,446)</w:t>
            </w:r>
          </w:p>
        </w:tc>
        <w:tc>
          <w:tcPr>
            <w:tcW w:w="220" w:type="dxa"/>
            <w:vAlign w:val="bottom"/>
            <w:vMerge w:val="continue"/>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HDAN</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76,162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65,874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10,288</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0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3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22,054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2,946</w:t>
            </w: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02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1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210,209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204,019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4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27" w:name="page28"/>
    <w:bookmarkEnd w:id="27"/>
    <w:tbl>
      <w:tblPr>
        <w:tblLayout w:type="fixed"/>
        <w:tblInd w:w="580" w:type="dxa"/>
        <w:tblCellMar>
          <w:top w:w="0" w:type="dxa"/>
          <w:left w:w="0" w:type="dxa"/>
          <w:bottom w:w="0" w:type="dxa"/>
          <w:right w:w="0" w:type="dxa"/>
        </w:tblCellMar>
      </w:tblPr>
      <w:tr>
        <w:trPr>
          <w:trHeight w:val="229"/>
        </w:trPr>
        <w:tc>
          <w:tcPr>
            <w:tcW w:w="2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5"/>
          </w:tcPr>
          <w:p>
            <w:pPr>
              <w:ind w:left="160"/>
              <w:spacing w:after="0"/>
              <w:rPr>
                <w:sz w:val="20"/>
                <w:szCs w:val="20"/>
                <w:color w:val="auto"/>
              </w:rPr>
            </w:pPr>
            <w:r>
              <w:rPr>
                <w:rFonts w:ascii="Arial" w:cs="Arial" w:eastAsia="Arial" w:hAnsi="Arial"/>
                <w:sz w:val="18"/>
                <w:szCs w:val="18"/>
                <w:color w:val="auto"/>
              </w:rPr>
              <w:t>Three Months Ended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4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3"/>
          </w:tcPr>
          <w:p>
            <w:pPr>
              <w:ind w:left="560"/>
              <w:spacing w:after="0"/>
              <w:rPr>
                <w:sz w:val="20"/>
                <w:szCs w:val="20"/>
                <w:color w:val="auto"/>
              </w:rPr>
            </w:pPr>
            <w:r>
              <w:rPr>
                <w:rFonts w:ascii="Arial" w:cs="Arial" w:eastAsia="Arial" w:hAnsi="Arial"/>
                <w:sz w:val="18"/>
                <w:szCs w:val="18"/>
                <w:color w:val="auto"/>
                <w:w w:val="94"/>
              </w:rPr>
              <w:t>March 31,</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17"/>
        </w:trPr>
        <w:tc>
          <w:tcPr>
            <w:tcW w:w="25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Gross Average Selling Prices (price per ton)</w:t>
            </w:r>
          </w:p>
        </w:tc>
        <w:tc>
          <w:tcPr>
            <w:tcW w:w="2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ind w:left="1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Change</w:t>
            </w:r>
          </w:p>
        </w:tc>
        <w:tc>
          <w:tcPr>
            <w:tcW w:w="0" w:type="dxa"/>
            <w:vAlign w:val="bottom"/>
          </w:tcPr>
          <w:p>
            <w:pPr>
              <w:spacing w:after="0"/>
              <w:rPr>
                <w:sz w:val="1"/>
                <w:szCs w:val="1"/>
                <w:color w:val="auto"/>
              </w:rPr>
            </w:pPr>
          </w:p>
        </w:tc>
      </w:tr>
      <w:tr>
        <w:trPr>
          <w:trHeight w:val="20"/>
        </w:trPr>
        <w:tc>
          <w:tcPr>
            <w:tcW w:w="518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gridSpan w:val="2"/>
            <w:vMerge w:val="continue"/>
            <w:shd w:val="clear" w:color="auto" w:fill="CFF0FC"/>
          </w:tcPr>
          <w:p>
            <w:pPr>
              <w:spacing w:after="0"/>
              <w:rPr>
                <w:sz w:val="18"/>
                <w:szCs w:val="18"/>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6"/>
              </w:rPr>
              <w:t>161</w:t>
            </w:r>
          </w:p>
        </w:tc>
        <w:tc>
          <w:tcPr>
            <w:tcW w:w="22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FF0FC"/>
          </w:tcPr>
          <w:p>
            <w:pPr>
              <w:spacing w:after="0"/>
              <w:rPr>
                <w:sz w:val="18"/>
                <w:szCs w:val="18"/>
                <w:color w:val="auto"/>
              </w:rPr>
            </w:pPr>
          </w:p>
        </w:tc>
        <w:tc>
          <w:tcPr>
            <w:tcW w:w="12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40"/>
              <w:spacing w:after="0"/>
              <w:rPr>
                <w:sz w:val="20"/>
                <w:szCs w:val="20"/>
                <w:color w:val="auto"/>
              </w:rPr>
            </w:pPr>
            <w:r>
              <w:rPr>
                <w:rFonts w:ascii="Arial" w:cs="Arial" w:eastAsia="Arial" w:hAnsi="Arial"/>
                <w:sz w:val="18"/>
                <w:szCs w:val="18"/>
                <w:color w:val="auto"/>
              </w:rPr>
              <w:t>HDAN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ind w:left="540"/>
              <w:spacing w:after="0"/>
              <w:rPr>
                <w:sz w:val="20"/>
                <w:szCs w:val="20"/>
                <w:color w:val="auto"/>
              </w:rPr>
            </w:pPr>
            <w:r>
              <w:rPr>
                <w:rFonts w:ascii="Arial" w:cs="Arial" w:eastAsia="Arial" w:hAnsi="Arial"/>
                <w:sz w:val="18"/>
                <w:szCs w:val="18"/>
                <w:color w:val="auto"/>
                <w:w w:val="86"/>
              </w:rPr>
              <w:t>237</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6"/>
              </w:rPr>
              <w:t>288</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sales of industrial and mining products, the following table indicates key operating metrics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center"/>
              <w:ind w:left="410"/>
              <w:spacing w:after="0"/>
              <w:rPr>
                <w:sz w:val="20"/>
                <w:szCs w:val="20"/>
                <w:color w:val="auto"/>
              </w:rPr>
            </w:pPr>
            <w:r>
              <w:rPr>
                <w:rFonts w:ascii="Arial" w:cs="Arial" w:eastAsia="Arial" w:hAnsi="Arial"/>
                <w:sz w:val="18"/>
                <w:szCs w:val="18"/>
                <w:color w:val="auto"/>
                <w:w w:val="92"/>
              </w:rPr>
              <w:t>March 31,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Percentage</w:t>
            </w:r>
          </w:p>
        </w:tc>
        <w:tc>
          <w:tcPr>
            <w:tcW w:w="0" w:type="dxa"/>
            <w:vAlign w:val="bottom"/>
          </w:tcPr>
          <w:p>
            <w:pPr>
              <w:spacing w:after="0"/>
              <w:rPr>
                <w:sz w:val="1"/>
                <w:szCs w:val="1"/>
                <w:color w:val="auto"/>
              </w:rPr>
            </w:pPr>
          </w:p>
        </w:tc>
      </w:tr>
      <w:tr>
        <w:trPr>
          <w:trHeight w:val="217"/>
        </w:trPr>
        <w:tc>
          <w:tcPr>
            <w:tcW w:w="5120" w:type="dxa"/>
            <w:vAlign w:val="bottom"/>
            <w:gridSpan w:val="3"/>
          </w:tcPr>
          <w:p>
            <w:pPr>
              <w:spacing w:after="0"/>
              <w:rPr>
                <w:sz w:val="20"/>
                <w:szCs w:val="20"/>
                <w:color w:val="auto"/>
              </w:rPr>
            </w:pPr>
            <w:r>
              <w:rPr>
                <w:rFonts w:ascii="Arial" w:cs="Arial" w:eastAsia="Arial" w:hAnsi="Arial"/>
                <w:sz w:val="14"/>
                <w:szCs w:val="14"/>
                <w:color w:val="auto"/>
              </w:rPr>
              <w:t>Product (tons sold)</w:t>
            </w:r>
          </w:p>
        </w:tc>
        <w:tc>
          <w:tcPr>
            <w:tcW w:w="22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color w:val="auto"/>
                <w:w w:val="94"/>
              </w:rPr>
              <w:t>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Change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0"/>
        </w:trPr>
        <w:tc>
          <w:tcPr>
            <w:tcW w:w="1080" w:type="dxa"/>
            <w:vAlign w:val="bottom"/>
            <w:tcBorders>
              <w:top w:val="single" w:sz="8" w:color="auto"/>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4040" w:type="dxa"/>
            <w:vAlign w:val="bottom"/>
            <w:gridSpan w:val="2"/>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80" w:type="dxa"/>
            <w:vAlign w:val="bottom"/>
            <w:vMerge w:val="continue"/>
            <w:shd w:val="clear" w:color="auto" w:fill="CFF0FC"/>
          </w:tcPr>
          <w:p>
            <w:pPr>
              <w:spacing w:after="0"/>
              <w:rPr>
                <w:sz w:val="18"/>
                <w:szCs w:val="18"/>
                <w:color w:val="auto"/>
              </w:rPr>
            </w:pPr>
          </w:p>
        </w:tc>
        <w:tc>
          <w:tcPr>
            <w:tcW w:w="404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43,193</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70,528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(27,335)</w:t>
            </w:r>
          </w:p>
        </w:tc>
        <w:tc>
          <w:tcPr>
            <w:tcW w:w="220" w:type="dxa"/>
            <w:vAlign w:val="bottom"/>
            <w:vMerge w:val="continue"/>
            <w:shd w:val="clear" w:color="auto" w:fill="CFF0FC"/>
          </w:tcPr>
          <w:p>
            <w:pPr>
              <w:spacing w:after="0"/>
              <w:rPr>
                <w:sz w:val="18"/>
                <w:szCs w:val="18"/>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AN, Nitric Acid and Other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116,165</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67,434</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48,731</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120" w:type="dxa"/>
            <w:vAlign w:val="bottom"/>
            <w:tcBorders>
              <w:bottom w:val="single" w:sz="8" w:color="CFF0FC"/>
            </w:tcBorders>
            <w:gridSpan w:val="3"/>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159,358</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137,962</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21,396</w:t>
            </w:r>
          </w:p>
        </w:tc>
        <w:tc>
          <w:tcPr>
            <w:tcW w:w="2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20" w:type="dxa"/>
            <w:vAlign w:val="bottom"/>
            <w:gridSpan w:val="3"/>
            <w:shd w:val="clear" w:color="auto" w:fill="CFF0FC"/>
          </w:tcPr>
          <w:p>
            <w:pPr>
              <w:spacing w:after="0" w:line="189" w:lineRule="exact"/>
              <w:rPr>
                <w:sz w:val="20"/>
                <w:szCs w:val="20"/>
                <w:color w:val="auto"/>
              </w:rPr>
            </w:pPr>
            <w:r>
              <w:rPr>
                <w:rFonts w:ascii="Arial" w:cs="Arial" w:eastAsia="Arial" w:hAnsi="Arial"/>
                <w:sz w:val="18"/>
                <w:szCs w:val="18"/>
                <w:color w:val="auto"/>
              </w:rPr>
              <w:t>Tampa Ammonia Benchmark (price per metric ton)</w:t>
            </w:r>
          </w:p>
        </w:tc>
        <w:tc>
          <w:tcPr>
            <w:tcW w:w="220" w:type="dxa"/>
            <w:vAlign w:val="bottom"/>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348</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10"/>
              <w:spacing w:after="0" w:line="189"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250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
        </w:trPr>
        <w:tc>
          <w:tcPr>
            <w:tcW w:w="1080" w:type="dxa"/>
            <w:vAlign w:val="bottom"/>
            <w:tcBorders>
              <w:top w:val="single" w:sz="8" w:color="auto"/>
            </w:tcBorders>
            <w:shd w:val="clear" w:color="auto" w:fill="CFF0FC"/>
          </w:tcPr>
          <w:p>
            <w:pPr>
              <w:spacing w:after="0" w:line="20" w:lineRule="exact"/>
              <w:rPr>
                <w:sz w:val="1"/>
                <w:szCs w:val="1"/>
                <w:color w:val="auto"/>
              </w:rPr>
            </w:pPr>
          </w:p>
        </w:tc>
        <w:tc>
          <w:tcPr>
            <w:tcW w:w="2620" w:type="dxa"/>
            <w:vAlign w:val="bottom"/>
            <w:tcBorders>
              <w:top w:val="single" w:sz="8" w:color="auto"/>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Agricultural product sales increased driven primarily by higher ammonia sales prices and higher sales volumes of HDAN and ammonia partially offset by lower UAN sales volumes resulting from the production interruption from the February weather event discussed under “Items Affecting Comparability of Results of the First Quarter.” Ammonia selling prices have increased as a result of increasing demand and tightening inventory levels.</w:t>
      </w:r>
    </w:p>
    <w:p>
      <w:pPr>
        <w:spacing w:after="0" w:line="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Industrial acids and other industrial product sales increased primarily from higher sales prices due primarily to higher Tampa Ammonia benchmark pricing and higher nitric acid sales volume due in part to sales beginning in 2021 pursuant to the new long-term nitric acid supply agreement. The average Tampa Ammonia pricing was approximately $98 per ton higher compared to the same period in 2020. This increase was partially offset by lower ammonia sales volume as more of this product was upgraded to other products, including agricultural and mining products.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Mining products sales improved driven by both increased sales volumes and prices. Demand for mining products has improved, especially relating to metals mining as expanding electric vehicle market is driving the need for copper. Also, certain mining sales contracts are linked to natural gas indexes and as the cost of natural gas increases, the pricing for these products increase accordingly.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in the table above, we recognized a gross profit of $8.1 million for the first quarter of 2021 compared to $2.6 million for the same period in 2020, or a $5.5 million improvement. Overall, our gross profit percentage was 8.2% compared to 3.1% for the same period in 2020. Our adjusted gross profit percentage increased slightly to 25.4% for the first quarter of 2021 from 24.1% for the first quarter of 2020.</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in gross profit was primarily driven by higher sales prices for our products coupled with increased sales volume of upgraded product including nitric acid and AN. The improvement in gross profit was partially offset by the net impact of the February weather disruption and overall higher average natural gas costs which averaged $3.15 per MMBtu for the first quarter of 2021 as compared to $2.09 per MMBtu for the first quarter of 2020.</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SG&amp;A expenses were $8.8 million for the first quarter of 2021, a decrease of $1.2 million compared to the same period in 2020. The decrease was primarily driven by lower professional fees including legal fees associated with the legal matter discussed above under “Items Affecting Comparability of Results of the First Quarter” partially offset by an increase in short and long-term compensation incentives.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for the first quarter of 2021 was $12.4 million compared to $13.5 million for the same period in 2020. The decrease relates primarily to the interest expense incurred during the first quarter of 2020 associated with a litigation judgment discussed in footnote (B) of Note 5.</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Provision (Benefit) for Income Taxes</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provision for income taxes for the first quarter of 2021 was minimal compared to a benefit for income taxes $0.3 million for the same period in 2020. The resulting effective tax rate for the first quarter of 2020 was 2%. For the first quarters of 2021 and 2020, the effective tax rate is less than the statutory rate primarily due to the impact of the valuation allowance. Also see discussion in Note 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three months ended March 31:</w:t>
      </w:r>
    </w:p>
    <w:p>
      <w:pPr>
        <w:spacing w:after="0" w:line="13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Change</w:t>
            </w:r>
          </w:p>
        </w:tc>
      </w:tr>
      <w:tr>
        <w:trPr>
          <w:trHeight w:val="233"/>
        </w:trPr>
        <w:tc>
          <w:tcPr>
            <w:tcW w:w="5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color w:val="auto"/>
                <w:w w:val="91"/>
              </w:rPr>
              <w:t>(In Thousands)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3"/>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operating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12,711</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(2,178)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14,889</w:t>
            </w:r>
          </w:p>
        </w:tc>
        <w:tc>
          <w:tcPr>
            <w:tcW w:w="120" w:type="dxa"/>
            <w:vAlign w:val="bottom"/>
            <w:shd w:val="clear" w:color="auto" w:fill="CFF0FC"/>
          </w:tcPr>
          <w:p>
            <w:pPr>
              <w:spacing w:after="0"/>
              <w:rPr>
                <w:sz w:val="20"/>
                <w:szCs w:val="20"/>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23"/>
        </w:trPr>
        <w:tc>
          <w:tcPr>
            <w:tcW w:w="5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investing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(5,935)</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(10,558)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4,623</w:t>
            </w:r>
          </w:p>
        </w:tc>
        <w:tc>
          <w:tcPr>
            <w:tcW w:w="120" w:type="dxa"/>
            <w:vAlign w:val="bottom"/>
            <w:shd w:val="clear" w:color="auto" w:fill="CFF0FC"/>
          </w:tcPr>
          <w:p>
            <w:pPr>
              <w:spacing w:after="0"/>
              <w:rPr>
                <w:sz w:val="19"/>
                <w:szCs w:val="19"/>
                <w:color w:val="auto"/>
              </w:rPr>
            </w:pP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5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cash flows from financing activities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(8,808)</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(36,236)</w:t>
            </w:r>
          </w:p>
        </w:tc>
      </w:tr>
      <w:tr>
        <w:trPr>
          <w:trHeight w:val="20"/>
        </w:trPr>
        <w:tc>
          <w:tcPr>
            <w:tcW w:w="59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Operating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$12.7 million for the first quarter of 2021 compared to net cash used of $2.2 million for the same period of 2020, a change of $14.9 million.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first quarter of 2021, the net cash provided is the result of a net loss of $13.3 million plus adjustments of $16.8 million for depreciation and amortization of PP&amp;E less other adjustments of $0.4 million and net cash provided of $9.6 million primarily from our working capital.</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2020, the net cash used is the result of a net loss of $19.5 million plus adjustments of $17.6 million for depreciation and amortization of PP&amp;E and other adjustments of $1.3 million and net cash used of $1.6 million primarily from our working capital.</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Investing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investing activities was $5.9 million for the first quarter of 2021 compared to $10.6 million for the same period of 2020, a change of approximately $4.6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quarters of 2021 and 2020, the net cash used relates primarily to expenditures for PP&amp;E.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Cash Flow from Financing Activities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by financing activities was $8.8 million for the first quarter of 2021 compared to net cash provided of $27.4 million for the same period of 2020, a change of $36.2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quarter of 2021, the net cash used primarily consists of payments on other long-term debt and short-term financing.</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first quarter of 2020, the net cash provided primarily consists of proceeds of $30 million from our Working Capital Revolver Loan and proceeds of $2.6 million from other long-term debt partially offset by payments on other long-term debt and short-term financing of $5.1 million and payments of $0.1 million for other financing activities.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long-term debt, redeemable preferred stock and stockholders’ equity:</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3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March 31,</w:t>
            </w:r>
          </w:p>
        </w:tc>
        <w:tc>
          <w:tcPr>
            <w:tcW w:w="14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5"/>
          </w:tcPr>
          <w:p>
            <w:pPr>
              <w:jc w:val="right"/>
              <w:ind w:right="1240"/>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32"/>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Long-term debt:</w:t>
            </w:r>
          </w:p>
        </w:tc>
        <w:tc>
          <w:tcPr>
            <w:tcW w:w="16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18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Senior Secured Notes due 2023</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Unsecured Loan Agreement due 2022</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Secured Financing due 2023</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Loan Agreement due 2025</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Secured Financing due 2025</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2021</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40"/>
              <w:spacing w:after="0"/>
              <w:rPr>
                <w:sz w:val="20"/>
                <w:szCs w:val="20"/>
                <w:color w:val="auto"/>
              </w:rPr>
            </w:pPr>
            <w:r>
              <w:rPr>
                <w:rFonts w:ascii="Arial" w:cs="Arial" w:eastAsia="Arial" w:hAnsi="Arial"/>
                <w:sz w:val="18"/>
                <w:szCs w:val="18"/>
                <w:color w:val="auto"/>
              </w:rPr>
              <w:t>Other</w:t>
            </w:r>
          </w:p>
        </w:tc>
        <w:tc>
          <w:tcPr>
            <w:tcW w:w="1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16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long-term debt, including current portion, net</w:t>
            </w:r>
          </w:p>
        </w:tc>
        <w:tc>
          <w:tcPr>
            <w:tcW w:w="162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26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Series E and F redeemable preferred stock </w:t>
            </w:r>
            <w:r>
              <w:rPr>
                <w:rFonts w:ascii="Arial" w:cs="Arial" w:eastAsia="Arial" w:hAnsi="Arial"/>
                <w:sz w:val="14"/>
                <w:szCs w:val="14"/>
                <w:color w:val="auto"/>
              </w:rPr>
              <w:t>(1)</w:t>
            </w:r>
          </w:p>
        </w:tc>
        <w:tc>
          <w:tcPr>
            <w:tcW w:w="16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1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80"/>
        <w:spacing w:after="0"/>
        <w:tabs>
          <w:tab w:leader="none" w:pos="7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Liquidation preference of $287.5 million as of March 31, 2021.</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a revolving credit facility, our Working Capital Revolver Loan, with a borrowing base of $65 million. As of March 31, 2021, our Working Capital Revolver Loan was undrawn and had approximately $41.8 million of availability.</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full year of 2021, we expect capital expenditures to be approximately $30 million, which includes approximately $5 million for margin enhancement projects. The remaining capital spending is planned for reliability and maintenance capital projects.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the combination of our cash on hand, the availability on our revolving credit facility, and our cash flow from operations will be sufficient to fund our anticipated liquidity needs for the next twelve months.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below in Note 4, the Working Capital Revolver Loan requires, among other things, that we meet certain financial covenants. The Working Capital Revolver Loan does not include financial covenant requirements unless a defined covenant trigger event has occurred and is continuing. As of March 31, 2021, no trigger event had occurred.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Senior Secured Notes due 2023 – </w:t>
      </w:r>
      <w:r>
        <w:rPr>
          <w:rFonts w:ascii="Arial" w:cs="Arial" w:eastAsia="Arial" w:hAnsi="Arial"/>
          <w:sz w:val="18"/>
          <w:szCs w:val="18"/>
          <w:color w:val="auto"/>
        </w:rPr>
        <w:t>LSB has $435 million aggregate principal amount of the 9.625% Senior Secured Notes currently outstanding, as</w:t>
      </w:r>
      <w:r>
        <w:rPr>
          <w:rFonts w:ascii="Arial" w:cs="Arial" w:eastAsia="Arial" w:hAnsi="Arial"/>
          <w:sz w:val="18"/>
          <w:szCs w:val="18"/>
          <w:b w:val="1"/>
          <w:bCs w:val="1"/>
          <w:color w:val="auto"/>
        </w:rPr>
        <w:t xml:space="preserve"> </w:t>
      </w:r>
      <w:r>
        <w:rPr>
          <w:rFonts w:ascii="Arial" w:cs="Arial" w:eastAsia="Arial" w:hAnsi="Arial"/>
          <w:sz w:val="18"/>
          <w:szCs w:val="18"/>
          <w:color w:val="auto"/>
        </w:rPr>
        <w:t>discussed in footnote (B) of Note 4. Interest is to be paid semiannually on May 1</w:t>
      </w:r>
      <w:r>
        <w:rPr>
          <w:rFonts w:ascii="Arial" w:cs="Arial" w:eastAsia="Arial" w:hAnsi="Arial"/>
          <w:sz w:val="15"/>
          <w:szCs w:val="15"/>
          <w:color w:val="auto"/>
        </w:rPr>
        <w:t>st</w:t>
      </w:r>
      <w:r>
        <w:rPr>
          <w:rFonts w:ascii="Arial" w:cs="Arial" w:eastAsia="Arial" w:hAnsi="Arial"/>
          <w:sz w:val="18"/>
          <w:szCs w:val="18"/>
          <w:color w:val="auto"/>
        </w:rPr>
        <w:t xml:space="preserve"> and November 1</w:t>
      </w:r>
      <w:r>
        <w:rPr>
          <w:rFonts w:ascii="Arial" w:cs="Arial" w:eastAsia="Arial" w:hAnsi="Arial"/>
          <w:sz w:val="15"/>
          <w:szCs w:val="15"/>
          <w:color w:val="auto"/>
        </w:rPr>
        <w:t>st</w:t>
      </w:r>
      <w:r>
        <w:rPr>
          <w:rFonts w:ascii="Arial" w:cs="Arial" w:eastAsia="Arial" w:hAnsi="Arial"/>
          <w:sz w:val="18"/>
          <w:szCs w:val="18"/>
          <w:color w:val="auto"/>
        </w:rPr>
        <w:t>, maturing May 1, 2023.</w:t>
      </w:r>
    </w:p>
    <w:p>
      <w:pPr>
        <w:spacing w:after="0" w:line="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Unsecured Loan Agreement due 2022 – </w:t>
      </w:r>
      <w:r>
        <w:rPr>
          <w:rFonts w:ascii="Arial" w:cs="Arial" w:eastAsia="Arial" w:hAnsi="Arial"/>
          <w:sz w:val="17"/>
          <w:szCs w:val="17"/>
          <w:color w:val="auto"/>
        </w:rPr>
        <w:t>LSB is a party to an unsecured PPP loan with a lender pursuant to a new loan program through the SBA as the</w:t>
      </w:r>
      <w:r>
        <w:rPr>
          <w:rFonts w:ascii="Arial" w:cs="Arial" w:eastAsia="Arial" w:hAnsi="Arial"/>
          <w:sz w:val="17"/>
          <w:szCs w:val="17"/>
          <w:b w:val="1"/>
          <w:bCs w:val="1"/>
          <w:color w:val="auto"/>
        </w:rPr>
        <w:t xml:space="preserve"> </w:t>
      </w:r>
      <w:r>
        <w:rPr>
          <w:rFonts w:ascii="Arial" w:cs="Arial" w:eastAsia="Arial" w:hAnsi="Arial"/>
          <w:sz w:val="17"/>
          <w:szCs w:val="17"/>
          <w:color w:val="auto"/>
        </w:rPr>
        <w:t>result of the PPP established by the CARES Act and amended by the Paycheck Protection Program Flexibility Act of 2020. We have used all or substantially all of the proceeds from the PPP loan for payroll, rent, utilities, and other specified costs that qualify for loan forgiveness. Under the current terms of the PPP loan, loan forgiveness applications are due within 10 months after the end of the loan forgiveness covered period, which period began on the date the PPP loan was disbursed and ends either eight weeks or 24 weeks after disbursement of the loan. In April 2021, we submitted the PPP loan forgiveness application to the lender. Once the SBA notifies the lender the amount of the loan which has been approved for forgiveness, the lender will determine the date that the equal monthly principal and interest payments will begin for the remaining loan balance, if any. As of March 31, 2021, the loan matures in April 2022, which term may be extended to April 2025 if mutually agreed to by the parties. As for the potential loan forgiveness, once the PPP loan is, wholly or partially, forgiven and a legal release is received, the liability would be reduced by the amount forgiven and a gain on extinguishment would be recorded.</w:t>
      </w:r>
    </w:p>
    <w:p>
      <w:pPr>
        <w:spacing w:after="0" w:line="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2023 – </w:t>
      </w:r>
      <w:r>
        <w:rPr>
          <w:rFonts w:ascii="Arial" w:cs="Arial" w:eastAsia="Arial" w:hAnsi="Arial"/>
          <w:sz w:val="18"/>
          <w:szCs w:val="18"/>
          <w:color w:val="auto"/>
        </w:rPr>
        <w:t>EDC is party to a secured financing arrangement with an affiliate of LSB Funding. Principal and interest are payable in 48</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with a final balloon payment of approximately $3 million due in June 2023.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both"/>
        <w:spacing w:after="0" w:line="282" w:lineRule="auto"/>
        <w:rPr>
          <w:sz w:val="20"/>
          <w:szCs w:val="20"/>
          <w:color w:val="auto"/>
        </w:rPr>
      </w:pPr>
      <w:r>
        <w:rPr>
          <w:rFonts w:ascii="Arial" w:cs="Arial" w:eastAsia="Arial" w:hAnsi="Arial"/>
          <w:sz w:val="18"/>
          <w:szCs w:val="18"/>
          <w:b w:val="1"/>
          <w:bCs w:val="1"/>
          <w:color w:val="auto"/>
        </w:rPr>
        <w:t xml:space="preserve">Secured Loan Agreement due 2025 - </w:t>
      </w:r>
      <w:r>
        <w:rPr>
          <w:rFonts w:ascii="Arial" w:cs="Arial" w:eastAsia="Arial" w:hAnsi="Arial"/>
          <w:sz w:val="18"/>
          <w:szCs w:val="18"/>
          <w:color w:val="auto"/>
        </w:rPr>
        <w:t>EDC is party to a secured loan agreement with an affiliate of LSB Funding. Principal and interest are payable in 60</w:t>
      </w:r>
      <w:r>
        <w:rPr>
          <w:rFonts w:ascii="Arial" w:cs="Arial" w:eastAsia="Arial" w:hAnsi="Arial"/>
          <w:sz w:val="18"/>
          <w:szCs w:val="18"/>
          <w:b w:val="1"/>
          <w:bCs w:val="1"/>
          <w:color w:val="auto"/>
        </w:rPr>
        <w:t xml:space="preserve"> </w:t>
      </w:r>
      <w:r>
        <w:rPr>
          <w:rFonts w:ascii="Arial" w:cs="Arial" w:eastAsia="Arial" w:hAnsi="Arial"/>
          <w:sz w:val="18"/>
          <w:szCs w:val="18"/>
          <w:color w:val="auto"/>
        </w:rPr>
        <w:t>equal monthly installments through March 2025.</w:t>
      </w:r>
    </w:p>
    <w:p>
      <w:pPr>
        <w:spacing w:after="0" w:line="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Secured Financing due 2025 – </w:t>
      </w:r>
      <w:r>
        <w:rPr>
          <w:rFonts w:ascii="Arial" w:cs="Arial" w:eastAsia="Arial" w:hAnsi="Arial"/>
          <w:sz w:val="18"/>
          <w:szCs w:val="18"/>
          <w:color w:val="auto"/>
        </w:rPr>
        <w:t>EDA is party to a $30 million secured financing arrangement with an affiliate of LSB Funding. Principal and interest are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60 equal monthly installments with a final balloon payment of approximately $5 million due in August 2025.</w:t>
      </w:r>
    </w:p>
    <w:p>
      <w:pPr>
        <w:spacing w:after="0" w:line="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 </w:t>
      </w:r>
      <w:r>
        <w:rPr>
          <w:rFonts w:ascii="Arial" w:cs="Arial" w:eastAsia="Arial" w:hAnsi="Arial"/>
          <w:sz w:val="18"/>
          <w:szCs w:val="18"/>
          <w:color w:val="auto"/>
        </w:rPr>
        <w:t>At March 31, 2021, our Working Capital Revolver Loan was undrawn and had approximately $41.8 million of</w:t>
      </w:r>
      <w:r>
        <w:rPr>
          <w:rFonts w:ascii="Arial" w:cs="Arial" w:eastAsia="Arial" w:hAnsi="Arial"/>
          <w:sz w:val="18"/>
          <w:szCs w:val="18"/>
          <w:b w:val="1"/>
          <w:bCs w:val="1"/>
          <w:color w:val="auto"/>
        </w:rPr>
        <w:t xml:space="preserve"> </w:t>
      </w:r>
      <w:r>
        <w:rPr>
          <w:rFonts w:ascii="Arial" w:cs="Arial" w:eastAsia="Arial" w:hAnsi="Arial"/>
          <w:sz w:val="18"/>
          <w:szCs w:val="18"/>
          <w:color w:val="auto"/>
        </w:rPr>
        <w:t>availability, based on our eligible collateral, less outstanding letters of credit as of that date. Also see discussion above under “Compliance with Long-Term Debt Covenants.”</w:t>
      </w:r>
    </w:p>
    <w:p>
      <w:pPr>
        <w:spacing w:after="0" w:line="6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Redemption of Series E Redeemable Preferred – </w:t>
      </w:r>
      <w:r>
        <w:rPr>
          <w:rFonts w:ascii="Arial" w:cs="Arial" w:eastAsia="Arial" w:hAnsi="Arial"/>
          <w:sz w:val="18"/>
          <w:szCs w:val="18"/>
          <w:color w:val="auto"/>
        </w:rPr>
        <w:t>At March 31, 2021, there were 139,768 outstanding shares of Series E Redeemable Preferred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liquidation preference (par value plus accrued dividends) was $287.5 million.</w:t>
      </w:r>
    </w:p>
    <w:p>
      <w:pPr>
        <w:spacing w:after="0" w:line="58" w:lineRule="exact"/>
        <w:rPr>
          <w:sz w:val="20"/>
          <w:szCs w:val="20"/>
          <w:color w:val="auto"/>
        </w:rPr>
      </w:pPr>
    </w:p>
    <w:p>
      <w:pPr>
        <w:jc w:val="both"/>
        <w:spacing w:after="0" w:line="313" w:lineRule="auto"/>
        <w:rPr>
          <w:sz w:val="20"/>
          <w:szCs w:val="20"/>
          <w:color w:val="auto"/>
        </w:rPr>
      </w:pPr>
      <w:r>
        <w:rPr>
          <w:rFonts w:ascii="Arial" w:cs="Arial" w:eastAsia="Arial" w:hAnsi="Arial"/>
          <w:sz w:val="15"/>
          <w:szCs w:val="15"/>
          <w:color w:val="auto"/>
        </w:rPr>
        <w:t>At any time on or after October 25, 2023,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4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October 25, 2023, the earliest possible redemption date by the holder, this accretion has and will continue to affect income (loss) per common share. However, this accretion will change if the expected redemption date changes.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 – First Quarter of 2021</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2021, capital expenditures relating to PP&amp;E were $6.1 million. The capital expenditures were funded primarily from cash and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“Capitalization” for our expected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are subject to specific federal and state environmental compliance laws, regulations and guidelines. As a result, we incurred expenses of $0.9 million during the first quarter of 2021 in connection with environmental projects. For the remainder of 2021, we expect to incur expenses ranging from $2.9 million to $3.3 million in connection with additional environmental projects. However, it is possible that the actual costs could be significantly different than our estimates.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Dividends on the Series E Redeemable Preferred are cumulative and payable semi-annually (May 1 and November 1) in arrears at the annual rate of 14% of the liquidation value of $1,000 per share, but such annual rate increased to 14.5% beginning in April 2021 as discussed in Note 10. Each share of Series E Redeemable Preferred is entitled to receive a semi-annual dividend, only when declared by our Board. In addition, dividends in arrears at the dividend date, until paid, shall compound additional dividends at the annual rate. As of March 31, 2021, the semi-annual compounded dividend is approximately $136.29 per share for the current aggregate semi-annual dividend of $19.0 million.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March 31, 2021, the amount of accumulated dividends on the Series E Redeemable Preferred was approximately $147.7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2021, the amount of accumulated dividends on the Series D Preferred and Series B Preferred totaled approximately $1.7 million. All shares of the Series D Preferred and Series B Preferred are owned by the Golsen Holders and an immediate family member. There are no optional or mandatory redemption rights with respect to the Series B Preferred or Series D Preferred.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fertilizer products sold to the agricultural industry are seasonal, while sales into the industrial and mining sectors generally are less susceptible to seasonal fluctuations. The selling seasons for agricultural products are primarily during the spring and fall planting seasons, which typically extend from March through June and from September through November in the geographical markets where we distribute the majority of our agricultural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2021, we have agreed to indemnify the sureties for payments, up to $9.7 million, made by them in respect of such bonds. These insurance bonds are expected to expire or be renewed later in 2021.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for recently issued accounting standards.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See “Critical Accounting Policies and Estimates,” Item 7 of our 2020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and the lawsuit styled </w:t>
      </w:r>
      <w:r>
        <w:rPr>
          <w:rFonts w:ascii="Arial" w:cs="Arial" w:eastAsia="Arial" w:hAnsi="Arial"/>
          <w:sz w:val="17"/>
          <w:szCs w:val="17"/>
          <w:i w:val="1"/>
          <w:iCs w:val="1"/>
          <w:color w:val="auto"/>
        </w:rPr>
        <w:t>City of West,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Texas vs. CF Industries, Inc., et al., </w:t>
      </w:r>
      <w:r>
        <w:rPr>
          <w:rFonts w:ascii="Arial" w:cs="Arial" w:eastAsia="Arial" w:hAnsi="Arial"/>
          <w:sz w:val="17"/>
          <w:szCs w:val="17"/>
          <w:color w:val="auto"/>
        </w:rPr>
        <w:t>discussed under “Other Pending, Threatened or Settled Litigation” of Note 5.</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carrying values of the redeemable preferred stocks discussed in Note 8 are being increased by periodic accretions (recorded to retained earnings and included in determining income or loss per share) using the interest method so that the carrying amount will equal the redemption value as of October 25, 2023, the earliest possible redemption date by the holder.</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also reasonably possible that the estimates and assumptions utilized as of March 31, 2021 could change in the near term. Actual results could differ materially from these estimates and judgments, as additional information becomes known.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results of operations and operating cash flows are impacted by changes in market prices of ammonia and natural gas and changes in market interest rates.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Periodically, we enter into forward firm sales commitments for products to be delivered in future periods. As a result, we could be exposed to embedded losses should our product costs exceed the firm sales prices at the end of a reporting period. At March 31, 2021, we had no embedded losses associated with sales commitments with firm sales prices.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March 31, 2021, we had no outstanding natural gas contracts, which are accounted for on a mark-to-market basis.</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March 31, 2021, we had no outstanding borrowings on this credit facility and no other variable rate borrowings. We currently do not hedge our interest rate risk associated with our variable interest loan.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2021. Based on this evaluation, the Company's Chief Executive Officer and Chief Financial Officer have concluded that the Company's disclosure controls and procedures were effective as of March 31, 2021, at the reasonable assurance level.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u w:val="single" w:color="auto"/>
          <w:color w:val="auto"/>
        </w:rPr>
        <w:t>SPECIAL NOTE REGARDING FORWARD-LOOKING STATEMENTS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“plan,” “may,” “could” and similar expressions identify Forward-Looking Statements. Forward-Looking Statements contained herein include, but are not limited to, the following:</w:t>
      </w:r>
    </w:p>
    <w:p>
      <w:pPr>
        <w:spacing w:after="0" w:line="161" w:lineRule="exact"/>
        <w:rPr>
          <w:sz w:val="20"/>
          <w:szCs w:val="20"/>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invest in projects that will generate best returns for our stockholders;</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from the COVID-19 pandemic;</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liquidity outlook;</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outlook of our chemical products and related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amount, timing and effect on the nitrogen market from the recent nitrogen expansion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from the lack of non-seasonal volume;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belief that competition is based upon service, price, location of production and distribution sites, and product quality and performance;</w:t>
      </w:r>
    </w:p>
    <w:p>
      <w:pPr>
        <w:spacing w:after="0" w:line="61" w:lineRule="exact"/>
        <w:rPr>
          <w:rFonts w:ascii="Arial" w:cs="Arial" w:eastAsia="Arial" w:hAnsi="Arial"/>
          <w:sz w:val="17"/>
          <w:szCs w:val="17"/>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outlook for the industrial and mining industries;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raw materials;</w:t>
      </w:r>
    </w:p>
    <w:p>
      <w:pPr>
        <w:spacing w:after="0" w:line="49" w:lineRule="exact"/>
        <w:rPr>
          <w:rFonts w:ascii="Arial" w:cs="Arial" w:eastAsia="Arial" w:hAnsi="Arial"/>
          <w:sz w:val="18"/>
          <w:szCs w:val="18"/>
          <w:color w:val="auto"/>
        </w:rPr>
      </w:pPr>
    </w:p>
    <w:p>
      <w:pPr>
        <w:ind w:left="740" w:hanging="368"/>
        <w:spacing w:after="0" w:line="273"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broaden the distribution of our products, including our ability to leverage our nitric acid production capacity at our El Dorado Facility;</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a strategy to capitalize on ammonia opportunities;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increasing output and capacity of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on-stream rates at our production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moderate risk inherent in agricultural markets;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anticipated cost and timing of our capital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costs covered under warranty provisions;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pass to our customers cost increases in the form of higher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belief as to whether we have sufficient sources for materials and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by our Facilities with the terms of our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compliance with environmental laws, health laws, security regulations and transportation regulations;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belief as to when Turnarounds will be performed and completed;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litigation and other contingencies;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increase in interest expense;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comply with debt servicing and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meet debt maturities or redemption obligations when due;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beliefs as to whether we can meet all required covenant tests for the next twelve months.</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13" w:lineRule="exact"/>
        <w:rPr>
          <w:sz w:val="20"/>
          <w:szCs w:val="20"/>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associated with the COVID-19 pandemic and governmental and related responses;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reductions in revenues;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collect in a timely manner a material amount of receivables;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4" w:name="page35"/>
    <w:bookmarkEnd w:id="34"/>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effects on increases in prices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including environmental regulations, or in the interpretation of such;</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regulations or other issues related to climate change;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substantial existing indebtedness;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adequately evaluate potential acquisitions of strategic assets or companies;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fund the working capital and expansion of our businesses;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improve our capital structure and overall cost of capital;</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unplanned downtime at one or more of our chemical facilities;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production rates at any of our chemical plants;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obtain necessary raw materials and purchased components;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obtain or retain our insurance coverage;</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obtaining necessary permits;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difficulty obtaining third-party financing;</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decreases in duties for products we sell resulting in an increase in imported products into the U.S.;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effects from regulatory policies, including tariffs;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49"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imported agricultural products; and</w:t>
      </w:r>
    </w:p>
    <w:p>
      <w:pPr>
        <w:spacing w:after="0" w:line="36" w:lineRule="exact"/>
        <w:rPr>
          <w:rFonts w:ascii="Arial" w:cs="Arial" w:eastAsia="Arial" w:hAnsi="Arial"/>
          <w:sz w:val="18"/>
          <w:szCs w:val="18"/>
          <w:color w:val="auto"/>
        </w:rPr>
      </w:pPr>
    </w:p>
    <w:p>
      <w:pPr>
        <w:ind w:left="740" w:hanging="36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2020.</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Arkansas Department of Environmental Quality.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AN</w:t>
            </w:r>
          </w:p>
        </w:tc>
        <w:tc>
          <w:tcPr>
            <w:tcW w:w="8380" w:type="dxa"/>
            <w:vAlign w:val="bottom"/>
          </w:tcPr>
          <w:p>
            <w:pPr>
              <w:ind w:left="320"/>
              <w:spacing w:after="0"/>
              <w:rPr>
                <w:sz w:val="20"/>
                <w:szCs w:val="20"/>
                <w:color w:val="auto"/>
              </w:rPr>
            </w:pPr>
            <w:r>
              <w:rPr>
                <w:rFonts w:ascii="Arial" w:cs="Arial" w:eastAsia="Arial" w:hAnsi="Arial"/>
                <w:sz w:val="18"/>
                <w:szCs w:val="18"/>
                <w:color w:val="auto"/>
              </w:rPr>
              <w:t>- Ammonium nitrate.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ASU</w:t>
            </w:r>
          </w:p>
        </w:tc>
        <w:tc>
          <w:tcPr>
            <w:tcW w:w="8380" w:type="dxa"/>
            <w:vAlign w:val="bottom"/>
          </w:tcPr>
          <w:p>
            <w:pPr>
              <w:ind w:left="320"/>
              <w:spacing w:after="0"/>
              <w:rPr>
                <w:sz w:val="20"/>
                <w:szCs w:val="20"/>
                <w:color w:val="auto"/>
              </w:rPr>
            </w:pPr>
            <w:r>
              <w:rPr>
                <w:rFonts w:ascii="Arial" w:cs="Arial" w:eastAsia="Arial" w:hAnsi="Arial"/>
                <w:sz w:val="18"/>
                <w:szCs w:val="18"/>
                <w:color w:val="auto"/>
              </w:rPr>
              <w:t>- Accounting Standard Update.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8380" w:type="dxa"/>
            <w:vAlign w:val="bottom"/>
          </w:tcPr>
          <w:p>
            <w:pPr>
              <w:ind w:left="320"/>
              <w:spacing w:after="0"/>
              <w:rPr>
                <w:sz w:val="20"/>
                <w:szCs w:val="20"/>
                <w:color w:val="auto"/>
              </w:rPr>
            </w:pPr>
            <w:r>
              <w:rPr>
                <w:rFonts w:ascii="Arial" w:cs="Arial" w:eastAsia="Arial" w:hAnsi="Arial"/>
                <w:sz w:val="18"/>
                <w:szCs w:val="18"/>
                <w:color w:val="auto"/>
              </w:rPr>
              <w:t>- A consent administrative order.</w:t>
            </w:r>
          </w:p>
        </w:tc>
      </w:tr>
      <w:tr>
        <w:trPr>
          <w:trHeight w:val="270"/>
        </w:trPr>
        <w:tc>
          <w:tcPr>
            <w:tcW w:w="2860" w:type="dxa"/>
            <w:vAlign w:val="bottom"/>
          </w:tcPr>
          <w:p>
            <w:pPr>
              <w:spacing w:after="0"/>
              <w:rPr>
                <w:sz w:val="20"/>
                <w:szCs w:val="20"/>
                <w:color w:val="auto"/>
              </w:rPr>
            </w:pPr>
            <w:r>
              <w:rPr>
                <w:rFonts w:ascii="Arial" w:cs="Arial" w:eastAsia="Arial" w:hAnsi="Arial"/>
                <w:sz w:val="18"/>
                <w:szCs w:val="18"/>
                <w:b w:val="1"/>
                <w:bCs w:val="1"/>
                <w:color w:val="auto"/>
              </w:rPr>
              <w:t>CARES</w:t>
            </w:r>
          </w:p>
        </w:tc>
        <w:tc>
          <w:tcPr>
            <w:tcW w:w="8380" w:type="dxa"/>
            <w:vAlign w:val="bottom"/>
          </w:tcPr>
          <w:p>
            <w:pPr>
              <w:ind w:left="320"/>
              <w:spacing w:after="0"/>
              <w:rPr>
                <w:sz w:val="20"/>
                <w:szCs w:val="20"/>
                <w:color w:val="auto"/>
              </w:rPr>
            </w:pPr>
            <w:r>
              <w:rPr>
                <w:rFonts w:ascii="Arial" w:cs="Arial" w:eastAsia="Arial" w:hAnsi="Arial"/>
                <w:sz w:val="18"/>
                <w:szCs w:val="18"/>
                <w:color w:val="auto"/>
              </w:rPr>
              <w:t>- Coronavirus Aid, Relief, and Economic Security Act</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Chevron</w:t>
            </w:r>
          </w:p>
        </w:tc>
        <w:tc>
          <w:tcPr>
            <w:tcW w:w="8380" w:type="dxa"/>
            <w:vAlign w:val="bottom"/>
          </w:tcPr>
          <w:p>
            <w:pPr>
              <w:ind w:left="320"/>
              <w:spacing w:after="0"/>
              <w:rPr>
                <w:sz w:val="20"/>
                <w:szCs w:val="20"/>
                <w:color w:val="auto"/>
              </w:rPr>
            </w:pPr>
            <w:r>
              <w:rPr>
                <w:rFonts w:ascii="Arial" w:cs="Arial" w:eastAsia="Arial" w:hAnsi="Arial"/>
                <w:sz w:val="18"/>
                <w:szCs w:val="18"/>
                <w:color w:val="auto"/>
              </w:rPr>
              <w:t>- Chevron Environmental Management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COVID-19</w:t>
            </w:r>
          </w:p>
        </w:tc>
        <w:tc>
          <w:tcPr>
            <w:tcW w:w="8380" w:type="dxa"/>
            <w:vAlign w:val="bottom"/>
          </w:tcPr>
          <w:p>
            <w:pPr>
              <w:ind w:left="320"/>
              <w:spacing w:after="0"/>
              <w:rPr>
                <w:sz w:val="20"/>
                <w:szCs w:val="20"/>
                <w:color w:val="auto"/>
              </w:rPr>
            </w:pPr>
            <w:r>
              <w:rPr>
                <w:rFonts w:ascii="Arial" w:cs="Arial" w:eastAsia="Arial" w:hAnsi="Arial"/>
                <w:sz w:val="18"/>
                <w:szCs w:val="18"/>
                <w:color w:val="auto"/>
              </w:rPr>
              <w:t>- The novel coronavirus disease of 2019.</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Ammonia L.L.C.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380" w:type="dxa"/>
            <w:vAlign w:val="bottom"/>
          </w:tcPr>
          <w:p>
            <w:pPr>
              <w:ind w:left="320"/>
              <w:spacing w:after="0"/>
              <w:rPr>
                <w:sz w:val="20"/>
                <w:szCs w:val="20"/>
                <w:color w:val="auto"/>
              </w:rPr>
            </w:pPr>
            <w:r>
              <w:rPr>
                <w:rFonts w:ascii="Arial" w:cs="Arial" w:eastAsia="Arial" w:hAnsi="Arial"/>
                <w:sz w:val="18"/>
                <w:szCs w:val="18"/>
                <w:color w:val="auto"/>
              </w:rPr>
              <w:t>- El Dorado Chemical Company.</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Environmental and Health Laws</w:t>
            </w:r>
          </w:p>
        </w:tc>
        <w:tc>
          <w:tcPr>
            <w:tcW w:w="8380" w:type="dxa"/>
            <w:vAlign w:val="bottom"/>
          </w:tcPr>
          <w:p>
            <w:pPr>
              <w:ind w:left="320"/>
              <w:spacing w:after="0"/>
              <w:rPr>
                <w:sz w:val="20"/>
                <w:szCs w:val="20"/>
                <w:color w:val="auto"/>
              </w:rPr>
            </w:pPr>
            <w:r>
              <w:rPr>
                <w:rFonts w:ascii="Arial" w:cs="Arial" w:eastAsia="Arial" w:hAnsi="Arial"/>
                <w:sz w:val="18"/>
                <w:szCs w:val="18"/>
                <w:color w:val="auto"/>
              </w:rPr>
              <w:t>- Numerous federal, state and local environmental, health and safety laws.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EUC</w:t>
            </w:r>
          </w:p>
        </w:tc>
        <w:tc>
          <w:tcPr>
            <w:tcW w:w="8380" w:type="dxa"/>
            <w:vAlign w:val="bottom"/>
          </w:tcPr>
          <w:p>
            <w:pPr>
              <w:ind w:left="320"/>
              <w:spacing w:after="0"/>
              <w:rPr>
                <w:sz w:val="20"/>
                <w:szCs w:val="20"/>
                <w:color w:val="auto"/>
              </w:rPr>
            </w:pPr>
            <w:r>
              <w:rPr>
                <w:rFonts w:ascii="Arial" w:cs="Arial" w:eastAsia="Arial" w:hAnsi="Arial"/>
                <w:sz w:val="18"/>
                <w:szCs w:val="18"/>
                <w:color w:val="auto"/>
              </w:rPr>
              <w:t>- Environmental Use Control.</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FASB</w:t>
            </w:r>
          </w:p>
        </w:tc>
        <w:tc>
          <w:tcPr>
            <w:tcW w:w="8380" w:type="dxa"/>
            <w:vAlign w:val="bottom"/>
          </w:tcPr>
          <w:p>
            <w:pPr>
              <w:ind w:left="320"/>
              <w:spacing w:after="0"/>
              <w:rPr>
                <w:sz w:val="20"/>
                <w:szCs w:val="20"/>
                <w:color w:val="auto"/>
              </w:rPr>
            </w:pPr>
            <w:r>
              <w:rPr>
                <w:rFonts w:ascii="Arial" w:cs="Arial" w:eastAsia="Arial" w:hAnsi="Arial"/>
                <w:sz w:val="18"/>
                <w:szCs w:val="18"/>
                <w:color w:val="auto"/>
              </w:rPr>
              <w:t>- Financial Accounting Standards Board.</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Financial Covenant</w:t>
            </w:r>
          </w:p>
        </w:tc>
        <w:tc>
          <w:tcPr>
            <w:tcW w:w="8380" w:type="dxa"/>
            <w:vAlign w:val="bottom"/>
          </w:tcPr>
          <w:p>
            <w:pPr>
              <w:ind w:left="320"/>
              <w:spacing w:after="0"/>
              <w:rPr>
                <w:sz w:val="20"/>
                <w:szCs w:val="20"/>
                <w:color w:val="auto"/>
              </w:rPr>
            </w:pPr>
            <w:r>
              <w:rPr>
                <w:rFonts w:ascii="Arial" w:cs="Arial" w:eastAsia="Arial" w:hAnsi="Arial"/>
                <w:sz w:val="18"/>
                <w:szCs w:val="18"/>
                <w:color w:val="auto"/>
              </w:rPr>
              <w:t>- Certain springing financial covenants associated with the working capital revolver loan.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GAAP</w:t>
            </w:r>
          </w:p>
        </w:tc>
        <w:tc>
          <w:tcPr>
            <w:tcW w:w="8380" w:type="dxa"/>
            <w:vAlign w:val="bottom"/>
          </w:tcPr>
          <w:p>
            <w:pPr>
              <w:ind w:left="320"/>
              <w:spacing w:after="0"/>
              <w:rPr>
                <w:sz w:val="20"/>
                <w:szCs w:val="20"/>
                <w:color w:val="auto"/>
              </w:rPr>
            </w:pPr>
            <w:r>
              <w:rPr>
                <w:rFonts w:ascii="Arial" w:cs="Arial" w:eastAsia="Arial" w:hAnsi="Arial"/>
                <w:sz w:val="18"/>
                <w:szCs w:val="18"/>
                <w:color w:val="auto"/>
              </w:rPr>
              <w:t>- U.S. Generally Accepted Accounting Principles.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8380" w:type="dxa"/>
            <w:vAlign w:val="bottom"/>
          </w:tcPr>
          <w:p>
            <w:pPr>
              <w:ind w:left="320"/>
              <w:spacing w:after="0"/>
              <w:rPr>
                <w:sz w:val="20"/>
                <w:szCs w:val="20"/>
                <w:color w:val="auto"/>
              </w:rPr>
            </w:pPr>
            <w:r>
              <w:rPr>
                <w:rFonts w:ascii="Arial" w:cs="Arial" w:eastAsia="Arial" w:hAnsi="Arial"/>
                <w:sz w:val="18"/>
                <w:szCs w:val="18"/>
                <w:color w:val="auto"/>
                <w:w w:val="98"/>
              </w:rPr>
              <w:t>- Global Industrial, Inc., a subcontractor asserting mechanics liens for work rendered to LSB and EDC.</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Jack E. Golsen, Barry H. Golsen, and certain of their related parties identified as beneficial owners of our</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securities.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8380" w:type="dxa"/>
            <w:vAlign w:val="bottom"/>
          </w:tcPr>
          <w:p>
            <w:pPr>
              <w:ind w:left="320"/>
              <w:spacing w:after="0"/>
              <w:rPr>
                <w:sz w:val="20"/>
                <w:szCs w:val="20"/>
                <w:color w:val="auto"/>
              </w:rPr>
            </w:pPr>
            <w:r>
              <w:rPr>
                <w:rFonts w:ascii="Arial" w:cs="Arial" w:eastAsia="Arial" w:hAnsi="Arial"/>
                <w:sz w:val="18"/>
                <w:szCs w:val="18"/>
                <w:color w:val="auto"/>
              </w:rPr>
              <w:t>- High density ammonium nitrate prills used in the agricultural industry.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380" w:type="dxa"/>
            <w:vAlign w:val="bottom"/>
          </w:tcPr>
          <w:p>
            <w:pPr>
              <w:ind w:left="320"/>
              <w:spacing w:after="0"/>
              <w:rPr>
                <w:sz w:val="20"/>
                <w:szCs w:val="20"/>
                <w:color w:val="auto"/>
              </w:rPr>
            </w:pPr>
            <w:r>
              <w:rPr>
                <w:rFonts w:ascii="Arial" w:cs="Arial" w:eastAsia="Arial" w:hAnsi="Arial"/>
                <w:sz w:val="18"/>
                <w:szCs w:val="18"/>
                <w:color w:val="auto"/>
              </w:rPr>
              <w:t>- The Kansas Department of Health and Environment.</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380" w:type="dxa"/>
            <w:vAlign w:val="bottom"/>
          </w:tcPr>
          <w:p>
            <w:pPr>
              <w:ind w:left="32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8380" w:type="dxa"/>
            <w:vAlign w:val="bottom"/>
          </w:tcPr>
          <w:p>
            <w:pPr>
              <w:ind w:left="320"/>
              <w:spacing w:after="0"/>
              <w:rPr>
                <w:sz w:val="20"/>
                <w:szCs w:val="20"/>
                <w:color w:val="auto"/>
              </w:rPr>
            </w:pPr>
            <w:r>
              <w:rPr>
                <w:rFonts w:ascii="Arial" w:cs="Arial" w:eastAsia="Arial" w:hAnsi="Arial"/>
                <w:sz w:val="18"/>
                <w:szCs w:val="18"/>
                <w:color w:val="auto"/>
              </w:rPr>
              <w:t>- Leidos Constructors L.L.C.</w:t>
            </w:r>
          </w:p>
        </w:tc>
      </w:tr>
      <w:tr>
        <w:trPr>
          <w:trHeight w:val="242"/>
        </w:trPr>
        <w:tc>
          <w:tcPr>
            <w:tcW w:w="286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380" w:type="dxa"/>
            <w:vAlign w:val="bottom"/>
          </w:tcPr>
          <w:p>
            <w:pPr>
              <w:ind w:left="320"/>
              <w:spacing w:after="0"/>
              <w:rPr>
                <w:sz w:val="20"/>
                <w:szCs w:val="20"/>
                <w:color w:val="auto"/>
              </w:rPr>
            </w:pPr>
            <w:r>
              <w:rPr>
                <w:rFonts w:ascii="Arial" w:cs="Arial" w:eastAsia="Arial" w:hAnsi="Arial"/>
                <w:sz w:val="18"/>
                <w:szCs w:val="18"/>
                <w:color w:val="auto"/>
                <w:w w:val="95"/>
              </w:rPr>
              <w:t>- The Series E Redeemable Preferred liquidation preference of $1,000 per share plus accrued and unpaid</w:t>
            </w:r>
          </w:p>
        </w:tc>
      </w:tr>
      <w:tr>
        <w:trPr>
          <w:trHeight w:val="230"/>
        </w:trPr>
        <w:tc>
          <w:tcPr>
            <w:tcW w:w="2860" w:type="dxa"/>
            <w:vAlign w:val="bottom"/>
          </w:tcPr>
          <w:p>
            <w:pPr>
              <w:spacing w:after="0"/>
              <w:rPr>
                <w:sz w:val="20"/>
                <w:szCs w:val="20"/>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dividends plus the participation rights value.</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8380" w:type="dxa"/>
            <w:vAlign w:val="bottom"/>
          </w:tcPr>
          <w:p>
            <w:pPr>
              <w:ind w:left="320"/>
              <w:spacing w:after="0"/>
              <w:rPr>
                <w:sz w:val="20"/>
                <w:szCs w:val="20"/>
                <w:color w:val="auto"/>
              </w:rPr>
            </w:pPr>
            <w:r>
              <w:rPr>
                <w:rFonts w:ascii="Arial" w:cs="Arial" w:eastAsia="Arial" w:hAnsi="Arial"/>
                <w:sz w:val="18"/>
                <w:szCs w:val="18"/>
                <w:color w:val="auto"/>
              </w:rPr>
              <w:t>- LSB Industries, Inc.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LSB Funding</w:t>
            </w:r>
          </w:p>
        </w:tc>
        <w:tc>
          <w:tcPr>
            <w:tcW w:w="8380" w:type="dxa"/>
            <w:vAlign w:val="bottom"/>
          </w:tcPr>
          <w:p>
            <w:pPr>
              <w:ind w:left="320"/>
              <w:spacing w:after="0"/>
              <w:rPr>
                <w:sz w:val="20"/>
                <w:szCs w:val="20"/>
                <w:color w:val="auto"/>
              </w:rPr>
            </w:pPr>
            <w:r>
              <w:rPr>
                <w:rFonts w:ascii="Arial" w:cs="Arial" w:eastAsia="Arial" w:hAnsi="Arial"/>
                <w:sz w:val="18"/>
                <w:szCs w:val="18"/>
                <w:color w:val="auto"/>
              </w:rPr>
              <w:t>- LSB Funding L.L.C.</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380" w:type="dxa"/>
            <w:vAlign w:val="bottom"/>
          </w:tcPr>
          <w:p>
            <w:pPr>
              <w:ind w:left="32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New Notes</w:t>
            </w:r>
          </w:p>
        </w:tc>
        <w:tc>
          <w:tcPr>
            <w:tcW w:w="8380" w:type="dxa"/>
            <w:vAlign w:val="bottom"/>
          </w:tcPr>
          <w:p>
            <w:pPr>
              <w:ind w:left="320"/>
              <w:spacing w:after="0"/>
              <w:rPr>
                <w:sz w:val="20"/>
                <w:szCs w:val="20"/>
                <w:color w:val="auto"/>
              </w:rPr>
            </w:pPr>
            <w:r>
              <w:rPr>
                <w:rFonts w:ascii="Arial" w:cs="Arial" w:eastAsia="Arial" w:hAnsi="Arial"/>
                <w:sz w:val="18"/>
                <w:szCs w:val="18"/>
                <w:color w:val="auto"/>
              </w:rPr>
              <w:t>- The notes issued on June 21, 2019 with an interest rate of 9.625%, which mature in May 2023.</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Note</w:t>
            </w:r>
          </w:p>
        </w:tc>
        <w:tc>
          <w:tcPr>
            <w:tcW w:w="8380" w:type="dxa"/>
            <w:vAlign w:val="bottom"/>
          </w:tcPr>
          <w:p>
            <w:pPr>
              <w:ind w:left="320"/>
              <w:spacing w:after="0"/>
              <w:rPr>
                <w:sz w:val="20"/>
                <w:szCs w:val="20"/>
                <w:color w:val="auto"/>
              </w:rPr>
            </w:pPr>
            <w:r>
              <w:rPr>
                <w:rFonts w:ascii="Arial" w:cs="Arial" w:eastAsia="Arial" w:hAnsi="Arial"/>
                <w:sz w:val="18"/>
                <w:szCs w:val="18"/>
                <w:color w:val="auto"/>
              </w:rPr>
              <w:t>- A note in the accompanying notes to the condensed consolidated financial statements.</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Notes</w:t>
            </w:r>
          </w:p>
        </w:tc>
        <w:tc>
          <w:tcPr>
            <w:tcW w:w="8380" w:type="dxa"/>
            <w:vAlign w:val="bottom"/>
          </w:tcPr>
          <w:p>
            <w:pPr>
              <w:ind w:left="320"/>
              <w:spacing w:after="0"/>
              <w:rPr>
                <w:sz w:val="20"/>
                <w:szCs w:val="20"/>
                <w:color w:val="auto"/>
              </w:rPr>
            </w:pPr>
            <w:r>
              <w:rPr>
                <w:rFonts w:ascii="Arial" w:cs="Arial" w:eastAsia="Arial" w:hAnsi="Arial"/>
                <w:sz w:val="18"/>
                <w:szCs w:val="18"/>
                <w:color w:val="auto"/>
              </w:rPr>
              <w:t>- The notes issued on April 28, 2018 with an interest rate of 9.625%, which mature in May 2023.</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8380" w:type="dxa"/>
            <w:vAlign w:val="bottom"/>
          </w:tcPr>
          <w:p>
            <w:pPr>
              <w:ind w:left="320"/>
              <w:spacing w:after="0"/>
              <w:rPr>
                <w:sz w:val="20"/>
                <w:szCs w:val="20"/>
                <w:color w:val="auto"/>
              </w:rPr>
            </w:pPr>
            <w:r>
              <w:rPr>
                <w:rFonts w:ascii="Arial" w:cs="Arial" w:eastAsia="Arial" w:hAnsi="Arial"/>
                <w:sz w:val="18"/>
                <w:szCs w:val="18"/>
                <w:color w:val="auto"/>
              </w:rPr>
              <w:t>- National Pollutant Discharge Elimination System.</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380" w:type="dxa"/>
            <w:vAlign w:val="bottom"/>
          </w:tcPr>
          <w:p>
            <w:pPr>
              <w:ind w:left="320"/>
              <w:spacing w:after="0"/>
              <w:rPr>
                <w:sz w:val="20"/>
                <w:szCs w:val="20"/>
                <w:color w:val="auto"/>
              </w:rPr>
            </w:pPr>
            <w:r>
              <w:rPr>
                <w:rFonts w:ascii="Arial" w:cs="Arial" w:eastAsia="Arial" w:hAnsi="Arial"/>
                <w:sz w:val="18"/>
                <w:szCs w:val="18"/>
                <w:color w:val="auto"/>
              </w:rPr>
              <w:t>- The Oklahoma Department of Environmental Quality.</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PAR</w:t>
            </w:r>
          </w:p>
        </w:tc>
        <w:tc>
          <w:tcPr>
            <w:tcW w:w="8380" w:type="dxa"/>
            <w:vAlign w:val="bottom"/>
          </w:tcPr>
          <w:p>
            <w:pPr>
              <w:ind w:left="320"/>
              <w:spacing w:after="0"/>
              <w:rPr>
                <w:sz w:val="20"/>
                <w:szCs w:val="20"/>
                <w:color w:val="auto"/>
              </w:rPr>
            </w:pPr>
            <w:r>
              <w:rPr>
                <w:rFonts w:ascii="Arial" w:cs="Arial" w:eastAsia="Arial" w:hAnsi="Arial"/>
                <w:sz w:val="18"/>
                <w:szCs w:val="18"/>
                <w:color w:val="auto"/>
              </w:rPr>
              <w:t>- Permit Appeal Resolution.</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8380" w:type="dxa"/>
            <w:vAlign w:val="bottom"/>
          </w:tcPr>
          <w:p>
            <w:pPr>
              <w:ind w:left="320"/>
              <w:spacing w:after="0"/>
              <w:rPr>
                <w:sz w:val="20"/>
                <w:szCs w:val="20"/>
                <w:color w:val="auto"/>
              </w:rPr>
            </w:pPr>
            <w:r>
              <w:rPr>
                <w:rFonts w:ascii="Arial" w:cs="Arial" w:eastAsia="Arial" w:hAnsi="Arial"/>
                <w:sz w:val="18"/>
                <w:szCs w:val="18"/>
                <w:color w:val="auto"/>
              </w:rPr>
              <w:t>- Pryor Chemical Company.</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8380" w:type="dxa"/>
            <w:vAlign w:val="bottom"/>
          </w:tcPr>
          <w:p>
            <w:pPr>
              <w:ind w:left="320"/>
              <w:spacing w:after="0"/>
              <w:rPr>
                <w:sz w:val="20"/>
                <w:szCs w:val="20"/>
                <w:color w:val="auto"/>
              </w:rPr>
            </w:pPr>
            <w:r>
              <w:rPr>
                <w:rFonts w:ascii="Arial" w:cs="Arial" w:eastAsia="Arial" w:hAnsi="Arial"/>
                <w:sz w:val="18"/>
                <w:szCs w:val="18"/>
                <w:color w:val="auto"/>
              </w:rPr>
              <w:t>- Plant, property and equipment.</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PPP</w:t>
            </w:r>
          </w:p>
        </w:tc>
        <w:tc>
          <w:tcPr>
            <w:tcW w:w="8380" w:type="dxa"/>
            <w:vAlign w:val="bottom"/>
          </w:tcPr>
          <w:p>
            <w:pPr>
              <w:ind w:left="320"/>
              <w:spacing w:after="0"/>
              <w:rPr>
                <w:sz w:val="20"/>
                <w:szCs w:val="20"/>
                <w:color w:val="auto"/>
              </w:rPr>
            </w:pPr>
            <w:r>
              <w:rPr>
                <w:rFonts w:ascii="Arial" w:cs="Arial" w:eastAsia="Arial" w:hAnsi="Arial"/>
                <w:sz w:val="18"/>
                <w:szCs w:val="18"/>
                <w:color w:val="auto"/>
              </w:rPr>
              <w:t>- Paycheck Protection Program.</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380" w:type="dxa"/>
            <w:vAlign w:val="bottom"/>
          </w:tcPr>
          <w:p>
            <w:pPr>
              <w:ind w:left="32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8380" w:type="dxa"/>
            <w:vAlign w:val="bottom"/>
          </w:tcPr>
          <w:p>
            <w:pPr>
              <w:ind w:left="320"/>
              <w:spacing w:after="0"/>
              <w:rPr>
                <w:sz w:val="20"/>
                <w:szCs w:val="20"/>
                <w:color w:val="auto"/>
              </w:rPr>
            </w:pPr>
            <w:r>
              <w:rPr>
                <w:rFonts w:ascii="Arial" w:cs="Arial" w:eastAsia="Arial" w:hAnsi="Arial"/>
                <w:sz w:val="18"/>
                <w:szCs w:val="18"/>
                <w:color w:val="auto"/>
              </w:rPr>
              <w:t>- LSB Funding L.L.C.</w:t>
            </w:r>
          </w:p>
        </w:tc>
      </w:tr>
      <w:tr>
        <w:trPr>
          <w:trHeight w:val="257"/>
        </w:trPr>
        <w:tc>
          <w:tcPr>
            <w:tcW w:w="2860" w:type="dxa"/>
            <w:vAlign w:val="bottom"/>
          </w:tcPr>
          <w:p>
            <w:pPr>
              <w:spacing w:after="0"/>
              <w:rPr>
                <w:sz w:val="20"/>
                <w:szCs w:val="20"/>
                <w:color w:val="auto"/>
              </w:rPr>
            </w:pPr>
            <w:r>
              <w:rPr>
                <w:rFonts w:ascii="Arial" w:cs="Arial" w:eastAsia="Arial" w:hAnsi="Arial"/>
                <w:sz w:val="18"/>
                <w:szCs w:val="18"/>
                <w:b w:val="1"/>
                <w:bCs w:val="1"/>
                <w:color w:val="auto"/>
              </w:rPr>
              <w:t>SBA</w:t>
            </w:r>
          </w:p>
        </w:tc>
        <w:tc>
          <w:tcPr>
            <w:tcW w:w="8380" w:type="dxa"/>
            <w:vAlign w:val="bottom"/>
          </w:tcPr>
          <w:p>
            <w:pPr>
              <w:ind w:left="320"/>
              <w:spacing w:after="0"/>
              <w:rPr>
                <w:sz w:val="20"/>
                <w:szCs w:val="20"/>
                <w:color w:val="auto"/>
              </w:rPr>
            </w:pPr>
            <w:r>
              <w:rPr>
                <w:rFonts w:ascii="Arial" w:cs="Arial" w:eastAsia="Arial" w:hAnsi="Arial"/>
                <w:sz w:val="18"/>
                <w:szCs w:val="18"/>
                <w:color w:val="auto"/>
              </w:rPr>
              <w:t>- Small Business Administration</w:t>
            </w:r>
          </w:p>
        </w:tc>
      </w:tr>
      <w:tr>
        <w:trPr>
          <w:trHeight w:val="256"/>
        </w:trPr>
        <w:tc>
          <w:tcPr>
            <w:tcW w:w="286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380" w:type="dxa"/>
            <w:vAlign w:val="bottom"/>
          </w:tcPr>
          <w:p>
            <w:pPr>
              <w:ind w:left="320"/>
              <w:spacing w:after="0"/>
              <w:rPr>
                <w:sz w:val="20"/>
                <w:szCs w:val="20"/>
                <w:color w:val="auto"/>
              </w:rPr>
            </w:pPr>
            <w:r>
              <w:rPr>
                <w:rFonts w:ascii="Arial" w:cs="Arial" w:eastAsia="Arial" w:hAnsi="Arial"/>
                <w:sz w:val="18"/>
                <w:szCs w:val="18"/>
                <w:color w:val="auto"/>
              </w:rPr>
              <w:t>- The U.S. Securities and Exchange Commission.</w:t>
            </w:r>
          </w:p>
        </w:tc>
      </w:tr>
      <w:tr>
        <w:trPr>
          <w:trHeight w:val="432"/>
        </w:trPr>
        <w:tc>
          <w:tcPr>
            <w:tcW w:w="2860" w:type="dxa"/>
            <w:vAlign w:val="bottom"/>
          </w:tcPr>
          <w:p>
            <w:pPr>
              <w:spacing w:after="0"/>
              <w:rPr>
                <w:sz w:val="24"/>
                <w:szCs w:val="24"/>
                <w:color w:val="auto"/>
              </w:rPr>
            </w:pPr>
          </w:p>
        </w:tc>
        <w:tc>
          <w:tcPr>
            <w:tcW w:w="8380" w:type="dxa"/>
            <w:vAlign w:val="bottom"/>
          </w:tcPr>
          <w:p>
            <w:pPr>
              <w:ind w:left="2680"/>
              <w:spacing w:after="0"/>
              <w:rPr>
                <w:sz w:val="20"/>
                <w:szCs w:val="20"/>
                <w:color w:val="auto"/>
              </w:rPr>
            </w:pPr>
            <w:r>
              <w:rPr>
                <w:rFonts w:ascii="Arial" w:cs="Arial" w:eastAsia="Arial" w:hAnsi="Arial"/>
                <w:sz w:val="18"/>
                <w:szCs w:val="18"/>
                <w:color w:val="auto"/>
              </w:rPr>
              <w:t>36</w:t>
            </w:r>
          </w:p>
        </w:tc>
      </w:tr>
      <w:tr>
        <w:trPr>
          <w:trHeight w:val="115"/>
        </w:trPr>
        <w:tc>
          <w:tcPr>
            <w:tcW w:w="28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Secured Financing due 2023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Financing due 2025</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Loan Agreement due 2025</w:t>
      </w:r>
    </w:p>
    <w:p>
      <w:pPr>
        <w:spacing w:after="0" w:line="289" w:lineRule="exact"/>
        <w:rPr>
          <w:sz w:val="20"/>
          <w:szCs w:val="20"/>
          <w:color w:val="auto"/>
        </w:rPr>
      </w:pPr>
    </w:p>
    <w:p>
      <w:pPr>
        <w:ind w:right="20"/>
        <w:spacing w:after="0" w:line="297" w:lineRule="auto"/>
        <w:rPr>
          <w:sz w:val="20"/>
          <w:szCs w:val="20"/>
          <w:color w:val="auto"/>
        </w:rPr>
      </w:pPr>
      <w:r>
        <w:rPr>
          <w:rFonts w:ascii="Arial" w:cs="Arial" w:eastAsia="Arial" w:hAnsi="Arial"/>
          <w:sz w:val="18"/>
          <w:szCs w:val="18"/>
          <w:b w:val="1"/>
          <w:bCs w:val="1"/>
          <w:color w:val="auto"/>
        </w:rPr>
        <w:t>Secured Promissory Note due 2021 Senior Secured Notes Series B Preferred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Preferred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E Redeemable Preferred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Redeemable Preferred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SG&amp;A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Turnaround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USDA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WASDE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 Fertilizer</w:t>
      </w:r>
    </w:p>
    <w:p>
      <w:pPr>
        <w:spacing w:after="0" w:line="50" w:lineRule="exact"/>
        <w:rPr>
          <w:sz w:val="20"/>
          <w:szCs w:val="20"/>
          <w:color w:val="auto"/>
        </w:rPr>
      </w:pPr>
    </w:p>
    <w:p>
      <w:pPr>
        <w:ind w:right="220"/>
        <w:spacing w:after="0" w:line="329" w:lineRule="auto"/>
        <w:rPr>
          <w:sz w:val="20"/>
          <w:szCs w:val="20"/>
          <w:color w:val="auto"/>
        </w:rPr>
      </w:pPr>
      <w:r>
        <w:rPr>
          <w:rFonts w:ascii="Arial" w:cs="Arial" w:eastAsia="Arial" w:hAnsi="Arial"/>
          <w:sz w:val="18"/>
          <w:szCs w:val="18"/>
          <w:b w:val="1"/>
          <w:bCs w:val="1"/>
          <w:color w:val="auto"/>
        </w:rPr>
        <w:t>Working Capital Revolver Loan 2019 Crop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Crop</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Crop</w:t>
      </w:r>
    </w:p>
    <w:p>
      <w:pPr>
        <w:spacing w:after="0" w:line="20" w:lineRule="exact"/>
        <w:rPr>
          <w:sz w:val="20"/>
          <w:szCs w:val="20"/>
          <w:color w:val="auto"/>
        </w:rPr>
      </w:pPr>
      <w:r>
        <w:rPr>
          <w:sz w:val="20"/>
          <w:szCs w:val="20"/>
          <w:color w:val="auto"/>
        </w:rPr>
        <w:br w:type="column"/>
      </w:r>
    </w:p>
    <w:p>
      <w:pPr>
        <w:ind w:left="96" w:hanging="96"/>
        <w:spacing w:after="0" w:line="273" w:lineRule="auto"/>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secured financing arrangement between EDC and an affiliate of LSB Funding L.L.C. which matures in June 2023.</w:t>
      </w:r>
    </w:p>
    <w:p>
      <w:pPr>
        <w:spacing w:after="0" w:line="1" w:lineRule="exact"/>
        <w:rPr>
          <w:rFonts w:ascii="Arial" w:cs="Arial" w:eastAsia="Arial" w:hAnsi="Arial"/>
          <w:sz w:val="18"/>
          <w:szCs w:val="18"/>
          <w:color w:val="auto"/>
        </w:rPr>
      </w:pPr>
    </w:p>
    <w:p>
      <w:pPr>
        <w:ind w:left="96" w:hanging="96"/>
        <w:spacing w:after="0" w:line="273" w:lineRule="auto"/>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secured financing arrangement between EDA and an affiliate of LSB Funding L.L.C. which matures in August 2025.</w:t>
      </w:r>
    </w:p>
    <w:p>
      <w:pPr>
        <w:spacing w:after="0" w:line="1"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secured loan agreement between EDC and an affiliate of LSB Funding L.L.C. which matures in March 2025.</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secured promissory note between EDC and a lender which, matured in March 2021.</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Notes and New Notes, taken together due on May 1, 2023 with a stated interest rate of 9.625%.</w:t>
      </w:r>
    </w:p>
    <w:p>
      <w:pPr>
        <w:spacing w:after="0" w:line="61" w:lineRule="exact"/>
        <w:rPr>
          <w:rFonts w:ascii="Arial" w:cs="Arial" w:eastAsia="Arial" w:hAnsi="Arial"/>
          <w:sz w:val="17"/>
          <w:szCs w:val="17"/>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Series B 12% cumulative convertible Class C Preferred stock.</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Series D 6% cumulative convertible Class C preferred stock.</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14% Series E Redeemable Preferred stock with participating rights and liquidating distributions based on a certain number of shares of our common stock.</w:t>
      </w:r>
    </w:p>
    <w:p>
      <w:pPr>
        <w:spacing w:after="0" w:line="1" w:lineRule="exact"/>
        <w:rPr>
          <w:rFonts w:ascii="Arial" w:cs="Arial" w:eastAsia="Arial" w:hAnsi="Arial"/>
          <w:sz w:val="18"/>
          <w:szCs w:val="18"/>
          <w:color w:val="auto"/>
        </w:rPr>
      </w:pPr>
    </w:p>
    <w:p>
      <w:pPr>
        <w:ind w:left="96" w:right="20" w:hanging="96"/>
        <w:spacing w:after="0" w:line="273" w:lineRule="auto"/>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Series F Redeemable Preferred stock with one share to vote as a single class on all matters with our common stock equal to 456,225 shares of our common stock.</w:t>
      </w:r>
    </w:p>
    <w:p>
      <w:pPr>
        <w:spacing w:after="0" w:line="1"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Selling, general and administrative expense.</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planned major maintenance activity.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Urea ammonium nitrate.</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United States.</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United States Department of Agriculture.</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World Agricultural Supply and Demand Estimates Report.</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West Fertilizer Company.</w:t>
      </w:r>
    </w:p>
    <w:p>
      <w:pPr>
        <w:spacing w:after="0" w:line="49" w:lineRule="exact"/>
        <w:rPr>
          <w:rFonts w:ascii="Arial" w:cs="Arial" w:eastAsia="Arial" w:hAnsi="Arial"/>
          <w:sz w:val="18"/>
          <w:szCs w:val="18"/>
          <w:color w:val="auto"/>
        </w:rPr>
      </w:pPr>
    </w:p>
    <w:p>
      <w:pPr>
        <w:ind w:left="96" w:hanging="96"/>
        <w:spacing w:after="0"/>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secured revolving credit facility.</w:t>
      </w:r>
    </w:p>
    <w:p>
      <w:pPr>
        <w:spacing w:after="0" w:line="49" w:lineRule="exact"/>
        <w:rPr>
          <w:rFonts w:ascii="Arial" w:cs="Arial" w:eastAsia="Arial" w:hAnsi="Arial"/>
          <w:sz w:val="18"/>
          <w:szCs w:val="18"/>
          <w:color w:val="auto"/>
        </w:rPr>
      </w:pPr>
    </w:p>
    <w:p>
      <w:pPr>
        <w:ind w:left="96" w:hanging="96"/>
        <w:spacing w:after="0" w:line="273" w:lineRule="auto"/>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Corn crop marketing year (September 1 - August 31), which began in 2018 and ended in 2019 and primarily relates to corn planted and harvested in 2018.</w:t>
      </w:r>
    </w:p>
    <w:p>
      <w:pPr>
        <w:spacing w:after="0" w:line="1" w:lineRule="exact"/>
        <w:rPr>
          <w:rFonts w:ascii="Arial" w:cs="Arial" w:eastAsia="Arial" w:hAnsi="Arial"/>
          <w:sz w:val="18"/>
          <w:szCs w:val="18"/>
          <w:color w:val="auto"/>
        </w:rPr>
      </w:pPr>
    </w:p>
    <w:p>
      <w:pPr>
        <w:ind w:left="96" w:hanging="96"/>
        <w:spacing w:after="0" w:line="273" w:lineRule="auto"/>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Corn crop marketing year (September 1 - August 31), which began in 2019 and ended in 2020 and primarily relates to corn planted and harvested in 2019.</w:t>
      </w:r>
    </w:p>
    <w:p>
      <w:pPr>
        <w:spacing w:after="0" w:line="1" w:lineRule="exact"/>
        <w:rPr>
          <w:rFonts w:ascii="Arial" w:cs="Arial" w:eastAsia="Arial" w:hAnsi="Arial"/>
          <w:sz w:val="18"/>
          <w:szCs w:val="18"/>
          <w:color w:val="auto"/>
        </w:rPr>
      </w:pPr>
    </w:p>
    <w:p>
      <w:pPr>
        <w:ind w:left="96" w:hanging="96"/>
        <w:spacing w:after="0" w:line="277" w:lineRule="auto"/>
        <w:tabs>
          <w:tab w:leader="none" w:pos="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Corn crop marketing year (September 1 - August 31), which began in 2020 and will end in 2021 and primarily relates to corn planted and harvested in 2020.</w:t>
      </w:r>
    </w:p>
    <w:p>
      <w:pPr>
        <w:spacing w:after="0" w:line="386" w:lineRule="exact"/>
        <w:rPr>
          <w:sz w:val="20"/>
          <w:szCs w:val="20"/>
          <w:color w:val="auto"/>
        </w:rPr>
      </w:pPr>
    </w:p>
    <w:p>
      <w:pPr>
        <w:ind w:left="2356"/>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700" w:space="484"/>
            <w:col w:w="8056"/>
          </w:cols>
          <w:pgMar w:left="320" w:top="378"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5—Commitments and Contingencies—Legal Matters” in the Notes to the Condensed Consolidated Financial Statements in this Form 10-Q.</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Item 1A of our 2020 Form 10-K, filed with the SEC on February 25, 2021. There are no material changes from the risk factors disclosed in our 2020 Form 10-K.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on page 39.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auto"/>
        </w:rPr>
        <w:t>Index to Exhibits Item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40" w:type="dxa"/>
            <w:vAlign w:val="bottom"/>
            <w:gridSpan w:val="10"/>
            <w:vMerge w:val="restart"/>
          </w:tcPr>
          <w:p>
            <w:pPr>
              <w:ind w:left="400"/>
              <w:spacing w:after="0"/>
              <w:rPr>
                <w:sz w:val="20"/>
                <w:szCs w:val="20"/>
                <w:color w:val="auto"/>
              </w:rPr>
            </w:pPr>
            <w:r>
              <w:rPr>
                <w:rFonts w:ascii="Arial" w:cs="Arial" w:eastAsia="Arial" w:hAnsi="Arial"/>
                <w:sz w:val="14"/>
                <w:szCs w:val="14"/>
                <w:b w:val="1"/>
                <w:bCs w:val="1"/>
                <w:color w:val="auto"/>
              </w:rPr>
              <w:t>Exhibit Title</w:t>
            </w:r>
          </w:p>
        </w:tc>
        <w:tc>
          <w:tcPr>
            <w:tcW w:w="60" w:type="dxa"/>
            <w:vAlign w:val="bottom"/>
            <w:vMerge w:val="restart"/>
          </w:tcPr>
          <w:p>
            <w:pPr>
              <w:spacing w:after="0"/>
              <w:rPr>
                <w:sz w:val="14"/>
                <w:szCs w:val="14"/>
                <w:color w:val="auto"/>
              </w:rPr>
            </w:pPr>
          </w:p>
        </w:tc>
        <w:tc>
          <w:tcPr>
            <w:tcW w:w="4480" w:type="dxa"/>
            <w:vAlign w:val="bottom"/>
          </w:tcPr>
          <w:p>
            <w:pPr>
              <w:ind w:left="142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10"/>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480" w:type="dxa"/>
            <w:vAlign w:val="bottom"/>
            <w:tcBorders>
              <w:bottom w:val="single" w:sz="8" w:color="auto"/>
            </w:tcBorders>
          </w:tcPr>
          <w:p>
            <w:pPr>
              <w:ind w:left="174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290"/>
        </w:trPr>
        <w:tc>
          <w:tcPr>
            <w:tcW w:w="1140" w:type="dxa"/>
            <w:vAlign w:val="bottom"/>
          </w:tcPr>
          <w:p>
            <w:pPr>
              <w:ind w:left="100"/>
              <w:spacing w:after="0"/>
              <w:rPr>
                <w:sz w:val="20"/>
                <w:szCs w:val="20"/>
                <w:color w:val="auto"/>
              </w:rPr>
            </w:pPr>
            <w:r>
              <w:rPr>
                <w:rFonts w:ascii="Arial" w:cs="Arial" w:eastAsia="Arial" w:hAnsi="Arial"/>
                <w:sz w:val="18"/>
                <w:szCs w:val="18"/>
                <w:color w:val="auto"/>
              </w:rPr>
              <w:t>3(i).1</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5"/>
              </w:rPr>
            </w:pPr>
            <w:hyperlink r:id="rId61">
              <w:r>
                <w:rPr>
                  <w:rFonts w:ascii="Arial" w:cs="Arial" w:eastAsia="Arial" w:hAnsi="Arial"/>
                  <w:sz w:val="18"/>
                  <w:szCs w:val="18"/>
                  <w:color w:val="0000EE"/>
                  <w:w w:val="95"/>
                </w:rPr>
                <w:t>Restated  Certificate  of  Incorporation  of  LSB  Industries,  Inc.,  dated</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Exhibit  3(i).1  to  the  Company’s  Form  10-K  filed  on</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61">
              <w:r>
                <w:rPr>
                  <w:rFonts w:ascii="Arial" w:cs="Arial" w:eastAsia="Arial" w:hAnsi="Arial"/>
                  <w:sz w:val="18"/>
                  <w:szCs w:val="18"/>
                  <w:color w:val="0000EE"/>
                  <w:w w:val="88"/>
                </w:rPr>
                <w:t>January 21, 1977, as amended August 27, 1987</w:t>
              </w:r>
            </w:hyperlink>
          </w:p>
        </w:tc>
        <w:tc>
          <w:tcPr>
            <w:tcW w:w="2080" w:type="dxa"/>
            <w:vAlign w:val="bottom"/>
            <w:gridSpan w:val="7"/>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February 28, 2013</w:t>
            </w: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3(ii).1</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3"/>
              </w:rPr>
            </w:pPr>
            <w:hyperlink r:id="rId62">
              <w:r>
                <w:rPr>
                  <w:rFonts w:ascii="Arial" w:cs="Arial" w:eastAsia="Arial" w:hAnsi="Arial"/>
                  <w:sz w:val="18"/>
                  <w:szCs w:val="18"/>
                  <w:color w:val="0000EE"/>
                  <w:w w:val="93"/>
                </w:rPr>
                <w:t>Amended and Restated Bylaws of LSB Industries, Inc. dated August 20,</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7"/>
              </w:rPr>
              <w:t>Exhibit 3(ii).1 to the Company’s Form 8-K filed August 27,</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2009, as amended February 18, 2010, January 17, 2014, February 4, 2014</w:t>
              </w:r>
            </w:hyperlink>
          </w:p>
        </w:tc>
        <w:tc>
          <w:tcPr>
            <w:tcW w:w="100" w:type="dxa"/>
            <w:vAlign w:val="bottom"/>
            <w:gridSpan w:val="3"/>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and August 21, 2014</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3(ii).2</w:t>
            </w:r>
          </w:p>
        </w:tc>
        <w:tc>
          <w:tcPr>
            <w:tcW w:w="12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w w:val="98"/>
              </w:rPr>
            </w:pPr>
            <w:hyperlink r:id="rId63">
              <w:r>
                <w:rPr>
                  <w:rFonts w:ascii="Arial" w:cs="Arial" w:eastAsia="Arial" w:hAnsi="Arial"/>
                  <w:sz w:val="18"/>
                  <w:szCs w:val="18"/>
                  <w:color w:val="0000EE"/>
                  <w:w w:val="98"/>
                </w:rPr>
                <w:t>Fifth  Amendment  to  the  Amended  and  Restated  Bylaws  of  LSB</w:t>
              </w:r>
            </w:hyperlink>
          </w:p>
        </w:tc>
        <w:tc>
          <w:tcPr>
            <w:tcW w:w="8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Exhibit 3(ii) to the Company’s Form 8-K filed April 30,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Industries, Inc., dated as of April 26, 2015</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3(ii).3</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7"/>
              </w:rPr>
            </w:pPr>
            <w:hyperlink r:id="rId64">
              <w:r>
                <w:rPr>
                  <w:rFonts w:ascii="Arial" w:cs="Arial" w:eastAsia="Arial" w:hAnsi="Arial"/>
                  <w:sz w:val="18"/>
                  <w:szCs w:val="18"/>
                  <w:color w:val="0000EE"/>
                  <w:w w:val="97"/>
                </w:rPr>
                <w:t>Sixth  Amendment  to  the  Amended  and  Restated  Bylaws  of  LSB</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6"/>
              </w:rPr>
              <w:t>Exhibit 3(ii) to the Company’s Form 8-K filed December 8,</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Industries, Inc., dated as of December 2, 2015</w:t>
              </w:r>
            </w:hyperlink>
          </w:p>
        </w:tc>
        <w:tc>
          <w:tcPr>
            <w:tcW w:w="2180" w:type="dxa"/>
            <w:vAlign w:val="bottom"/>
            <w:gridSpan w:val="9"/>
          </w:tcPr>
          <w:p>
            <w:pPr>
              <w:spacing w:after="0"/>
              <w:rPr>
                <w:sz w:val="17"/>
                <w:szCs w:val="17"/>
                <w:color w:val="auto"/>
              </w:rPr>
            </w:pPr>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3(ii).4</w:t>
            </w:r>
          </w:p>
        </w:tc>
        <w:tc>
          <w:tcPr>
            <w:tcW w:w="120" w:type="dxa"/>
            <w:vAlign w:val="bottom"/>
          </w:tcPr>
          <w:p>
            <w:pPr>
              <w:spacing w:after="0"/>
              <w:rPr>
                <w:sz w:val="24"/>
                <w:szCs w:val="24"/>
                <w:color w:val="auto"/>
              </w:rPr>
            </w:pPr>
          </w:p>
        </w:tc>
        <w:tc>
          <w:tcPr>
            <w:tcW w:w="5420" w:type="dxa"/>
            <w:vAlign w:val="bottom"/>
            <w:tcBorders>
              <w:bottom w:val="single" w:sz="8" w:color="0000EE"/>
            </w:tcBorders>
            <w:gridSpan w:val="11"/>
          </w:tcPr>
          <w:p>
            <w:pPr>
              <w:spacing w:after="0"/>
              <w:rPr>
                <w:rFonts w:ascii="Arial" w:cs="Arial" w:eastAsia="Arial" w:hAnsi="Arial"/>
                <w:sz w:val="18"/>
                <w:szCs w:val="18"/>
                <w:color w:val="0000EE"/>
              </w:rPr>
            </w:pPr>
            <w:hyperlink r:id="rId65">
              <w:r>
                <w:rPr>
                  <w:rFonts w:ascii="Arial" w:cs="Arial" w:eastAsia="Arial" w:hAnsi="Arial"/>
                  <w:sz w:val="18"/>
                  <w:szCs w:val="18"/>
                  <w:color w:val="0000EE"/>
                </w:rPr>
                <w:t>Seventh Amendment to the Amended and Restated Bylaws of LSB</w:t>
              </w:r>
            </w:hyperlink>
          </w:p>
        </w:tc>
        <w:tc>
          <w:tcPr>
            <w:tcW w:w="80" w:type="dxa"/>
            <w:vAlign w:val="bottom"/>
            <w:gridSpan w:val="2"/>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4"/>
              </w:rPr>
              <w:t>Exhibit 3(ii) to the Company’s Form 8-K filed December 29,</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Industries, Inc., dated as of December 22, 2015</w:t>
              </w:r>
            </w:hyperlink>
          </w:p>
        </w:tc>
        <w:tc>
          <w:tcPr>
            <w:tcW w:w="4480" w:type="dxa"/>
            <w:vAlign w:val="bottom"/>
          </w:tcPr>
          <w:p>
            <w:pPr>
              <w:spacing w:after="0" w:line="196" w:lineRule="exact"/>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5"/>
              </w:rPr>
            </w:pPr>
            <w:hyperlink r:id="rId66">
              <w:r>
                <w:rPr>
                  <w:rFonts w:ascii="Arial" w:cs="Arial" w:eastAsia="Arial" w:hAnsi="Arial"/>
                  <w:sz w:val="18"/>
                  <w:szCs w:val="18"/>
                  <w:color w:val="0000EE"/>
                  <w:w w:val="95"/>
                </w:rPr>
                <w:t>Certificate of Designations of Series G Class C Preferred Stock of LSB</w:t>
              </w:r>
            </w:hyperlink>
          </w:p>
        </w:tc>
        <w:tc>
          <w:tcPr>
            <w:tcW w:w="100" w:type="dxa"/>
            <w:vAlign w:val="bottom"/>
            <w:gridSpan w:val="3"/>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9"/>
              </w:rPr>
              <w:t>Exhibit 3.1 to the Company’s Form 8-K filed July 6, 2020</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0" w:type="dxa"/>
            <w:vAlign w:val="bottom"/>
            <w:tcBorders>
              <w:bottom w:val="single" w:sz="8" w:color="0000EE"/>
            </w:tcBorders>
            <w:gridSpan w:val="10"/>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Industries, Inc., as filed with the Secretary of State of the State of</w:t>
              </w:r>
            </w:hyperlink>
          </w:p>
        </w:tc>
        <w:tc>
          <w:tcPr>
            <w:tcW w:w="100" w:type="dxa"/>
            <w:vAlign w:val="bottom"/>
            <w:gridSpan w:val="3"/>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10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19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Delaware on July 6, 2020.</w:t>
              </w:r>
            </w:hyperlink>
          </w:p>
        </w:tc>
        <w:tc>
          <w:tcPr>
            <w:tcW w:w="3600" w:type="dxa"/>
            <w:vAlign w:val="bottom"/>
            <w:gridSpan w:val="11"/>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31.1(a)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41">
              <w:r>
                <w:rPr>
                  <w:rFonts w:ascii="Arial" w:cs="Arial" w:eastAsia="Arial" w:hAnsi="Arial"/>
                  <w:sz w:val="18"/>
                  <w:szCs w:val="18"/>
                  <w:color w:val="0000EE"/>
                  <w:w w:val="97"/>
                </w:rPr>
                <w:t>Certification of Mark T. Behrman, Chief Executive Officer, pursuant to</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31.2(a)</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42">
              <w:r>
                <w:rPr>
                  <w:rFonts w:ascii="Arial" w:cs="Arial" w:eastAsia="Arial" w:hAnsi="Arial"/>
                  <w:sz w:val="18"/>
                  <w:szCs w:val="18"/>
                  <w:color w:val="0000EE"/>
                  <w:w w:val="97"/>
                </w:rPr>
                <w:t>Certification of Cheryl A. Maguire, Chief Financial Officer, pursuant to</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Sarbanes-Oxley Act of 2002, Section 302</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32.1(b)</w:t>
            </w:r>
          </w:p>
        </w:tc>
        <w:tc>
          <w:tcPr>
            <w:tcW w:w="120" w:type="dxa"/>
            <w:vAlign w:val="bottom"/>
          </w:tcPr>
          <w:p>
            <w:pPr>
              <w:spacing w:after="0"/>
              <w:rPr>
                <w:sz w:val="24"/>
                <w:szCs w:val="24"/>
                <w:color w:val="auto"/>
              </w:rPr>
            </w:pPr>
          </w:p>
        </w:tc>
        <w:tc>
          <w:tcPr>
            <w:tcW w:w="540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Certification of Mark T. Behrman,  Chief  Executive  Officer,  furnished</w:t>
              </w:r>
            </w:hyperlink>
          </w:p>
        </w:tc>
        <w:tc>
          <w:tcPr>
            <w:tcW w:w="100" w:type="dxa"/>
            <w:vAlign w:val="bottom"/>
            <w:gridSpan w:val="3"/>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43">
              <w:r>
                <w:rPr>
                  <w:rFonts w:ascii="Arial" w:cs="Arial" w:eastAsia="Arial" w:hAnsi="Arial"/>
                  <w:sz w:val="18"/>
                  <w:szCs w:val="18"/>
                  <w:color w:val="0000EE"/>
                  <w:w w:val="86"/>
                </w:rPr>
                <w:t>pursuant to Sarbanes-Oxley Act of 2002, Section 906</w:t>
              </w:r>
            </w:hyperlink>
          </w:p>
        </w:tc>
        <w:tc>
          <w:tcPr>
            <w:tcW w:w="1820" w:type="dxa"/>
            <w:vAlign w:val="bottom"/>
            <w:gridSpan w:val="6"/>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00"/>
              <w:spacing w:after="0"/>
              <w:rPr>
                <w:sz w:val="20"/>
                <w:szCs w:val="20"/>
                <w:color w:val="auto"/>
              </w:rPr>
            </w:pPr>
            <w:r>
              <w:rPr>
                <w:rFonts w:ascii="Arial" w:cs="Arial" w:eastAsia="Arial" w:hAnsi="Arial"/>
                <w:sz w:val="18"/>
                <w:szCs w:val="18"/>
                <w:color w:val="auto"/>
              </w:rPr>
              <w:t>32.2(b)</w:t>
            </w:r>
          </w:p>
        </w:tc>
        <w:tc>
          <w:tcPr>
            <w:tcW w:w="120" w:type="dxa"/>
            <w:vAlign w:val="bottom"/>
          </w:tcPr>
          <w:p>
            <w:pPr>
              <w:spacing w:after="0"/>
              <w:rPr>
                <w:sz w:val="24"/>
                <w:szCs w:val="24"/>
                <w:color w:val="auto"/>
              </w:rPr>
            </w:pPr>
          </w:p>
        </w:tc>
        <w:tc>
          <w:tcPr>
            <w:tcW w:w="5380" w:type="dxa"/>
            <w:vAlign w:val="bottom"/>
            <w:tcBorders>
              <w:bottom w:val="single" w:sz="8" w:color="0000EE"/>
            </w:tcBorders>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Certification of Cheryl A. Maguire, Chief Financial Officer, furnished</w:t>
              </w:r>
            </w:hyperlink>
          </w:p>
        </w:tc>
        <w:tc>
          <w:tcPr>
            <w:tcW w:w="120" w:type="dxa"/>
            <w:vAlign w:val="bottom"/>
            <w:gridSpan w:val="4"/>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pursuant to Sarbanes-Oxley Act of 2002, Section 906</w:t>
              </w:r>
            </w:hyperlink>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gridSpan w:val="8"/>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40" w:type="dxa"/>
            <w:vAlign w:val="bottom"/>
          </w:tcPr>
          <w:p>
            <w:pPr>
              <w:spacing w:after="0"/>
              <w:rPr>
                <w:sz w:val="20"/>
                <w:szCs w:val="20"/>
                <w:color w:val="auto"/>
              </w:rPr>
            </w:pPr>
            <w:r>
              <w:rPr>
                <w:rFonts w:ascii="Arial" w:cs="Arial" w:eastAsia="Arial" w:hAnsi="Arial"/>
                <w:sz w:val="18"/>
                <w:szCs w:val="18"/>
                <w:color w:val="auto"/>
              </w:rPr>
              <w:t>101.INS(a)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w w:val="92"/>
              </w:rPr>
              <w:t>Inline XBRL Instance Document – the instance document does not appear</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w w:val="96"/>
              </w:rPr>
              <w:t>in the Interactive Data File because its XBRL tags are embedded within</w:t>
            </w: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the Inline XBRL document.</w:t>
            </w: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101.SCH(a)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101.CAL(a)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101.DEF(a)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101.LAB(a)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140" w:type="dxa"/>
            <w:vAlign w:val="bottom"/>
          </w:tcPr>
          <w:p>
            <w:pPr>
              <w:spacing w:after="0"/>
              <w:rPr>
                <w:sz w:val="20"/>
                <w:szCs w:val="20"/>
                <w:color w:val="auto"/>
              </w:rPr>
            </w:pPr>
            <w:r>
              <w:rPr>
                <w:rFonts w:ascii="Arial" w:cs="Arial" w:eastAsia="Arial" w:hAnsi="Arial"/>
                <w:sz w:val="18"/>
                <w:szCs w:val="18"/>
                <w:color w:val="auto"/>
              </w:rPr>
              <w:t>101.PRE(a)</w:t>
            </w:r>
          </w:p>
        </w:tc>
        <w:tc>
          <w:tcPr>
            <w:tcW w:w="120" w:type="dxa"/>
            <w:vAlign w:val="bottom"/>
          </w:tcPr>
          <w:p>
            <w:pPr>
              <w:spacing w:after="0"/>
              <w:rPr>
                <w:sz w:val="24"/>
                <w:szCs w:val="24"/>
                <w:color w:val="auto"/>
              </w:rPr>
            </w:pPr>
          </w:p>
        </w:tc>
        <w:tc>
          <w:tcPr>
            <w:tcW w:w="550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60" w:right="5020" w:hanging="1252"/>
        <w:spacing w:after="0" w:line="277" w:lineRule="auto"/>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70"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29</w:t>
      </w:r>
      <w:r>
        <w:rPr>
          <w:rFonts w:ascii="Arial" w:cs="Arial" w:eastAsia="Arial" w:hAnsi="Arial"/>
          <w:sz w:val="15"/>
          <w:szCs w:val="15"/>
          <w:color w:val="auto"/>
        </w:rPr>
        <w:t>th</w:t>
      </w:r>
      <w:r>
        <w:rPr>
          <w:rFonts w:ascii="Arial" w:cs="Arial" w:eastAsia="Arial" w:hAnsi="Arial"/>
          <w:sz w:val="18"/>
          <w:szCs w:val="18"/>
          <w:color w:val="auto"/>
        </w:rPr>
        <w:t xml:space="preserve"> day of April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Harold L. Rieker,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 Financial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553"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ectPr>
          <w:pgSz w:w="11900" w:h="16838" w:orient="portrait"/>
          <w:cols w:equalWidth="0" w:num="1">
            <w:col w:w="11240"/>
          </w:cols>
          <w:pgMar w:left="320" w:top="33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Cheryl A. Maguire, certify that:</w:t>
      </w:r>
    </w:p>
    <w:p>
      <w:pPr>
        <w:spacing w:after="0" w:line="11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520" w:hanging="500"/>
        <w:spacing w:after="0" w:line="263"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20" w:hanging="500"/>
        <w:spacing w:after="0" w:line="308" w:lineRule="auto"/>
        <w:tabs>
          <w:tab w:leader="none" w:pos="15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20" w:hanging="500"/>
        <w:spacing w:after="0" w:line="277" w:lineRule="auto"/>
        <w:tabs>
          <w:tab w:leader="none" w:pos="1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240"/>
          </w:cols>
          <w:pgMar w:left="320" w:top="33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2021 as filed with the Securities and Exchange Commission on the date hereof (the “Report”). I, Mark T. Behrman, President and Chief Executive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Mark T. Behrman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 and</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240"/>
          </w:cols>
          <w:pgMar w:left="320" w:top="33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March 31, 2021 as filed with the Securities and Exchange Commission on the date hereof (the “Report”), I, Cheryl A. Maguire, Senior Vice President and Chief Financial Officer of LSB, certify pursuant to 18 U.S.C. §1350, as adopted pursuant to §906 of the Sarbanes-Oxley Act of 2002, that:</w:t>
      </w:r>
    </w:p>
    <w:p>
      <w:pPr>
        <w:spacing w:after="0" w:line="76"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Cheryl A.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Cheryl A. Maguire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April 29, 2021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upperLetter"/>
      <w:start w:val="1"/>
    </w:lvl>
  </w:abstractNum>
  <w:abstractNum w:abstractNumId="9">
    <w:nsid w:val="62BBD95A"/>
    <w:multiLevelType w:val="hybridMultilevel"/>
    <w:lvl w:ilvl="0">
      <w:lvlJc w:val="left"/>
      <w:lvlText w:val="(%1)"/>
      <w:numFmt w:val="upperLetter"/>
      <w:start w:val="3"/>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lvl w:ilvl="1">
      <w:lvlJc w:val="left"/>
      <w:lvlText w:val="(%2)"/>
      <w:numFmt w:val="decimal"/>
      <w:start w:val="1"/>
    </w:lvl>
  </w:abstractNum>
  <w:abstractNum w:abstractNumId="12">
    <w:nsid w:val="333AB105"/>
    <w:multiLevelType w:val="hybridMultilevel"/>
    <w:lvl w:ilvl="0">
      <w:lvlJc w:val="left"/>
      <w:lvlText w:val="%1."/>
      <w:numFmt w:val="decimal"/>
      <w:start w:val="7"/>
    </w:lvl>
    <w:lvl w:ilvl="1">
      <w:lvlJc w:val="left"/>
      <w:lvlText w:val="%2"/>
      <w:numFmt w:val="decimal"/>
      <w:start w:val="1"/>
    </w:lvl>
  </w:abstractNum>
  <w:abstractNum w:abstractNumId="13">
    <w:nsid w:val="721DA317"/>
    <w:multiLevelType w:val="hybridMultilevel"/>
    <w:lvl w:ilvl="0">
      <w:lvlJc w:val="left"/>
      <w:lvlText w:val="(%1)"/>
      <w:numFmt w:val="upperLetter"/>
      <w:start w:val="6"/>
    </w:lvl>
  </w:abstractNum>
  <w:abstractNum w:abstractNumId="14">
    <w:nsid w:val="2443A858"/>
    <w:multiLevelType w:val="hybridMultilevel"/>
    <w:lvl w:ilvl="0">
      <w:lvlJc w:val="left"/>
      <w:lvlText w:val="•"/>
      <w:numFmt w:val="bullet"/>
      <w:start w:val="1"/>
    </w:lvl>
    <w:lvl w:ilvl="1">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04"/>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61" Type="http://schemas.openxmlformats.org/officeDocument/2006/relationships/hyperlink" Target="http://www.sec.gov/Archives/edgar/data/60714/000119312513084410/d447083dex3i1.htm" TargetMode="External"/><Relationship Id="rId62" Type="http://schemas.openxmlformats.org/officeDocument/2006/relationships/hyperlink" Target="http://www.sec.gov/Archives/edgar/data/60714/000119312514323405/d781455dex3ii.htm" TargetMode="External"/><Relationship Id="rId63" Type="http://schemas.openxmlformats.org/officeDocument/2006/relationships/hyperlink" Target="http://www.sec.gov/Archives/edgar/data/60714/000119312515161375/d918969dex3ii.htm" TargetMode="External"/><Relationship Id="rId64" Type="http://schemas.openxmlformats.org/officeDocument/2006/relationships/hyperlink" Target="http://www.sec.gov/Archives/edgar/data/60714/000119312515397856/d22963dex3ii.htm" TargetMode="External"/><Relationship Id="rId65" Type="http://schemas.openxmlformats.org/officeDocument/2006/relationships/hyperlink" Target="http://www.sec.gov/Archives/edgar/data/60714/000119312515415325/d102136dex3ii.htm" TargetMode="External"/><Relationship Id="rId66" Type="http://schemas.openxmlformats.org/officeDocument/2006/relationships/hyperlink" Target="http://www.sec.gov/Archives/edgar/data/60714/000156459020031834/lxu-ex3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2021-04-29T16:06:53Z</dcterms:created>
  <dcterms:modified xsi:type="dcterms:W3CDTF">2021-04-29T16:06:53Z</dcterms:modified>
</cp:coreProperties>
</file>