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644525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66040</wp:posOffset>
            </wp:positionV>
            <wp:extent cx="12319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24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100330</wp:posOffset>
            </wp:positionV>
            <wp:extent cx="12319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31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171450</wp:posOffset>
            </wp:positionV>
            <wp:extent cx="12319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LSB INDUSTRIES,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152400</wp:posOffset>
            </wp:positionV>
            <wp:extent cx="12319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225" w:type="dxa"/>
        <w:tblCellMar>
          <w:top w:w="0" w:type="dxa"/>
          <w:left w:w="0" w:type="dxa"/>
          <w:bottom w:w="0" w:type="dxa"/>
          <w:right w:w="0" w:type="dxa"/>
        </w:tblCellMar>
      </w:tblPr>
      <w:tr>
        <w:trPr>
          <w:trHeight w:val="179"/>
        </w:trPr>
        <w:tc>
          <w:tcPr>
            <w:tcW w:w="14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860" w:type="dxa"/>
            <w:vAlign w:val="bottom"/>
          </w:tcPr>
          <w:p>
            <w:pPr>
              <w:jc w:val="center"/>
              <w:ind w:left="1198"/>
              <w:spacing w:after="0"/>
              <w:rPr>
                <w:sz w:val="20"/>
                <w:szCs w:val="20"/>
                <w:color w:val="auto"/>
              </w:rPr>
            </w:pPr>
            <w:r>
              <w:rPr>
                <w:rFonts w:ascii="Times New Roman" w:cs="Times New Roman" w:eastAsia="Times New Roman" w:hAnsi="Times New Roman"/>
                <w:sz w:val="14"/>
                <w:szCs w:val="14"/>
                <w:b w:val="1"/>
                <w:bCs w:val="1"/>
                <w:color w:val="auto"/>
              </w:rPr>
              <w:t>1-7677</w:t>
            </w:r>
          </w:p>
        </w:tc>
        <w:tc>
          <w:tcPr>
            <w:tcW w:w="23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73-1015226</w:t>
            </w:r>
          </w:p>
        </w:tc>
      </w:tr>
      <w:tr>
        <w:trPr>
          <w:trHeight w:val="130"/>
        </w:trPr>
        <w:tc>
          <w:tcPr>
            <w:tcW w:w="1460" w:type="dxa"/>
            <w:vAlign w:val="bottom"/>
          </w:tcPr>
          <w:p>
            <w:pPr>
              <w:jc w:val="center"/>
              <w:ind w:right="35"/>
              <w:spacing w:after="0" w:line="130" w:lineRule="exact"/>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860" w:type="dxa"/>
            <w:vAlign w:val="bottom"/>
          </w:tcPr>
          <w:p>
            <w:pPr>
              <w:jc w:val="center"/>
              <w:ind w:left="1218"/>
              <w:spacing w:after="0" w:line="130" w:lineRule="exact"/>
              <w:rPr>
                <w:sz w:val="20"/>
                <w:szCs w:val="20"/>
                <w:color w:val="auto"/>
              </w:rPr>
            </w:pPr>
            <w:r>
              <w:rPr>
                <w:rFonts w:ascii="Times New Roman" w:cs="Times New Roman" w:eastAsia="Times New Roman" w:hAnsi="Times New Roman"/>
                <w:sz w:val="12"/>
                <w:szCs w:val="12"/>
                <w:b w:val="1"/>
                <w:bCs w:val="1"/>
                <w:color w:val="auto"/>
                <w:w w:val="97"/>
              </w:rPr>
              <w:t>(Commission</w:t>
            </w:r>
          </w:p>
        </w:tc>
        <w:tc>
          <w:tcPr>
            <w:tcW w:w="2380" w:type="dxa"/>
            <w:vAlign w:val="bottom"/>
          </w:tcPr>
          <w:p>
            <w:pPr>
              <w:jc w:val="center"/>
              <w:ind w:left="1396"/>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1460" w:type="dxa"/>
            <w:vAlign w:val="bottom"/>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860" w:type="dxa"/>
            <w:vAlign w:val="bottom"/>
          </w:tcPr>
          <w:p>
            <w:pPr>
              <w:jc w:val="center"/>
              <w:ind w:left="1198"/>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2380" w:type="dxa"/>
            <w:vAlign w:val="bottom"/>
          </w:tcPr>
          <w:p>
            <w:pPr>
              <w:jc w:val="center"/>
              <w:ind w:left="1396"/>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65"/>
        </w:trPr>
        <w:tc>
          <w:tcPr>
            <w:tcW w:w="6320" w:type="dxa"/>
            <w:vAlign w:val="bottom"/>
            <w:gridSpan w:val="2"/>
          </w:tcPr>
          <w:p>
            <w:pPr>
              <w:jc w:val="center"/>
              <w:ind w:right="1198"/>
              <w:spacing w:after="0"/>
              <w:rPr>
                <w:sz w:val="20"/>
                <w:szCs w:val="20"/>
                <w:color w:val="auto"/>
              </w:rPr>
            </w:pPr>
            <w:r>
              <w:rPr>
                <w:rFonts w:ascii="Times New Roman" w:cs="Times New Roman" w:eastAsia="Times New Roman" w:hAnsi="Times New Roman"/>
                <w:sz w:val="14"/>
                <w:szCs w:val="14"/>
                <w:b w:val="1"/>
                <w:bCs w:val="1"/>
                <w:color w:val="auto"/>
              </w:rPr>
              <w:t>3503 NW 63rd Street, Suite 500, Oklahoma City, Oklahoma</w:t>
            </w:r>
          </w:p>
        </w:tc>
        <w:tc>
          <w:tcPr>
            <w:tcW w:w="23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73116</w:t>
            </w:r>
          </w:p>
        </w:tc>
      </w:tr>
      <w:tr>
        <w:trPr>
          <w:trHeight w:val="155"/>
        </w:trPr>
        <w:tc>
          <w:tcPr>
            <w:tcW w:w="1460" w:type="dxa"/>
            <w:vAlign w:val="bottom"/>
          </w:tcPr>
          <w:p>
            <w:pPr>
              <w:spacing w:after="0"/>
              <w:rPr>
                <w:sz w:val="13"/>
                <w:szCs w:val="13"/>
                <w:color w:val="auto"/>
              </w:rPr>
            </w:pPr>
          </w:p>
        </w:tc>
        <w:tc>
          <w:tcPr>
            <w:tcW w:w="4860" w:type="dxa"/>
            <w:vAlign w:val="bottom"/>
          </w:tcPr>
          <w:p>
            <w:pPr>
              <w:jc w:val="center"/>
              <w:ind w:right="2678"/>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380" w:type="dxa"/>
            <w:vAlign w:val="bottom"/>
          </w:tcPr>
          <w:p>
            <w:pPr>
              <w:jc w:val="center"/>
              <w:ind w:left="1396"/>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5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(405) 235-4546</w:t>
      </w:r>
    </w:p>
    <w:p>
      <w:pPr>
        <w:spacing w:after="0" w:line="19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74295</wp:posOffset>
            </wp:positionV>
            <wp:extent cx="1231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28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5" w:right="3740" w:hanging="5"/>
        <w:spacing w:after="0" w:line="414" w:lineRule="auto"/>
        <w:tabs>
          <w:tab w:leader="none" w:pos="47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4"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63"/>
        </w:trPr>
        <w:tc>
          <w:tcPr>
            <w:tcW w:w="4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 Stock, Par Value $.10</w:t>
            </w:r>
          </w:p>
        </w:tc>
        <w:tc>
          <w:tcPr>
            <w:tcW w:w="1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4"/>
              </w:rPr>
              <w:t>LXU</w:t>
            </w:r>
          </w:p>
        </w:tc>
        <w:tc>
          <w:tcPr>
            <w:tcW w:w="120" w:type="dxa"/>
            <w:vAlign w:val="bottom"/>
          </w:tcPr>
          <w:p>
            <w:pPr>
              <w:spacing w:after="0"/>
              <w:rPr>
                <w:sz w:val="14"/>
                <w:szCs w:val="14"/>
                <w:color w:val="auto"/>
              </w:rPr>
            </w:pPr>
          </w:p>
        </w:tc>
        <w:tc>
          <w:tcPr>
            <w:tcW w:w="5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New York Stock Exchange</w:t>
            </w:r>
          </w:p>
        </w:tc>
      </w:tr>
      <w:tr>
        <w:trPr>
          <w:trHeight w:val="20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 Stock Purchase Rights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c>
          <w:tcPr>
            <w:tcW w:w="12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New York Stock Exchange</w:t>
            </w:r>
          </w:p>
        </w:tc>
      </w:tr>
    </w:tbl>
    <w:p>
      <w:pPr>
        <w:spacing w:after="0" w:line="89" w:lineRule="exact"/>
        <w:rPr>
          <w:sz w:val="24"/>
          <w:szCs w:val="24"/>
          <w:color w:val="auto"/>
        </w:rPr>
      </w:pPr>
    </w:p>
    <w:p>
      <w:pPr>
        <w:ind w:left="5" w:right="20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1067" w:right="31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On April 30, 2026, LSB Industries, Inc. (the “Company”) made available on its website a financial presentation (the “Presentation”) regarding its financial results for the first quarter ended March 31, 20265. A copy of the Presentation is attached hereto as Exhibit 99.1. The Presentation is incorporated by reference into this Item 7.01, and the foregoing description of the Presentation is qualified in its entirety by reference to Exhibit 99.1.</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The information contained in the Presentation is summary information that is intended to be considered in the context of the Company’s Securities and Exchange Commission filings and other public announcements that the Company may make, by press release or otherwise, from time to time. The Company undertakes no duty or obligation to publicly update or revise the information contained in the Presentation, although it may do so from time to time as its management believes is warranted.</w:t>
      </w:r>
    </w:p>
    <w:p>
      <w:pPr>
        <w:spacing w:after="0" w:line="155" w:lineRule="exact"/>
        <w:rPr>
          <w:sz w:val="20"/>
          <w:szCs w:val="20"/>
          <w:color w:val="auto"/>
        </w:rPr>
      </w:pPr>
    </w:p>
    <w:p>
      <w:pPr>
        <w:jc w:val="both"/>
        <w:ind w:right="40"/>
        <w:spacing w:after="0" w:line="288" w:lineRule="auto"/>
        <w:rPr>
          <w:sz w:val="20"/>
          <w:szCs w:val="20"/>
          <w:color w:val="auto"/>
        </w:rPr>
      </w:pPr>
      <w:r>
        <w:rPr>
          <w:rFonts w:ascii="Times New Roman" w:cs="Times New Roman" w:eastAsia="Times New Roman" w:hAnsi="Times New Roman"/>
          <w:sz w:val="15"/>
          <w:szCs w:val="15"/>
          <w:i w:val="1"/>
          <w:iCs w:val="1"/>
          <w:color w:val="auto"/>
        </w:rPr>
        <w:t>The information contained in Item 7.01 of this Form 8-K and the Exhibit 99.1 attached hereto are being furnished and shall not be deemed “filed” for the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shall be expressly set forth by specific reference to this Item 7.01 in such filing.</w:t>
      </w: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 Exhibits.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Exhibit</w:t>
            </w:r>
          </w:p>
        </w:tc>
        <w:tc>
          <w:tcPr>
            <w:tcW w:w="100" w:type="dxa"/>
            <w:vAlign w:val="bottom"/>
          </w:tcPr>
          <w:p>
            <w:pPr>
              <w:spacing w:after="0"/>
              <w:rPr>
                <w:sz w:val="12"/>
                <w:szCs w:val="12"/>
                <w:color w:val="auto"/>
              </w:rPr>
            </w:pPr>
          </w:p>
        </w:tc>
        <w:tc>
          <w:tcPr>
            <w:tcW w:w="104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Description</w:t>
            </w:r>
          </w:p>
        </w:tc>
        <w:tc>
          <w:tcPr>
            <w:tcW w:w="0" w:type="dxa"/>
            <w:vAlign w:val="bottom"/>
          </w:tcPr>
          <w:p>
            <w:pPr>
              <w:spacing w:after="0"/>
              <w:rPr>
                <w:sz w:val="1"/>
                <w:szCs w:val="1"/>
                <w:color w:val="auto"/>
              </w:rPr>
            </w:pPr>
          </w:p>
        </w:tc>
      </w:tr>
      <w:tr>
        <w:trPr>
          <w:trHeight w:val="150"/>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100" w:type="dxa"/>
            <w:vAlign w:val="bottom"/>
          </w:tcPr>
          <w:p>
            <w:pPr>
              <w:spacing w:after="0"/>
              <w:rPr>
                <w:sz w:val="13"/>
                <w:szCs w:val="13"/>
                <w:color w:val="auto"/>
              </w:rPr>
            </w:pPr>
          </w:p>
        </w:tc>
        <w:tc>
          <w:tcPr>
            <w:tcW w:w="104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4"/>
                <w:szCs w:val="24"/>
                <w:color w:val="auto"/>
              </w:rPr>
            </w:pPr>
          </w:p>
        </w:tc>
        <w:tc>
          <w:tcPr>
            <w:tcW w:w="3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Financial Presentation (furnished pursuant to Item 7.01).</w:t>
            </w:r>
          </w:p>
        </w:tc>
        <w:tc>
          <w:tcPr>
            <w:tcW w:w="20" w:type="dxa"/>
            <w:vAlign w:val="bottom"/>
            <w:tcBorders>
              <w:bottom w:val="single" w:sz="8" w:color="0000EE"/>
            </w:tcBorders>
          </w:tcPr>
          <w:p>
            <w:pPr>
              <w:spacing w:after="0"/>
              <w:rPr>
                <w:sz w:val="24"/>
                <w:szCs w:val="24"/>
                <w:color w:val="auto"/>
              </w:rPr>
            </w:pP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10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XBRL document)</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535940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200025</wp:posOffset>
            </wp:positionH>
            <wp:positionV relativeFrom="page">
              <wp:posOffset>689610</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t>SIGNATURES</w:t>
      </w:r>
    </w:p>
    <w:p>
      <w:pPr>
        <w:spacing w:after="0" w:line="218"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Company has duly caused this report to be signed on its behalf by the undersigned hereunto duly authorized.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April 30, 2025</w:t>
      </w: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35" w:lineRule="exact"/>
        <w:rPr>
          <w:sz w:val="20"/>
          <w:szCs w:val="20"/>
          <w:color w:val="auto"/>
        </w:rPr>
      </w:pPr>
    </w:p>
    <w:tbl>
      <w:tblPr>
        <w:tblLayout w:type="fixed"/>
        <w:tblInd w:w="5540" w:type="dxa"/>
        <w:tblCellMar>
          <w:top w:w="0" w:type="dxa"/>
          <w:left w:w="0" w:type="dxa"/>
          <w:bottom w:w="0" w:type="dxa"/>
          <w:right w:w="0" w:type="dxa"/>
        </w:tblCellMar>
      </w:tblP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Cheryl A. Maguire</w:t>
            </w:r>
          </w:p>
        </w:tc>
      </w:tr>
      <w:tr>
        <w:trPr>
          <w:trHeight w:val="20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Cheryl A. Maguire</w:t>
            </w:r>
          </w:p>
        </w:tc>
      </w:t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 (Principal</w:t>
            </w:r>
          </w:p>
        </w:tc>
      </w:tr>
      <w:tr>
        <w:trPr>
          <w:trHeight w:val="206"/>
        </w:trPr>
        <w:tc>
          <w:tcPr>
            <w:tcW w:w="80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Financial and Accounting Officer)</w:t>
            </w:r>
          </w:p>
        </w:tc>
      </w:tr>
    </w:tbl>
    <w:p>
      <w:pPr>
        <w:spacing w:after="0" w:line="200" w:lineRule="exact"/>
        <w:rPr>
          <w:sz w:val="20"/>
          <w:szCs w:val="20"/>
          <w:color w:val="auto"/>
        </w:rPr>
      </w:pPr>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535940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40"/>
          </w:cols>
          <w:pgMar w:left="320" w:top="1270" w:right="7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2026-04-30T09:20:19Z</dcterms:created>
  <dcterms:modified xsi:type="dcterms:W3CDTF">2026-04-30T09:20:19Z</dcterms:modified>
</cp:coreProperties>
</file>